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2026-03-01</w:t>
      </w:r>
    </w:p>
    <w:p>
      <w:pPr>
        <w:pStyle w:val="AbstractTitle"/>
      </w:pPr>
      <w:r>
        <w:t xml:space="preserve">Abstract</w:t>
      </w:r>
    </w:p>
    <w:p>
      <w:pPr>
        <w:pStyle w:val="Abstract"/>
      </w:pPr>
      <w:r>
        <w:t xml:space="preserve">Does democratic erosion reshape not just how citizens evaluate democracy but what they understand it to mean? This article estimates multinomial logit models on four waves of Asian Barometer Survey data (2005–2022), drawing on more than 75,000 voters across eleven countries to examine whether electoral winners and losers hold systematically different conceptions of democracy—and whether those differences respond to political context. The central finding is that they do: losers consistently gravitate toward liberal-procedural definitions of democracy, emphasizing free expression, media freedom, and judicial accountability, while winners orient toward substantive outcomes such as economic equality and welfare provision. The gap is individually small. What makes it consequential is context. In Thailand, the procedural-substantive gap widened from near zero to over twenty percentage points across a single decade of democratic erosion culminating in the 2014 military coup and its aftermath; in South Korea, where a political crisis of comparable severity was resolved through constitutional channels, the gap barely moved. Three empirical checks support a positional updating interpretation over stable cultural sorting: the loser effect amplifies among citizens who perceive elections as unfair, does not extend to non-procedural domains such as material welfare, and persists after demographic reweighting that holds coalition composition constant. If these patterns reflect updating rather than sorting, the implications for democratic resilience are troubling—erosion would concentrate procedural commitments among citizens whom the political system has rendered least capable of defending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(Dalton and Klingemann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presents evidence that it does. I estimate multinomial logit models on four waves of Asian Barometer Survey data (2005–2022), drawing on more than 23,464 voters in 11 countries, and find that electoral losers consistently gravitate toward procedural elements of democracy—competitive elections, civil liberties, government accountability—at the expense of substantive outcomes like economic equality or welfare provision. In pooled cross-national estimates, these effects are individually small, on the order of two to four percentage points per item. But the pattern holds across twenty items drawn from five separate survey batteries, and that directional consistency is what makes the finding substantively important. What matters most, though, is that the effect is not constant. It tracks democratic erosion in Thailand, holds steady amid institutional resilience in South Korea, and sits persistently high in Cambodia, where the competitive authoritarian regime ensured the stakes of losing were extreme from the start.</w:t>
      </w:r>
    </w:p>
    <w:p>
      <w:pPr>
        <w:pStyle w:val="BodyText"/>
      </w:pPr>
      <w:r>
        <w:t xml:space="preserve">I interpret this pattern as evidence of positional updating, and three empirical checks support the interpretation. The loser effect grows stronger among respondents who perceive elections as unfair—exactly the circumstance in which procedural threat is most palpable. A placebo test demonstrates that this amplification does not spill over into material welfare perceptions, which rules out a generalized discontent story. And a demographic reweighting exercise confirms that Thailand’s widening gap is not an artifact of changing coalition composition. None of these tests can nail down causation with certainty, but taken together they sit uneasily with accounts that treat democratic conceptions as stable cultural orientations. The weight of the evidence favors a positional reading.</w:t>
      </w:r>
    </w:p>
    <w:p>
      <w:pPr>
        <w:pStyle w:val="BodyText"/>
      </w:pPr>
      <w:r>
        <w:t xml:space="preserve">These findings have an uncomfortable implication for how we think about democratic resilience. Scholars have recently asked whether broad public commitment to democracy might function as a check on backsliding</w:t>
      </w:r>
      <w:r>
        <w:t xml:space="preserve"> </w:t>
      </w:r>
      <w:r>
        <w:t xml:space="preserve">(Claassen 2020; Svolik 2019; Graham and Svolik 2020)</w:t>
      </w:r>
      <w:r>
        <w:t xml:space="preserve">. But the results here suggest something close to the opposite: in the places where erosion cuts deepest, it is the people with the least political leverage who end up caring most about procedural safeguards. The citizens who prize free elections and civil liberties above all else are the same citizens whose side has been shut out of power. If this dynamic is widespread, then aggregate measures of democratic support may paint an overly reassuring picture—averaging together winners who do not care much about procedures and losers who care deeply but cannot do anything about it.</w:t>
      </w:r>
    </w:p>
    <w:p>
      <w:pPr>
        <w:pStyle w:val="BodyText"/>
      </w:pPr>
      <w:r>
        <w:t xml:space="preserve">The analysis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—and that this effect is dynamic, tracking political conditions within countries over time. The multinomial logit approach, which preserves the full structure of respondents’ choices across twenty items rather than collapsing responses into binary procedural-substantive indicators, reveals an additional finding: losers’ procedural orientation centers on the liberal components of democracy (media freedom, free expression, the right to organize), not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begins with the observation that citizens hold meaningfully different conceptions of democracy, varying in the weight they assign to procedural rules versus substantive outcomes. From there it draws on the winner-loser gap literature to argue that electoral status creates systematically different orientations toward these dimensions, before specifying the mechanism—positional updating—and deriving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draws a distinction between procedural and substantive visions of democracy. On one side sit definitions anchored in rules and institutions—competitive elections, civil liberties, the rule of law, and the accountability mechanisms that keep officeholders in check</w:t>
      </w:r>
      <w:r>
        <w:t xml:space="preserve"> </w:t>
      </w:r>
      <w:r>
        <w:t xml:space="preserve">(Dahl 1977; Schumpeter 2013; Schedler 1998)</w:t>
      </w:r>
      <w:r>
        <w:t xml:space="preserve">. On the other sit definitions organized around what government actually delivers: reduced inequality, social protection, and responsiveness to popular demands</w:t>
      </w:r>
      <w:r>
        <w:t xml:space="preserve"> </w:t>
      </w:r>
      <w:r>
        <w:t xml:space="preserve">(Diamond 1999; Linz and Stepan 1996)</w:t>
      </w:r>
      <w:r>
        <w:t xml:space="preserve">. Survey research has repeatedly shown that ordinary people hold both kinds of conceptions, though the balance tips depending on context. Publics in younger democracies lean toward substantive criteria, while citizens in consolidated democracies invoke procedural ones more readily</w:t>
      </w:r>
      <w:r>
        <w:t xml:space="preserve"> </w:t>
      </w:r>
      <w:r>
        <w:t xml:space="preserve">(Dalton and Klingemann 2007; Bratton and Mattes 2001)</w:t>
      </w:r>
      <w:r>
        <w:t xml:space="preserve">. Across Asia, the picture is especially layered: people blend procedural and substantive elements in ways that vary enormously both across and within countries</w:t>
      </w:r>
      <w:r>
        <w:t xml:space="preserve"> </w:t>
      </w:r>
      <w:r>
        <w:t xml:space="preserve">(Chu et al. 2008; Chu and Huang 2010; Cho 2014; Shin and Kim 2018)</w:t>
      </w:r>
      <w:r>
        <w:t xml:space="preserve">. Partisan dynamics matter too.</w:t>
      </w:r>
      <w:r>
        <w:t xml:space="preserve"> </w:t>
      </w:r>
      <w:r>
        <w:t xml:space="preserve">Hsiao and Yu (2020)</w:t>
      </w:r>
      <w:r>
        <w:t xml:space="preserve"> </w:t>
      </w:r>
      <w:r>
        <w:t xml:space="preserve">demonstrate that affective polarization in Taiwan attenuates support for democracy, indicating that political position—not just cultural background—mediates how citizens relate to democratic principles.</w:t>
      </w:r>
    </w:p>
    <w:p>
      <w:pPr>
        <w:pStyle w:val="BodyText"/>
      </w:pPr>
      <w:r>
        <w:t xml:space="preserve">The stakes of this variation are concrete: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What remains largely unexplored is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Decades of research have established that citizens whose preferred party prevailed in the most recent election look different attitudinally from those whose party lost: winners report higher institutional trust, greater satisfaction with democracy, and more willingness to accept political outcomes</w:t>
      </w:r>
      <w:r>
        <w:t xml:space="preserve"> </w:t>
      </w:r>
      <w:r>
        <w:t xml:space="preserve">(Anderson et al. 2005; Anderson and LoTempio 2002; Nadeau and Blais 1993)</w:t>
      </w:r>
      <w:r>
        <w:t xml:space="preserve">. How large these gaps are depends on institutional design—losers in majoritarian systems tend to be more discontented than losers in consensus democracies</w:t>
      </w:r>
      <w:r>
        <w:t xml:space="preserve"> </w:t>
      </w:r>
      <w:r>
        <w:t xml:space="preserve">(Anderson and Guillory 1997; Singh et al. 2012)</w:t>
      </w:r>
      <w:r>
        <w:t xml:space="preserve">—and perceptions of procedural fairness play a mediating role</w:t>
      </w:r>
      <w:r>
        <w:t xml:space="preserve"> </w:t>
      </w:r>
      <w:r>
        <w:t xml:space="preserve">(Esaiasson 2011; Esaiasson and Öhberg 2020)</w:t>
      </w:r>
      <w:r>
        <w:t xml:space="preserve">. More recent work has extended these findings to non-Western contexts and hybrid regimes</w:t>
      </w:r>
      <w:r>
        <w:t xml:space="preserve"> </w:t>
      </w:r>
      <w:r>
        <w:t xml:space="preserve">(Blais et al. 2025; Mauk 2020)</w:t>
      </w:r>
      <w:r>
        <w:t xml:space="preserve">. In a particularly relevant study,</w:t>
      </w:r>
      <w:r>
        <w:t xml:space="preserve"> </w:t>
      </w:r>
      <w:r>
        <w:t xml:space="preserve">Ricks and Hicken (2025)</w:t>
      </w:r>
      <w:r>
        <w:t xml:space="preserve"> </w:t>
      </w:r>
      <w:r>
        <w:t xml:space="preserve">show that Thailand’s 2023 election—held under a hybrid regime with military-drafted rules—nonetheless generated the classic winner-loser divergence in attitudes toward state institutions, evidence that the mechanism is not confined to full democracies.</w:t>
      </w:r>
    </w:p>
    <w:p>
      <w:pPr>
        <w:pStyle w:val="BodyText"/>
      </w:pPr>
      <w:r>
        <w:t xml:space="preserve">The limitation is one of scope: this literature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p>
      <w:pPr>
        <w:pStyle w:val="BodyText"/>
      </w:pPr>
      <w:r>
        <w:t xml:space="preserve">The question of whether electoral status shapes conceptions, not just evaluations, has begun to attract attention, though the existing work stops short of the dynamic, erosion-conditional account developed here.</w:t>
      </w:r>
      <w:r>
        <w:t xml:space="preserve"> </w:t>
      </w:r>
      <w:r>
        <w:t xml:space="preserve">Cohen et al. (2023)</w:t>
      </w:r>
      <w:r>
        <w:t xml:space="preserve"> </w:t>
      </w:r>
      <w:r>
        <w:t xml:space="preserve">invert the classic</w:t>
      </w:r>
      <w:r>
        <w:t xml:space="preserve"> </w:t>
      </w:r>
      <w:r>
        <w:t xml:space="preserve">“losers’ consent”</w:t>
      </w:r>
      <w:r>
        <w:t xml:space="preserve"> </w:t>
      </w:r>
      <w:r>
        <w:t xml:space="preserve">framework by tracking Brazilian voters through Bolsonaro’s 2018 victory; they find that winners’ abstract support for democracy rose even as their tolerance for executive self-coups—closing Congress, sidelining the Supreme Court—increased in tandem. The result is a portrait of superficial democratic commitment: winners embrace the system’s label while hollowing out its procedural substance. Cohen et al. do not, however, examine whether winners and losers come to define democracy differently; their dependent variables remain evaluations of democratic institutions rather than conceptions of what those institutions should look like.</w:t>
      </w:r>
      <w:r>
        <w:t xml:space="preserve"> </w:t>
      </w:r>
      <w:r>
        <w:t xml:space="preserve">Wu and Wu (2022)</w:t>
      </w:r>
      <w:r>
        <w:t xml:space="preserve"> </w:t>
      </w:r>
      <w:r>
        <w:t xml:space="preserve">take up the conceptual question directly, using the same Asian Barometer data employed here to show that the winner-loser gap in liberal democratic values is substantially larger in competitive authoritarian regimes than in democracies—a finding consistent with H2 above. Yet their framework treats regime type as a static cross-sectional moderator; the analysis cannot capture the emergence of conceptual divergence as a country slides from democracy into authoritarianism, which is precisely what the Thai trajectory documents.</w:t>
      </w:r>
      <w:r>
        <w:t xml:space="preserve"> </w:t>
      </w:r>
      <w:r>
        <w:t xml:space="preserve">Bryan (2023)</w:t>
      </w:r>
      <w:r>
        <w:t xml:space="preserve"> </w:t>
      </w:r>
      <w:r>
        <w:t xml:space="preserve">pushes furthest, demonstrating across seventy-four countries that partisans in power hold more illiberal conceptions of democracy while maintaining explicit support for the democratic label, framing the pattern as partisan-motivated reasoning operating universally. The global scope is impressive, but the universality of the account is also its limitation: if conceptual divergence is a general feature of being in power, then it should appear everywhere and always, which sits uneasily with cases like South Korea where the gap remains negligible despite dramatic political upheaval. The positional updating framework advanced here differs from all three in specifying democratic erosion as the conditioning variable—not a single authoritarian victory (Cohen et al.), not a static regime category (Wu and Chang), and not an unconditional cognitive bias (Bryan), but a dynamic process that raises the stakes of exclusion and thereby amplifies losers’ procedural orientation.</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what I call positional updating. The core logic turns on asymmetric salience: procedures and outcomes carry different weight depending on whether one is in or out of power. If your party runs the government, your attention naturally drifts toward policy outputs—what is being built, distributed, reformed. If your party lost, you start to care a great deal about the rules of the game: Is there a fair shot at winning next time? Can the press still criticize? Can the courts still push back?</w:t>
      </w:r>
    </w:p>
    <w:p>
      <w:pPr>
        <w:pStyle w:val="BodyText"/>
      </w:pPr>
      <w:r>
        <w:t xml:space="preserve">This selective attention runs on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A clarification is in order: this framework does not require losers to sit down and calculate their odds of returning to power. The mechanism is more basic than that. People who backed the losing side—whatever their party’s organizational heft—find themselves on the outside of the coalition that runs the state, makes policy, and allocates resources. That structural fact sharpens their awareness of the procedural guardrails that limit what incumbents can do. It is not that losers cynically adopt a procedural vocabulary; it is that procedural protections become more relevant to people who lack access to executive power.</w:t>
      </w:r>
    </w:p>
    <w:p>
      <w:pPr>
        <w:pStyle w:val="BodyText"/>
      </w:pPr>
      <w:r>
        <w:t xml:space="preserve">This exclusion-based reading yields a testable distinction. If positional updating were really about partisan strategy—opposition leaders rallying their base around procedural rhetoric—we would expect the effect to cluster among supporters of the main opposition party, whose leadership has both the organizational muscle and the electoral motive to wave the procedural banner. But if what drives the effect is the more diffuse experience of being locked out of government, then the procedural orientation should show up across the board: minor-party supporters, independents, anyone who did not back the winner. The supplementary analysis in Appendix J confirms the latter pattern.</w:t>
      </w:r>
    </w:p>
    <w:p>
      <w:pPr>
        <w:pStyle w:val="BodyText"/>
      </w:pPr>
      <w:r>
        <w:t xml:space="preserve">From this positional account I derive three predictions. Each one helps separate the positional story from the most obvious rival—that democratic conceptions are essentially stable cultural orientations or fixed personality traits.</w:t>
      </w:r>
    </w:p>
    <w:p>
      <w:pPr>
        <w:pStyle w:val="BodyText"/>
      </w:pPr>
      <w:r>
        <w:t xml:space="preserve">The first prediction is shared with the cultural account: losers should lean procedural and winners should lean substantive. A cultural explanation could generate the same cross-sectional pattern by pointing to the ideological profiles of parties that happen to be in opposition. So H1 alone cannot adjudicate between the two.</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The second prediction is where the positional logic starts to bite. If what matters is the</w:t>
      </w:r>
      <w:r>
        <w:t xml:space="preserve"> </w:t>
      </w:r>
      <w:r>
        <w:rPr>
          <w:i/>
          <w:iCs/>
        </w:rPr>
        <w:t xml:space="preserve">stakes</w:t>
      </w:r>
      <w:r>
        <w:t xml:space="preserve"> </w:t>
      </w:r>
      <w:r>
        <w:t xml:space="preserve">of losing, then the gap should widen where losing really hurts—where institutions are weak, alternation is rare, and exclusion from power threatens to become permanent. Loss aversion</w:t>
      </w:r>
      <w:r>
        <w:t xml:space="preserve"> </w:t>
      </w:r>
      <w:r>
        <w:t xml:space="preserve">(Kahneman and Tversky 1979)</w:t>
      </w:r>
      <w:r>
        <w:t xml:space="preserve"> </w:t>
      </w:r>
      <w:r>
        <w:t xml:space="preserve">reinforces the point: the prospect of losing established rights weighs more heavily than the prospect of gaining new benefits, which should amplify losers’ procedural orientation in high-stakes environments.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throughout—a simplification, certainly, since it treats a voter for a marginal coalition partner identically to a voter for the dominant governing party, but one that is standard in the literature and that preserves comparability across very different party systems.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Collapsing responses into a binary procedural–substantive indicator would sacrifice the item-level heterogeneity that is central to the analysis. Instead, each item set is modeled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item—a quantity that is directly interpretable and comparable across all twenty items without requiring the reader to mentally translate log-odds ratios.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The inclusion is not merely a methodological nicety: because Wave 2’s instrument differs in structure from the later waves, replication across both formats provides a check on whether the loser effect is a feature of the underlying political psychology or an artifact of a particular battery design.</w:t>
      </w:r>
    </w:p>
    <w:p>
      <w:pPr>
        <w:pStyle w:val="BodyText"/>
      </w:pPr>
      <w:r>
        <w:t xml:space="preserve">Standard errors are computed via wild cluster bootstrap at the country level</w:t>
      </w:r>
      <w:r>
        <w:t xml:space="preserve"> </w:t>
      </w:r>
      <w:r>
        <w:t xml:space="preserve">(Cameron et al. 2008)</w:t>
      </w:r>
      <w:r>
        <w:t xml:space="preserve">. The rationale is straightforward—with only eleven country clusters, conventional cluster-robust variance estimators produce downward-biased standard errors and over-reject the null—but the practical consequences are worth stating. By imposing the null hypothesis on the bootstrap data-generating process, this procedure trades statistical power for honest inference. The tests throughout the analysis are accordingly conservative, which means that the effects reported below had to clear a higher bar than in most comparative survey research with similar sample sizes.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is where the analysis moves beyond cross-sectional description, allowing direct assessment of whether conceptions of democracy respond to changing political conditions—the central prediction that distinguishes the positional account from cultural or dispositional alternatives.</w:t>
      </w:r>
    </w:p>
    <w:bookmarkEnd w:id="29"/>
    <w:bookmarkEnd w:id="30"/>
    <w:bookmarkStart w:id="46"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Individually, these effects are not large—on the order of two to four percentage points per item. But individual effect sizes are not the point. What stands out is the sheer consistency of the pattern across twenty items spread over five separate batteries. No single item drives the result; no single battery drives it. Winners and losers occupy measurably different positions in the conceptual space of democratic meaning, and they do so in the same direction virtually everywhere you look: losers zero in on the rules of political competition, winners on the material payoffs of governance.</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6"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md-manuscript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the contours of Thailand’s democratic erosion</w:t>
      </w:r>
      <w:r>
        <w:t xml:space="preserve"> </w:t>
      </w:r>
      <w:r>
        <w:t xml:space="preserve">(Kuhonta and Sinpeng 2014; Ricks 2019)</w:t>
      </w:r>
      <w:r>
        <w:t xml:space="preserve">. This period also saw the determinants of political engagement shift fundamentally, with conventional socioeconomic predictors giving way to group mobilization and party attachment as the primary drivers of participation</w:t>
      </w:r>
      <w:r>
        <w:t xml:space="preserve"> </w:t>
      </w:r>
      <w:r>
        <w:t xml:space="preserve">(Pankaew et al. 2022)</w:t>
      </w:r>
      <w:r>
        <w:t xml:space="preserve">. As the coup and a string of judicial interventions kept overturning electoral results, voters aligned with the excluded Thaksin faction came to define democracy increasingly in procedural terms—free speech, media independence, accountability. Backers of the military-aligned establishment moved in the opposite direction, toward substantive outcomes.</w:t>
      </w:r>
    </w:p>
    <w:p>
      <w:pPr>
        <w:pStyle w:val="BodyText"/>
      </w:pPr>
      <w:r>
        <w:t xml:space="preserve">South Korea presents a strikingly divergent trajectory. The country went through its own political earthquake during this same period—the impeachment and removal of President Park Geun-hye in 2016–2017, followed by the election of the progressive Moon Jae-in—yet the procedural–substantive gap barely moved. It hovered between 4.8 pp in Wave 3 and 1 pp in Wave 4, never cracking five percentage points. What separates the two cases is institutional: South Korea resolved its crisis through constitutional channels—impeachment, judicial review, a free election—rather than military intervention. The impeachment showed that accountability mechanisms actually worked, and the 2017 election produced genuine turnover. Under these conditions, the positional logic predicts convergence, and convergence is what the data show.</w:t>
      </w:r>
    </w:p>
    <w:p>
      <w:pPr>
        <w:pStyle w:val="BodyText"/>
      </w:pPr>
      <w:r>
        <w:t xml:space="preserve">Cambodia illuminates a different boundary condition: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(Table 2), Malaysia’s gap narrows across waves, potentially reflecting the political opening that would culminate in the extraordinary 2018 alternation—the first change in government since independence. Taiwan reverses from positive to negative by Wave 6, a pattern that likely reflects cross-strait identity politics more than the winner-loser dynamic examined here. (Myanmar’s single data point captures a strikingly large gap consistent with the stakes of its fragile transition, though little can be inferred from one observation.) Japan, as expected for a consolidated democracy, shows a modest and stable gap throughout.</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pPr>
            <w:r>
              <w:t xml:space="preserve">Country</w:t>
            </w:r>
          </w:p>
        </w:tc>
        <w:tc>
          <w:tcPr/>
          <w:p>
            <w:pPr>
              <w:pStyle w:val="Compact"/>
              <w:jc w:val="center"/>
            </w:pPr>
            <w:r>
              <w:t xml:space="preserve">W3</w:t>
            </w:r>
          </w:p>
        </w:tc>
        <w:tc>
          <w:tcPr/>
          <w:p>
            <w:pPr>
              <w:pStyle w:val="Compact"/>
              <w:jc w:val="center"/>
            </w:pPr>
            <w:r>
              <w:t xml:space="preserve">W4</w:t>
            </w:r>
          </w:p>
        </w:tc>
        <w:tc>
          <w:tcPr/>
          <w:p>
            <w:pPr>
              <w:pStyle w:val="Compact"/>
              <w:jc w:val="center"/>
            </w:pPr>
            <w:r>
              <w:t xml:space="preserve">W6</w:t>
            </w:r>
          </w:p>
        </w:tc>
      </w:tr>
      <w:tr>
        <w:tc>
          <w:tcPr/>
          <w:p>
            <w:pPr>
              <w:pStyle w:val="Compact"/>
              <w:jc w:val="left"/>
            </w:pPr>
            <w:r>
              <w:t xml:space="preserve">Australia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+3.8 [+0.8, +6.8]</w:t>
            </w:r>
          </w:p>
        </w:tc>
      </w:tr>
      <w:tr>
        <w:tc>
          <w:tcPr/>
          <w:p>
            <w:pPr>
              <w:pStyle w:val="Compact"/>
              <w:jc w:val="left"/>
            </w:pPr>
            <w:r>
              <w:t xml:space="preserve">Cambodia</w:t>
            </w:r>
          </w:p>
        </w:tc>
        <w:tc>
          <w:tcPr/>
          <w:p>
            <w:pPr>
              <w:pStyle w:val="Compact"/>
              <w:jc w:val="center"/>
            </w:pPr>
            <w:r>
              <w:t xml:space="preserve">+13.2 [+8.9, +17.5]</w:t>
            </w:r>
          </w:p>
        </w:tc>
        <w:tc>
          <w:tcPr/>
          <w:p>
            <w:pPr>
              <w:pStyle w:val="Compact"/>
              <w:jc w:val="center"/>
            </w:pPr>
            <w:r>
              <w:t xml:space="preserve">+13.2 [+9.7, +16.8]</w:t>
            </w:r>
          </w:p>
        </w:tc>
        <w:tc>
          <w:tcPr/>
          <w:p>
            <w:pPr>
              <w:pStyle w:val="Compact"/>
              <w:jc w:val="center"/>
            </w:pPr>
            <w:r>
              <w:t xml:space="preserve">+13.8 [+6.5, +21.0]</w:t>
            </w:r>
          </w:p>
        </w:tc>
      </w:tr>
      <w:tr>
        <w:tc>
          <w:tcPr/>
          <w:p>
            <w:pPr>
              <w:pStyle w:val="Compact"/>
              <w:jc w:val="left"/>
            </w:pPr>
            <w:r>
              <w:t xml:space="preserve">Indonesia</w:t>
            </w:r>
          </w:p>
        </w:tc>
        <w:tc>
          <w:tcPr/>
          <w:p>
            <w:pPr>
              <w:pStyle w:val="Compact"/>
              <w:jc w:val="center"/>
            </w:pPr>
            <w:r>
              <w:t xml:space="preserve">-3.7 [-6.8, -0.5]</w:t>
            </w:r>
          </w:p>
        </w:tc>
        <w:tc>
          <w:tcPr/>
          <w:p>
            <w:pPr>
              <w:pStyle w:val="Compact"/>
              <w:jc w:val="center"/>
            </w:pPr>
            <w:r>
              <w:t xml:space="preserve">+1.8 [-1.4, +5.0]</w:t>
            </w:r>
          </w:p>
        </w:tc>
        <w:tc>
          <w:tcPr/>
          <w:p>
            <w:pPr>
              <w:pStyle w:val="Compact"/>
              <w:jc w:val="center"/>
            </w:pPr>
            <w:r>
              <w:t xml:space="preserve">+0.4 [-2.8, +3.5]</w:t>
            </w:r>
          </w:p>
        </w:tc>
      </w:tr>
      <w:tr>
        <w:tc>
          <w:tcPr/>
          <w:p>
            <w:pPr>
              <w:pStyle w:val="Compact"/>
              <w:jc w:val="left"/>
            </w:pPr>
            <w:r>
              <w:t xml:space="preserve">Japan</w:t>
            </w:r>
          </w:p>
        </w:tc>
        <w:tc>
          <w:tcPr/>
          <w:p>
            <w:pPr>
              <w:pStyle w:val="Compact"/>
              <w:jc w:val="center"/>
            </w:pPr>
            <w:r>
              <w:t xml:space="preserve">-1.2 [-4.0, +1.5]</w:t>
            </w:r>
          </w:p>
        </w:tc>
        <w:tc>
          <w:tcPr/>
          <w:p>
            <w:pPr>
              <w:pStyle w:val="Compact"/>
              <w:jc w:val="center"/>
            </w:pPr>
            <w:r>
              <w:t xml:space="preserve">+5.1 [+1.5, +8.8]</w:t>
            </w:r>
          </w:p>
        </w:tc>
        <w:tc>
          <w:tcPr/>
          <w:p>
            <w:pPr>
              <w:pStyle w:val="Compact"/>
              <w:jc w:val="center"/>
            </w:pPr>
            <w:r>
              <w:t xml:space="preserve">—</w:t>
            </w:r>
          </w:p>
        </w:tc>
      </w:tr>
      <w:tr>
        <w:tc>
          <w:tcPr/>
          <w:p>
            <w:pPr>
              <w:pStyle w:val="Compact"/>
              <w:jc w:val="left"/>
            </w:pPr>
            <w:r>
              <w:t xml:space="preserve">Malaysia</w:t>
            </w:r>
          </w:p>
        </w:tc>
        <w:tc>
          <w:tcPr/>
          <w:p>
            <w:pPr>
              <w:pStyle w:val="Compact"/>
              <w:jc w:val="center"/>
            </w:pPr>
            <w:r>
              <w:t xml:space="preserve">+15.2 [+9.7, +20.8]</w:t>
            </w:r>
          </w:p>
        </w:tc>
        <w:tc>
          <w:tcPr/>
          <w:p>
            <w:pPr>
              <w:pStyle w:val="Compact"/>
              <w:jc w:val="center"/>
            </w:pPr>
            <w:r>
              <w:t xml:space="preserve">+8.2 [+3.6, +12.8]</w:t>
            </w:r>
          </w:p>
        </w:tc>
        <w:tc>
          <w:tcPr/>
          <w:p>
            <w:pPr>
              <w:pStyle w:val="Compact"/>
              <w:jc w:val="center"/>
            </w:pPr>
            <w:r>
              <w:t xml:space="preserve">—</w:t>
            </w:r>
          </w:p>
        </w:tc>
      </w:tr>
      <w:tr>
        <w:tc>
          <w:tcPr/>
          <w:p>
            <w:pPr>
              <w:pStyle w:val="Compact"/>
              <w:jc w:val="left"/>
            </w:pPr>
            <w:r>
              <w:t xml:space="preserve">Mongolia</w:t>
            </w:r>
          </w:p>
        </w:tc>
        <w:tc>
          <w:tcPr/>
          <w:p>
            <w:pPr>
              <w:pStyle w:val="Compact"/>
              <w:jc w:val="center"/>
            </w:pPr>
            <w:r>
              <w:t xml:space="preserve">-0.7 [-3.9, +2.5]</w:t>
            </w:r>
          </w:p>
        </w:tc>
        <w:tc>
          <w:tcPr/>
          <w:p>
            <w:pPr>
              <w:pStyle w:val="Compact"/>
              <w:jc w:val="center"/>
            </w:pPr>
            <w:r>
              <w:t xml:space="preserve">-2.1 [-5.4, +1.2]</w:t>
            </w:r>
          </w:p>
        </w:tc>
        <w:tc>
          <w:tcPr/>
          <w:p>
            <w:pPr>
              <w:pStyle w:val="Compact"/>
              <w:jc w:val="center"/>
            </w:pPr>
            <w:r>
              <w:t xml:space="preserve">+5.0 [+1.2, +8.7]</w:t>
            </w:r>
          </w:p>
        </w:tc>
      </w:tr>
      <w:tr>
        <w:tc>
          <w:tcPr/>
          <w:p>
            <w:pPr>
              <w:pStyle w:val="Compact"/>
              <w:jc w:val="left"/>
            </w:pPr>
            <w:r>
              <w:t xml:space="preserve">Myanmar</w:t>
            </w:r>
          </w:p>
        </w:tc>
        <w:tc>
          <w:tcPr/>
          <w:p>
            <w:pPr>
              <w:pStyle w:val="Compact"/>
              <w:jc w:val="center"/>
            </w:pPr>
            <w:r>
              <w:t xml:space="preserve">—</w:t>
            </w:r>
          </w:p>
        </w:tc>
        <w:tc>
          <w:tcPr/>
          <w:p>
            <w:pPr>
              <w:pStyle w:val="Compact"/>
              <w:jc w:val="center"/>
            </w:pPr>
            <w:r>
              <w:t xml:space="preserve">+16.6 [+12.6, +20.6]</w:t>
            </w:r>
          </w:p>
        </w:tc>
        <w:tc>
          <w:tcPr/>
          <w:p>
            <w:pPr>
              <w:pStyle w:val="Compact"/>
              <w:jc w:val="center"/>
            </w:pPr>
            <w:r>
              <w:t xml:space="preserve">—</w:t>
            </w:r>
          </w:p>
        </w:tc>
      </w:tr>
      <w:tr>
        <w:tc>
          <w:tcPr/>
          <w:p>
            <w:pPr>
              <w:pStyle w:val="Compact"/>
              <w:jc w:val="left"/>
            </w:pPr>
            <w:r>
              <w:t xml:space="preserve">Philippines</w:t>
            </w:r>
          </w:p>
        </w:tc>
        <w:tc>
          <w:tcPr/>
          <w:p>
            <w:pPr>
              <w:pStyle w:val="Compact"/>
              <w:jc w:val="center"/>
            </w:pPr>
            <w:r>
              <w:t xml:space="preserve">+4.5 [+0.6, +8.3]</w:t>
            </w:r>
          </w:p>
        </w:tc>
        <w:tc>
          <w:tcPr/>
          <w:p>
            <w:pPr>
              <w:pStyle w:val="Compact"/>
              <w:jc w:val="center"/>
            </w:pPr>
            <w:r>
              <w:t xml:space="preserve">+5.1 [+0.8, +9.4]</w:t>
            </w:r>
          </w:p>
        </w:tc>
        <w:tc>
          <w:tcPr/>
          <w:p>
            <w:pPr>
              <w:pStyle w:val="Compact"/>
              <w:jc w:val="center"/>
            </w:pPr>
            <w:r>
              <w:t xml:space="preserve">-0.7 [-4.6, +3.3]</w:t>
            </w:r>
          </w:p>
        </w:tc>
      </w:tr>
      <w:tr>
        <w:tc>
          <w:tcPr/>
          <w:p>
            <w:pPr>
              <w:pStyle w:val="Compact"/>
              <w:jc w:val="left"/>
            </w:pPr>
            <w:r>
              <w:t xml:space="preserve">South Korea</w:t>
            </w:r>
          </w:p>
        </w:tc>
        <w:tc>
          <w:tcPr/>
          <w:p>
            <w:pPr>
              <w:pStyle w:val="Compact"/>
              <w:jc w:val="center"/>
            </w:pPr>
            <w:r>
              <w:t xml:space="preserve">+4.8 [+1.1, +8.4]</w:t>
            </w:r>
          </w:p>
        </w:tc>
        <w:tc>
          <w:tcPr/>
          <w:p>
            <w:pPr>
              <w:pStyle w:val="Compact"/>
              <w:jc w:val="center"/>
            </w:pPr>
            <w:r>
              <w:t xml:space="preserve">+1.0 [-2.5, +4.5]</w:t>
            </w:r>
          </w:p>
        </w:tc>
        <w:tc>
          <w:tcPr/>
          <w:p>
            <w:pPr>
              <w:pStyle w:val="Compact"/>
              <w:jc w:val="center"/>
            </w:pPr>
            <w:r>
              <w:t xml:space="preserve">+2.8 [-0.5, +6.1]</w:t>
            </w:r>
          </w:p>
        </w:tc>
      </w:tr>
      <w:tr>
        <w:tc>
          <w:tcPr/>
          <w:p>
            <w:pPr>
              <w:pStyle w:val="Compact"/>
              <w:jc w:val="left"/>
            </w:pPr>
            <w:r>
              <w:t xml:space="preserve">Taiwan</w:t>
            </w:r>
          </w:p>
        </w:tc>
        <w:tc>
          <w:tcPr/>
          <w:p>
            <w:pPr>
              <w:pStyle w:val="Compact"/>
              <w:jc w:val="center"/>
            </w:pPr>
            <w:r>
              <w:t xml:space="preserve">+3.1 [-0.3, +6.4]</w:t>
            </w:r>
          </w:p>
        </w:tc>
        <w:tc>
          <w:tcPr/>
          <w:p>
            <w:pPr>
              <w:pStyle w:val="Compact"/>
              <w:jc w:val="center"/>
            </w:pPr>
            <w:r>
              <w:t xml:space="preserve">+5.5 [+2.4, +8.6]</w:t>
            </w:r>
          </w:p>
        </w:tc>
        <w:tc>
          <w:tcPr/>
          <w:p>
            <w:pPr>
              <w:pStyle w:val="Compact"/>
              <w:jc w:val="center"/>
            </w:pPr>
            <w:r>
              <w:t xml:space="preserve">-4.7 [-8.2, -1.3]</w:t>
            </w:r>
          </w:p>
        </w:tc>
      </w:tr>
      <w:tr>
        <w:tc>
          <w:tcPr/>
          <w:p>
            <w:pPr>
              <w:pStyle w:val="Compact"/>
              <w:jc w:val="left"/>
            </w:pPr>
            <w:r>
              <w:t xml:space="preserve">Thailand</w:t>
            </w:r>
          </w:p>
        </w:tc>
        <w:tc>
          <w:tcPr/>
          <w:p>
            <w:pPr>
              <w:pStyle w:val="Compact"/>
              <w:jc w:val="center"/>
            </w:pPr>
            <w:r>
              <w:t xml:space="preserve">-0.8 [-4.5, +2.9]</w:t>
            </w:r>
          </w:p>
        </w:tc>
        <w:tc>
          <w:tcPr/>
          <w:p>
            <w:pPr>
              <w:pStyle w:val="Compact"/>
              <w:jc w:val="center"/>
            </w:pPr>
            <w:r>
              <w:t xml:space="preserve">+11.0 [+5.9, +16.2]</w:t>
            </w:r>
          </w:p>
        </w:tc>
        <w:tc>
          <w:tcPr/>
          <w:p>
            <w:pPr>
              <w:pStyle w:val="Compact"/>
              <w:jc w:val="center"/>
            </w:pPr>
            <w:r>
              <w:t xml:space="preserve">+23.8 [+17.3, +30.2]</w:t>
            </w:r>
          </w:p>
        </w:tc>
      </w:tr>
    </w:tbl>
    <w:bookmarkEnd w:id="36"/>
    <w:bookmarkStart w:id="45" w:name="testing-the-positional-mechanism"/>
    <w:p>
      <w:pPr>
        <w:pStyle w:val="Heading2"/>
      </w:pPr>
      <w:r>
        <w:t xml:space="preserve">Testing the Positional Mechanism</w:t>
      </w:r>
    </w:p>
    <w:p>
      <w:pPr>
        <w:pStyle w:val="FirstParagraph"/>
      </w:pPr>
      <w:r>
        <w:t xml:space="preserve">The twenty-item pattern and the divergent country trajectories raise the question of mechanism. Are losers actually revising what democracy means to them in response to the political stakes they face? Or are we simply observing the fact that different sorts of people end up on the winning and losing sides? Three tests, each targeting a different alternative explanation, help adjudicate.</w:t>
      </w:r>
    </w:p>
    <w:bookmarkStart w:id="41"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If losers are updating their conceptions in response to positional threat, we should expect the loser effect on protective items to remain positive regardless of whether respondents think elections are fair—courts and a free press are useful to the excluded either way. But what the positional framework predicts for</w:t>
      </w:r>
      <w:r>
        <w:t xml:space="preserve"> </w:t>
      </w:r>
      <w:r>
        <w:rPr>
          <w:i/>
          <w:iCs/>
        </w:rPr>
        <w:t xml:space="preserve">participatory</w:t>
      </w:r>
      <w:r>
        <w:t xml:space="preserve"> </w:t>
      </w:r>
      <w:r>
        <w:t xml:space="preserve">items is less obvious and more interesting.</w:t>
      </w:r>
    </w:p>
    <w:p>
      <w:pPr>
        <w:pStyle w:val="BodyText"/>
      </w:pPr>
      <w:r>
        <w:t xml:space="preserve">In a well-functioning democracy, losers have good reason to prize elections: elections are how you get back into power. But when democratic erosion has corrupted the electoral process itself, losers face a bind. The institution that is supposed to enable turnover has, in their view, been rigged. Under those circumstances, losers may start to discount elections</w:t>
      </w:r>
      <w:r>
        <w:t xml:space="preserve"> </w:t>
      </w:r>
      <w:r>
        <w:rPr>
          <w:i/>
          <w:iCs/>
        </w:rPr>
        <w:t xml:space="preserve">specifically</w:t>
      </w:r>
      <w:r>
        <w:t xml:space="preserve"> </w:t>
      </w:r>
      <w:r>
        <w:t xml:space="preserve">while doubling down on non-electoral safeguards. The prediction is not a generic amplification of all procedural items among disaffected losers; it is a structured pattern where protective items strengthen and participatory items weaken or reverse.</w:t>
      </w:r>
    </w:p>
    <w:p>
      <w:pPr>
        <w:pStyle w:val="BodyText"/>
      </w:pPr>
      <w:r>
        <w:t xml:space="preserve">This yields a set of conditional expectations: (a) protective procedural items should show a positive loser effect under both fairness conditions, strengthening where elections are seen as manipulated; (b) participatory procedural items should show a positive loser effect where elections are seen as fair; and (c) participatory items should attenuate or flip negative where losers believe the electoral process itself has been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participatory items tell a different story, exactly as the theory anticipated. For free elections, the interaction between loser status and perceived fairness runs</w:t>
      </w:r>
      <w:r>
        <w:t xml:space="preserve"> </w:t>
      </w:r>
      <w:r>
        <w:rPr>
          <w:i/>
          <w:iCs/>
        </w:rPr>
        <w:t xml:space="preserve">negative</w:t>
      </w:r>
      <w:r>
        <w:t xml:space="preserve"> </w:t>
      </w:r>
      <w:r>
        <w:t xml:space="preserve">(-2.4 pp): losers who think the electoral process is rigged are actually</w:t>
      </w:r>
      <w:r>
        <w:t xml:space="preserve"> </w:t>
      </w:r>
      <w:r>
        <w:rPr>
          <w:i/>
          <w:iCs/>
        </w:rPr>
        <w:t xml:space="preserve">less</w:t>
      </w:r>
      <w:r>
        <w:t xml:space="preserve"> </w:t>
      </w:r>
      <w:r>
        <w:t xml:space="preserve">inclined to name free elections as democracy’s most important feature. This is not a puzzle—it is a coherent response. If you believe that the primary mechanism for changing governments has been corrupted, you do not abandon democracy; you redefine it around the safeguards that still work independently of elections. The negative coefficient does not undercut the positional updating framework. It reveals the framework’s internal architecture. Losers are not mechanically inflating everything procedural; they are paying closest attention to whichever procedures offer real protection given the specific threats they perceive.</w:t>
      </w:r>
    </w:p>
    <w:p>
      <w:pPr>
        <w:pStyle w:val="BodyText"/>
      </w:pPr>
      <w:r>
        <w:t xml:space="preserve">This structured divergence also helps dispose of a simpler alternative reading—that the loser effect is just generalized electoral discontent expressed through procedural vocabulary. If losers who feel cheated were merely being negative about the whole system, the interaction should push in the same direction for every procedural item. Instead we see the opposite: protective items go up, participatory items go down. That is harder to square with generalized grievance and easier to square with a discriminating assessment of which institutions still function as credible constraints.</w:t>
      </w:r>
    </w:p>
    <w:tbl>
      <w:tblPr>
        <w:tblStyle w:val="Table"/>
        <w:tblW w:type="pct" w:w="5000"/>
        <w:tblLayout w:type="fixed"/>
        <w:tblLook w:firstRow="0" w:lastRow="0" w:firstColumn="0" w:lastColumn="0" w:noHBand="0" w:noVBand="0" w:val="0000"/>
      </w:tblPr>
      <w:tblGrid>
        <w:gridCol w:w="7920"/>
      </w:tblGrid>
      <w:tr>
        <w:tc>
          <w:tcPr/>
          <w:bookmarkStart w:id="40" w:name="fig-fairness"/>
          <w:p>
            <w:pPr>
              <w:pStyle w:val="Compact"/>
              <w:jc w:val="center"/>
            </w:pPr>
            <w:r>
              <w:drawing>
                <wp:inline>
                  <wp:extent cx="5334000" cy="4000500"/>
                  <wp:effectExtent b="0" l="0" r="0" t="0"/>
                  <wp:docPr descr="" title="" id="38" name="Picture"/>
                  <a:graphic>
                    <a:graphicData uri="http://schemas.openxmlformats.org/drawingml/2006/picture">
                      <pic:pic>
                        <pic:nvPicPr>
                          <pic:cNvPr descr="md-manuscript_files/figure-docx/fig-fairness-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0"/>
        </w:tc>
      </w:tr>
    </w:tbl>
    <w:p>
      <w:pPr>
        <w:pStyle w:val="BodyText"/>
      </w:pPr>
      <w:r>
        <w:t xml:space="preserve">A qualification is necessary.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1"/>
    <w:bookmarkStart w:id="42"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2"/>
    <w:bookmarkStart w:id="43" w:name="Xe8d292e88129d7a565fe0a196bc650212ae93b3"/>
    <w:p>
      <w:pPr>
        <w:pStyle w:val="Heading3"/>
      </w:pPr>
      <w:r>
        <w:t xml:space="preserve">Test 3: Not Compositional (Thailand Reweighting)</w:t>
      </w:r>
    </w:p>
    <w:p>
      <w:pPr>
        <w:pStyle w:val="FirstParagraph"/>
      </w:pPr>
      <w:r>
        <w:t xml:space="preserve">Thailand’s dramatic trajectory—from near-zero to over 20 percentage points—invites a compositional objection. Perhaps opposition coalitions reshuffled over the decade, pulling in more urban and educated voters who were already predisposed toward procedural definitions. If so, the gap could widen without anyone actually changing their mind.</w:t>
      </w:r>
    </w:p>
    <w:p>
      <w:pPr>
        <w:pStyle w:val="BodyText"/>
      </w:pPr>
      <w:r>
        <w:t xml:space="preserve">To address this, I reweight each Thailand wave to match the Wave 3 demographic profile along age, gender, education, and urban residence, creating a counterfactual trajectory that holds demographics constant. The exercise barely moves the needle. Loser effects shift by an average of 0.83 percentage points (the largest shift is 1.75pp, for Services (Set 2)). Only 1 of 16 item-level effects changes sign, and the item in question (Courts (Set 4): +0.4pp → -0.8pp) flips between values that are both essentially zero. Every substantively meaningful effect keeps its direction and its size.</w:t>
      </w:r>
    </w:p>
    <w:p>
      <w:pPr>
        <w:pStyle w:val="BodyText"/>
      </w:pPr>
      <w:r>
        <w:t xml:space="preserve">So the trajectory is not about who ended up in the winner and loser camps—it is about how people in those camps came to think differently about democracy over time. The exercise does not rule out realignment along unmeasured dimensions like ideology or political interest. But age, education, and urbanization are the fault lines that structure Thai politics most powerfully</w:t>
      </w:r>
      <w:r>
        <w:t xml:space="preserve"> </w:t>
      </w:r>
      <w:r>
        <w:t xml:space="preserve">(Ockey 2004; McCargo 2019)</w:t>
      </w:r>
      <w:r>
        <w:t xml:space="preserve">, and controlling for them changes almost nothing.</w:t>
      </w:r>
    </w:p>
    <w:bookmarkEnd w:id="43"/>
    <w:bookmarkStart w:id="44" w:name="cumulative-interpretation"/>
    <w:p>
      <w:pPr>
        <w:pStyle w:val="Heading3"/>
      </w:pPr>
      <w:r>
        <w:t xml:space="preserve">Cumulative Interpretation</w:t>
      </w:r>
    </w:p>
    <w:p>
      <w:pPr>
        <w:pStyle w:val="FirstParagraph"/>
      </w:pPr>
      <w:r>
        <w:t xml:space="preserve">No single test is definitive. But the three converge on the positional interpretation in a way that would be hard to orchestrate from any of the rival accounts. The fairness amplification shows that the loser effect responds to perceived threat—5–8 percentage points for liberal items among those perceiving unfair elections, compared with 2–3 among those perceiving fairness. That the placebo test finds no such amplification for basic necessities (1.1pp, p = 0.564) rules out generalized discontent as the driver. And Thailand’s demographic story holds up under reweighting: pinning age, education, gender, and urban residence to their Wave 3 distributions shifts the loser effects by 0.8pp on average, with a single near-zero sign flip.</w:t>
      </w:r>
    </w:p>
    <w:p>
      <w:pPr>
        <w:pStyle w:val="BodyText"/>
      </w:pPr>
      <w:r>
        <w:t xml:space="preserve">These three pieces of evidence do not amount to proof that individuals changed their minds—establishing individual-level change would require panel data, and repeated cross-sections cannot deliver it. But the patterns are hard to square with the idea that democratic conceptions are stable cultural inheritances, hardwired personality traits, or byproducts of coalition shuffling. For the rival explanation to work, you would need ideological or dispositional differences between the winning and losing coalitions to have blown apart in Thailand while holding perfectly steady in South Korea, Cambodia, and nearly everywhere else—a scenario for which there is no independent evidence. The evidence at hand, taken as a whole, points toward positional updating: people rethinking what democracy means in light of where they stand politically and what the institutional landscape looks like around them.</w:t>
      </w:r>
    </w:p>
    <w:bookmarkEnd w:id="44"/>
    <w:bookmarkEnd w:id="45"/>
    <w:bookmarkEnd w:id="46"/>
    <w:bookmarkStart w:id="48" w:name="robustness"/>
    <w:p>
      <w:pPr>
        <w:pStyle w:val="Heading1"/>
      </w:pPr>
      <w:r>
        <w:t xml:space="preserve">Robustness</w:t>
      </w:r>
    </w:p>
    <w:p>
      <w:pPr>
        <w:pStyle w:val="FirstParagraph"/>
      </w:pPr>
      <w:r>
        <w:t xml:space="preserve">The main findings survive a battery of sensitivity checks, each targeting a different potential vulnerability.</w:t>
      </w:r>
    </w:p>
    <w:p>
      <w:pPr>
        <w:pStyle w:val="BodyText"/>
      </w:pPr>
      <w:r>
        <w:t xml:space="preserve">Wave 2 of the ABS provides the most stringent independent replication, since it employed a different forced-choice instrument with different response options than the Sets 1–4 used in later waves. Both procedural items show positive AMEs and both substantive items show negative AMEs, reinforcing confidence that the loser effect is not an artifact of the Wave 3–6 battery design. Open-ended responses from Wave 2 offer an additional form of validation: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 confirming that the forced-choice items capture something real about how people think rather than an artifact of how the questions were framed.</w:t>
      </w:r>
      <w:r>
        <w:rPr>
          <w:rStyle w:val="FootnoteReference"/>
        </w:rPr>
        <w:footnoteReference w:id="47"/>
      </w:r>
    </w:p>
    <w:p>
      <w:pPr>
        <w:pStyle w:val="BodyText"/>
      </w:pPr>
      <w:r>
        <w:t xml:space="preserve">A range of more routine checks confirm the same pattern. WLS estimation at the country-wave level, COVID-attitude controls on Wave 6 models, and re-estimation excluding Thailand Wave 4 entirely all replicate the core findings (Appendix G, K1). That the pattern holds at two levels of analysis—individual respondents and country-wave cells—and survives a pandemic-period confound and an unusual post-coup country-wave makes it harder to attribute to any single modeling decision.</w:t>
      </w:r>
    </w:p>
    <w:p>
      <w:pPr>
        <w:pStyle w:val="BodyText"/>
      </w:pPr>
      <w:r>
        <w:t xml:space="preserve">Non-voters provide another angle on the voter-restriction choice. Their procedural-substantive gap (14.3 pp) resembles that of winners (13.9 pp) rather than losers (17.3 pp), confirming that restricting the sample to voters does not inflate the estimated loser effect (Appendix H). A three-way decomposition distinguishing key opposition supporters from other losers pushes on the mechanism from a different direction: both subgroups display comparable procedural orientations across the three countries where decomposition was feasible (Appendix J). If the effect were driven by partisan strategic signaling—opposition leaders rallying their base around procedural rhetoric—it should concentrate among principal opposition supporters. That it does not is more consistent with the exclusion-based mechanism, where distance from state authority rather than organizational affiliation drives procedural attention.</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8"/>
    <w:bookmarkStart w:id="49"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The cumulative evidence—fairness amplification, domain specificity, and compositional stability—tilts toward the positional interpretation.</w:t>
      </w:r>
    </w:p>
    <w:p>
      <w:pPr>
        <w:pStyle w:val="BodyText"/>
      </w:pPr>
      <w:r>
        <w:t xml:space="preserve">While repeated cross-sections cannot pin down individual-level attitude change with certainty, the within-country dynamics—especially the Thailand-South Korea contrast—fit the positional updating story far better than they fit stable sorting on unobservable characteristics. The alternative would require that ideological or dispositional differences between winners and losers widened dramatically in Thailand during this period while staying flat in South Korea, Cambodia, and nearly everywhere else. No one has produced evidence for that kind of asymmetric realignment. The conditional character of the effect also helps distinguish positional updating from the motivated reasoning account advanced by</w:t>
      </w:r>
      <w:r>
        <w:t xml:space="preserve"> </w:t>
      </w:r>
      <w:r>
        <w:t xml:space="preserve">Bryan (2023)</w:t>
      </w:r>
      <w:r>
        <w:t xml:space="preserve">, who treats conceptual divergence as an automatic consequence of holding power. If the mechanism were purely cognitive—partisans reflexively molding democratic meaning to fit their position—then South Korea’s crisis should have produced the same divergence as Thailand’s, since both cases involved sharp partisan conflict over institutional legitimacy. That it did not suggests the mechanism is better understood as a response to the institutional stakes of exclusion rather than to partisan status per se.</w:t>
      </w:r>
    </w:p>
    <w:p>
      <w:pPr>
        <w:pStyle w:val="BodyText"/>
      </w:pPr>
      <w:r>
        <w:t xml:space="preserve">What does this mean for democratic resilience? The answer depends on whether we are looking at updating or sorting, and the two scenarios lead to quite different places. A growing body of work has asked whether broadly shared democratic attitudes can act as a brake on backsliding</w:t>
      </w:r>
      <w:r>
        <w:t xml:space="preserve"> </w:t>
      </w:r>
      <w:r>
        <w:t xml:space="preserve">(Claassen 2020; Svolik 2019; Graham and Svolik 2020)</w:t>
      </w:r>
      <w:r>
        <w:t xml:space="preserve">. If what I have documented here really is positional updating, then those hopes face a structural problem: in the countries where erosion has gone furthest, the people who care most about procedural safeguards are precisely the people who have been pushed to the political margins. Aggregate measures of democratic support would then paint a misleadingly rosy picture—blending together winners who are indifferent to procedures with losers who are passionately committed but politically sidelined. And here is the bitter irony: the very tools through which democracies erode—executive overreach, the capture of courts, the muzzling of media</w:t>
      </w:r>
      <w:r>
        <w:t xml:space="preserve"> </w:t>
      </w:r>
      <w:r>
        <w:t xml:space="preserve">(Levitsky and Ziblatt 2018; Waldner and Lust 2018; Lührmann and Lindberg 2019)</w:t>
      </w:r>
      <w:r>
        <w:t xml:space="preserve">—are also the tools that neutralize the constituency most invested in procedural norms.</w:t>
      </w:r>
      <w:r>
        <w:t xml:space="preserve"> </w:t>
      </w:r>
      <w:r>
        <w:t xml:space="preserve">Cohen et al. (2023)</w:t>
      </w:r>
      <w:r>
        <w:t xml:space="preserve"> </w:t>
      </w:r>
      <w:r>
        <w:t xml:space="preserve">document a parallel dynamic in Brazil: after Bolsonaro’s victory, winners who expressed broad support for the democratic system simultaneously became more willing to countenance executive overreach, suggesting that system-level endorsement and procedural commitment can move in opposite directions. The Asian patterns reported here indicate that this decoupling is not confined to dramatic authoritarian victories but unfolds gradually across extended erosion trajectories.</w:t>
      </w:r>
    </w:p>
    <w:p>
      <w:pPr>
        <w:pStyle w:val="BodyText"/>
      </w:pPr>
      <w:r>
        <w:t xml:space="preserve">If the patterns instead reflect stable sorting, the implications are less alarming but not trivial. It would mean that procedural commitment is clustered demographically or ideologically in ways that make it vulnerable to electoral fortunes. Either way, whether losers’ procedural orientation ever translates into effective resistance—through protest, civil disobedience, transnational advocacy—is a question that remains wide open.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This is a measurement problem masquerading as a substantive finding.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documents that the winner-loser gap materializes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r>
        <w:t xml:space="preserve"> </w:t>
      </w:r>
      <w:r>
        <w:t xml:space="preserve">Wu and Wu (2022)</w:t>
      </w:r>
      <w:r>
        <w:t xml:space="preserve"> </w:t>
      </w:r>
      <w:r>
        <w:t xml:space="preserve">identify this problem in the East Asian context specifically, noting that in competitive authoritarian regimes, ruling party supporters who report high</w:t>
      </w:r>
      <w:r>
        <w:t xml:space="preserve"> </w:t>
      </w:r>
      <w:r>
        <w:t xml:space="preserve">“support for democracy”</w:t>
      </w:r>
      <w:r>
        <w:t xml:space="preserve"> </w:t>
      </w:r>
      <w:r>
        <w:t xml:space="preserve">may be endorsing a substantive vision centered on economic delivery rather than the procedural safeguards that external observers associate with the term. The present findings extend their insight temporally: the measurement disconnect is not simply a feature of regime type but one that deepens as democratic institutions erode within a given country.</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protective-participatory distinction, which has been implicit in theoretical treatments from</w:t>
      </w:r>
      <w:r>
        <w:t xml:space="preserve"> </w:t>
      </w:r>
      <w:r>
        <w:t xml:space="preserve">Dahl (1977)</w:t>
      </w:r>
      <w:r>
        <w:t xml:space="preserve"> </w:t>
      </w:r>
      <w:r>
        <w:t xml:space="preserve">through</w:t>
      </w:r>
      <w:r>
        <w:t xml:space="preserve"> </w:t>
      </w:r>
      <w:r>
        <w:t xml:space="preserve">Schedler (1998)</w:t>
      </w:r>
      <w:r>
        <w:t xml:space="preserve">, appears to be psychologically real for citizens living through the consequences of electoral defeat. People do not relate to</w:t>
      </w:r>
      <w:r>
        <w:t xml:space="preserve"> </w:t>
      </w:r>
      <w:r>
        <w:t xml:space="preserve">“procedural democracy”</w:t>
      </w:r>
      <w:r>
        <w:t xml:space="preserve"> </w:t>
      </w:r>
      <w:r>
        <w:t xml:space="preserve">as a monolith; they parse it into the pieces that matter given the particular threats they face.</w:t>
      </w:r>
    </w:p>
    <w:p>
      <w:pPr>
        <w:pStyle w:val="BodyText"/>
      </w:pPr>
      <w:r>
        <w:t xml:space="preserve">The order-versus-contestation tension visible in the governance items opens up another line of inquiry. Winners’ marked preference for law and order as a defining feature of democracy, set against losers’ emphasis on civil liberties and accountability, maps onto what</w:t>
      </w:r>
      <w:r>
        <w:t xml:space="preserve"> </w:t>
      </w:r>
      <w:r>
        <w:t xml:space="preserve">Slater (2010)</w:t>
      </w:r>
      <w:r>
        <w:t xml:space="preserve"> </w:t>
      </w:r>
      <w:r>
        <w:t xml:space="preserve">has called the politics of order in Southeast Asia. Where democratic institutions are sturdy enough, these two impulses—order and contestation—coexist in a productive tension. Where institutions are weak, the two visions of democracy can become mutually exclusive. In an era of global democratic recession</w:t>
      </w:r>
      <w:r>
        <w:t xml:space="preserve"> </w:t>
      </w:r>
      <w:r>
        <w:t xml:space="preserve">(Diamond 2015; Foa and Mounk 2016)</w:t>
      </w:r>
      <w:r>
        <w:t xml:space="preserve">, knowing which vision predominates, and among whom, matters well beyond the region examined here.</w:t>
      </w:r>
    </w:p>
    <w:p>
      <w:pPr>
        <w:pStyle w:val="BodyText"/>
      </w:pPr>
      <w:r>
        <w:t xml:space="preserve">The analysis faces limitations worth stating directly. The repeated cross-sectional design means I cannot directly watch individuals change their minds; the within-country trajectories are suggestive rather than dispositive. Eleven countries is not a large sample for cross-national inference—though it is worth noting that the Asian Barometer is among the very few surveys that has tracked democratic conceptions with forced-choice items over nearly two decades, and the consistency of the loser effect across such diverse political systems is itself informative. The compression of the gap in Wave 6 across most countries outside Thailand remains a puzzle. The pandemic’s tendency to make state capacity salient for everyone is a plausible explanation, though not a fully satisfying one, and post-pandemic survey rounds should be able to test it. And the restriction to voters, while theoretically justified, means the findings describe the electorally active public, not the population at large.</w:t>
      </w:r>
    </w:p>
    <w:bookmarkEnd w:id="49"/>
    <w:bookmarkStart w:id="50"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infrastructure—free expression, media freedom, judicial accountability, the right to organize—that sustains the possibility of political contestation. Winners prioritize substantive outcomes and the governance of order. The positional updating interpretation draws support from three converging empirical checks: the loser effect amplifies among those perceiving electoral unfairness, does not extend to non-procedural domains, and persists after demographic reweighting. The within-country trajectories do the heaviest lifting. Thailand and South Korea, pulling apart precisely as their institutional paths diverged, sit poorly with any account that treats democratic conceptions as fixed cultural products.</w:t>
      </w:r>
    </w:p>
    <w:p>
      <w:pPr>
        <w:pStyle w:val="BodyText"/>
      </w:pPr>
      <w:r>
        <w:t xml:space="preserve">If this positional logic extends beyond Asia—and comparative work in Latin America and Africa is well placed to find out—then the link between public attitudes and democratic resilience may be more fragile than the literature has assumed. Democratic erosion would not merely degrade governance or shrink civil liberties; it would fracture the very meaning of democracy along the winner-loser divide, concentrating procedural commitments among the people least positioned to act on them. A priority for future research is whether losers’ procedural orientation actually shapes what they do politically—whether it feeds into protest, civil disobedience, or transnational advocacy, or whether it remains, in the end, a pattern that shows up in surveys and nowhere else.</w:t>
      </w:r>
    </w:p>
    <w:p>
      <w:pPr>
        <w:pStyle w:val="BodyText"/>
      </w:pPr>
      <w:r>
        <w:t xml:space="preserve">The limits of repeated cross-sections warrant caution about causal claims. I cannot directly observe anyone changing their mind, and I cannot entirely rule out that the patterns reflect ideological sorting along dimensions my data do not measure. But the associations documented here—their consistency across items, their responsiveness to political context, their concentration among those who perceive procedural threats—point toward a dynamic relationship between electoral experience and democratic meaning that previous work has overlooked. Whether that relationship is best described as updating, sorting, or some blend of the two remains to be settled. What the evidence does suggest, fairly clearly, is that the positional account has more going for it than cultural determinism does.</w:t>
      </w:r>
    </w:p>
    <w:bookmarkEnd w:id="50"/>
    <w:bookmarkStart w:id="161" w:name="references"/>
    <w:p>
      <w:pPr>
        <w:pStyle w:val="Heading1"/>
      </w:pPr>
      <w:r>
        <w:t xml:space="preserve">References</w:t>
      </w:r>
    </w:p>
    <w:bookmarkStart w:id="160" w:name="refs"/>
    <w:bookmarkStart w:id="52"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r>
        <w:t xml:space="preserve"> </w:t>
      </w:r>
      <w:hyperlink r:id="rId51">
        <w:r>
          <w:rPr>
            <w:rStyle w:val="Hyperlink"/>
          </w:rPr>
          <w:t xml:space="preserve">https://doi.org/10.1093/0199276382.001.0001</w:t>
        </w:r>
      </w:hyperlink>
      <w:r>
        <w:t xml:space="preserve">.</w:t>
      </w:r>
    </w:p>
    <w:bookmarkEnd w:id="52"/>
    <w:bookmarkStart w:id="54"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(March): 66–81.</w:t>
      </w:r>
      <w:r>
        <w:t xml:space="preserve"> </w:t>
      </w:r>
      <w:hyperlink r:id="rId53">
        <w:r>
          <w:rPr>
            <w:rStyle w:val="Hyperlink"/>
          </w:rPr>
          <w:t xml:space="preserve">https://doi.org/10.2307/2952259</w:t>
        </w:r>
      </w:hyperlink>
      <w:r>
        <w:t xml:space="preserve">.</w:t>
      </w:r>
    </w:p>
    <w:bookmarkEnd w:id="54"/>
    <w:bookmarkStart w:id="56"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5">
        <w:r>
          <w:rPr>
            <w:rStyle w:val="Hyperlink"/>
          </w:rPr>
          <w:t xml:space="preserve">https://doi.org/10.1017/s0007123402000133</w:t>
        </w:r>
      </w:hyperlink>
      <w:r>
        <w:t xml:space="preserve">.</w:t>
      </w:r>
    </w:p>
    <w:bookmarkEnd w:id="56"/>
    <w:bookmarkStart w:id="58"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7">
        <w:r>
          <w:rPr>
            <w:rStyle w:val="Hyperlink"/>
          </w:rPr>
          <w:t xml:space="preserve">https://doi.org/10.1017/s0008423924000775</w:t>
        </w:r>
      </w:hyperlink>
      <w:r>
        <w:t xml:space="preserve">.</w:t>
      </w:r>
    </w:p>
    <w:bookmarkEnd w:id="58"/>
    <w:bookmarkStart w:id="60"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r>
        <w:t xml:space="preserve"> </w:t>
      </w:r>
      <w:hyperlink r:id="rId59">
        <w:r>
          <w:rPr>
            <w:rStyle w:val="Hyperlink"/>
          </w:rPr>
          <w:t xml:space="preserve">https://doi.org/10.1017/s0007123401000175</w:t>
        </w:r>
      </w:hyperlink>
      <w:r>
        <w:t xml:space="preserve">.</w:t>
      </w:r>
    </w:p>
    <w:bookmarkEnd w:id="60"/>
    <w:bookmarkStart w:id="62" w:name="ref-Bryan2023-eu"/>
    <w:p>
      <w:pPr>
        <w:pStyle w:val="Bibliography"/>
      </w:pPr>
      <w:r>
        <w:t xml:space="preserve">Bryan, James D. 2023.</w:t>
      </w:r>
      <w:r>
        <w:t xml:space="preserve"> </w:t>
      </w:r>
      <w:r>
        <w:t xml:space="preserve">“</w:t>
      </w:r>
      <w:r>
        <w:t xml:space="preserve">What kind of democracy do we all support? How partisan interest impacts a citizen’s conceptualization of democracy</w:t>
      </w:r>
      <w:r>
        <w:t xml:space="preserve">.”</w:t>
      </w:r>
      <w:r>
        <w:t xml:space="preserve"> </w:t>
      </w:r>
      <w:r>
        <w:rPr>
          <w:i/>
          <w:iCs/>
        </w:rPr>
        <w:t xml:space="preserve">Comparative Political Studies</w:t>
      </w:r>
      <w:r>
        <w:t xml:space="preserve"> </w:t>
      </w:r>
      <w:r>
        <w:t xml:space="preserve">56 (September): 1597–627.</w:t>
      </w:r>
      <w:r>
        <w:t xml:space="preserve"> </w:t>
      </w:r>
      <w:hyperlink r:id="rId61">
        <w:r>
          <w:rPr>
            <w:rStyle w:val="Hyperlink"/>
          </w:rPr>
          <w:t xml:space="preserve">https://doi.org/10.1177/00104140231152784</w:t>
        </w:r>
      </w:hyperlink>
      <w:r>
        <w:t xml:space="preserve">.</w:t>
      </w:r>
    </w:p>
    <w:bookmarkEnd w:id="62"/>
    <w:bookmarkStart w:id="64"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(August): 414–27.</w:t>
      </w:r>
      <w:r>
        <w:t xml:space="preserve"> </w:t>
      </w:r>
      <w:hyperlink r:id="rId63">
        <w:r>
          <w:rPr>
            <w:rStyle w:val="Hyperlink"/>
          </w:rPr>
          <w:t xml:space="preserve">https://doi.org/10.1162/rest.90.3.414</w:t>
        </w:r>
      </w:hyperlink>
      <w:r>
        <w:t xml:space="preserve">.</w:t>
      </w:r>
    </w:p>
    <w:bookmarkEnd w:id="64"/>
    <w:bookmarkStart w:id="66"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5">
        <w:r>
          <w:rPr>
            <w:rStyle w:val="Hyperlink"/>
          </w:rPr>
          <w:t xml:space="preserve">https://doi.org/10.1177/0010414011434009</w:t>
        </w:r>
      </w:hyperlink>
      <w:r>
        <w:t xml:space="preserve">.</w:t>
      </w:r>
    </w:p>
    <w:bookmarkEnd w:id="66"/>
    <w:bookmarkStart w:id="68" w:name="ref-Cho2014-ut"/>
    <w:p>
      <w:pPr>
        <w:pStyle w:val="Bibliography"/>
      </w:pPr>
      <w:r>
        <w:t xml:space="preserve">Cho, Youngho. 2014.</w:t>
      </w:r>
      <w:r>
        <w:t xml:space="preserve"> </w:t>
      </w:r>
      <w:r>
        <w:t xml:space="preserve">“</w:t>
      </w:r>
      <w:r>
        <w:t xml:space="preserve">To know democracy is to love it: A cross-national analysis of democratic understanding and political support for democracy</w:t>
      </w:r>
      <w:r>
        <w:t xml:space="preserve">.”</w:t>
      </w:r>
      <w:r>
        <w:t xml:space="preserve"> </w:t>
      </w:r>
      <w:r>
        <w:rPr>
          <w:i/>
          <w:iCs/>
        </w:rPr>
        <w:t xml:space="preserve">Political Research Quarterly</w:t>
      </w:r>
      <w:r>
        <w:t xml:space="preserve"> </w:t>
      </w:r>
      <w:r>
        <w:t xml:space="preserve">67 (September): 478–88.</w:t>
      </w:r>
      <w:r>
        <w:t xml:space="preserve"> </w:t>
      </w:r>
      <w:hyperlink r:id="rId67">
        <w:r>
          <w:rPr>
            <w:rStyle w:val="Hyperlink"/>
          </w:rPr>
          <w:t xml:space="preserve">https://doi.org/10.1177/1065912914532721</w:t>
        </w:r>
      </w:hyperlink>
      <w:r>
        <w:t xml:space="preserve">.</w:t>
      </w:r>
    </w:p>
    <w:bookmarkEnd w:id="68"/>
    <w:bookmarkStart w:id="69" w:name="ref-Chu2016-va"/>
    <w:p>
      <w:pPr>
        <w:pStyle w:val="Bibliography"/>
      </w:pPr>
      <w:r>
        <w:t xml:space="preserve">Chu, Yun-Han, Yu-Tzung Chang, Min-Hua Huang, and Mark Weatherall. 2016.</w:t>
      </w:r>
      <w:r>
        <w:t xml:space="preserve"> </w:t>
      </w:r>
      <w:r>
        <w:rPr>
          <w:i/>
          <w:iCs/>
        </w:rPr>
        <w:t xml:space="preserve">Re-assessing the popular foundation of Asian democracies: findings from four waves of the Asian Barometer Survey</w:t>
      </w:r>
      <w:r>
        <w:t xml:space="preserve">. Research Report Report 120. Asian Barometer.</w:t>
      </w:r>
    </w:p>
    <w:bookmarkEnd w:id="69"/>
    <w:bookmarkStart w:id="71"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r>
        <w:t xml:space="preserve"> </w:t>
      </w:r>
      <w:hyperlink r:id="rId70">
        <w:r>
          <w:rPr>
            <w:rStyle w:val="Hyperlink"/>
          </w:rPr>
          <w:t xml:space="preserve">https://doi.org/10.7312/chu-14534</w:t>
        </w:r>
      </w:hyperlink>
      <w:r>
        <w:t xml:space="preserve">.</w:t>
      </w:r>
    </w:p>
    <w:bookmarkEnd w:id="71"/>
    <w:bookmarkStart w:id="73"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72">
        <w:r>
          <w:rPr>
            <w:rStyle w:val="Hyperlink"/>
          </w:rPr>
          <w:t xml:space="preserve">https://doi.org/10.1353/jod.2010.0009</w:t>
        </w:r>
      </w:hyperlink>
      <w:r>
        <w:t xml:space="preserve">.</w:t>
      </w:r>
    </w:p>
    <w:bookmarkEnd w:id="73"/>
    <w:bookmarkStart w:id="74"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4"/>
    <w:bookmarkStart w:id="76"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(January): 118–34.</w:t>
      </w:r>
      <w:r>
        <w:t xml:space="preserve"> </w:t>
      </w:r>
      <w:hyperlink r:id="rId75">
        <w:r>
          <w:rPr>
            <w:rStyle w:val="Hyperlink"/>
          </w:rPr>
          <w:t xml:space="preserve">https://doi.org/10.1111/ajps.12452</w:t>
        </w:r>
      </w:hyperlink>
      <w:r>
        <w:t xml:space="preserve">.</w:t>
      </w:r>
    </w:p>
    <w:bookmarkEnd w:id="76"/>
    <w:bookmarkStart w:id="78" w:name="ref-Cohen2023-sm"/>
    <w:p>
      <w:pPr>
        <w:pStyle w:val="Bibliography"/>
      </w:pPr>
      <w:r>
        <w:t xml:space="preserve">Cohen, Mollie J, Amy Erica Smith, Mason W Moseley, and Matthew L Layton. 2023.</w:t>
      </w:r>
      <w:r>
        <w:t xml:space="preserve"> </w:t>
      </w:r>
      <w:r>
        <w:t xml:space="preserve">“</w:t>
      </w:r>
      <w:r>
        <w:t xml:space="preserve">Winners’ consent? Citizen commitment to democracy when illiberal candidates win elections</w:t>
      </w:r>
      <w:r>
        <w:t xml:space="preserve">.”</w:t>
      </w:r>
      <w:r>
        <w:t xml:space="preserve"> </w:t>
      </w:r>
      <w:r>
        <w:rPr>
          <w:i/>
          <w:iCs/>
        </w:rPr>
        <w:t xml:space="preserve">American Journal of Political Science</w:t>
      </w:r>
      <w:r>
        <w:t xml:space="preserve"> </w:t>
      </w:r>
      <w:r>
        <w:t xml:space="preserve">67 (April): 261–76.</w:t>
      </w:r>
      <w:r>
        <w:t xml:space="preserve"> </w:t>
      </w:r>
      <w:hyperlink r:id="rId77">
        <w:r>
          <w:rPr>
            <w:rStyle w:val="Hyperlink"/>
          </w:rPr>
          <w:t xml:space="preserve">https://doi.org/10.1111/ajps.12690</w:t>
        </w:r>
      </w:hyperlink>
      <w:r>
        <w:t xml:space="preserve">.</w:t>
      </w:r>
    </w:p>
    <w:bookmarkEnd w:id="78"/>
    <w:bookmarkStart w:id="79" w:name="ref-Dahl1977-wj"/>
    <w:p>
      <w:pPr>
        <w:pStyle w:val="Bibliography"/>
      </w:pPr>
      <w:r>
        <w:t xml:space="preserve">Dahl, Robert A. 1977.</w:t>
      </w:r>
      <w:r>
        <w:t xml:space="preserve"> </w:t>
      </w:r>
      <w:r>
        <w:rPr>
          <w:i/>
          <w:iCs/>
        </w:rPr>
        <w:t xml:space="preserve">Polyarchy: Participation and Opposition</w:t>
      </w:r>
      <w:r>
        <w:t xml:space="preserve">. Yale University Press.</w:t>
      </w:r>
    </w:p>
    <w:bookmarkEnd w:id="79"/>
    <w:bookmarkStart w:id="81" w:name="ref-Dalton2007-ei"/>
    <w:p>
      <w:pPr>
        <w:pStyle w:val="Bibliography"/>
      </w:pPr>
      <w:r>
        <w:t xml:space="preserve">Dalton, Russell J, and Hans-Dieter Klingemann, eds. 2007.</w:t>
      </w:r>
      <w:r>
        <w:t xml:space="preserve"> </w:t>
      </w:r>
      <w:r>
        <w:rPr>
          <w:i/>
          <w:iCs/>
        </w:rPr>
        <w:t xml:space="preserve">The</w:t>
      </w:r>
      <w:r>
        <w:rPr>
          <w:i/>
          <w:iCs/>
        </w:rPr>
        <w:t xml:space="preserve"> </w:t>
      </w:r>
      <w:r>
        <w:rPr>
          <w:i/>
          <w:iCs/>
        </w:rPr>
        <w:t xml:space="preserve">oxford</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political</w:t>
      </w:r>
      <w:r>
        <w:rPr>
          <w:i/>
          <w:iCs/>
        </w:rPr>
        <w:t xml:space="preserve"> </w:t>
      </w:r>
      <w:r>
        <w:rPr>
          <w:i/>
          <w:iCs/>
        </w:rPr>
        <w:t xml:space="preserve">behavior</w:t>
      </w:r>
      <w:r>
        <w:t xml:space="preserve">. Oxford Handbooks. Oxford University Press.</w:t>
      </w:r>
      <w:r>
        <w:t xml:space="preserve"> </w:t>
      </w:r>
      <w:hyperlink r:id="rId80">
        <w:r>
          <w:rPr>
            <w:rStyle w:val="Hyperlink"/>
          </w:rPr>
          <w:t xml:space="preserve">https://doi.org/10.1093/oxfordhb/9780199270125.001.0001</w:t>
        </w:r>
      </w:hyperlink>
      <w:r>
        <w:t xml:space="preserve">.</w:t>
      </w:r>
    </w:p>
    <w:bookmarkEnd w:id="81"/>
    <w:bookmarkStart w:id="83"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r>
        <w:t xml:space="preserve"> </w:t>
      </w:r>
      <w:hyperlink r:id="rId82">
        <w:r>
          <w:rPr>
            <w:rStyle w:val="Hyperlink"/>
          </w:rPr>
          <w:t xml:space="preserve">https://doi.org/10.56021/9780801860140</w:t>
        </w:r>
      </w:hyperlink>
      <w:r>
        <w:t xml:space="preserve">.</w:t>
      </w:r>
    </w:p>
    <w:bookmarkEnd w:id="83"/>
    <w:bookmarkStart w:id="85"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84">
        <w:r>
          <w:rPr>
            <w:rStyle w:val="Hyperlink"/>
          </w:rPr>
          <w:t xml:space="preserve">https://doi.org/10.1353/jod.2015.0009</w:t>
        </w:r>
      </w:hyperlink>
      <w:r>
        <w:t xml:space="preserve">.</w:t>
      </w:r>
    </w:p>
    <w:bookmarkEnd w:id="85"/>
    <w:bookmarkStart w:id="87"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86">
        <w:r>
          <w:rPr>
            <w:rStyle w:val="Hyperlink"/>
          </w:rPr>
          <w:t xml:space="preserve">https://doi.org/10.1016/j.electstud.2010.09.009</w:t>
        </w:r>
      </w:hyperlink>
      <w:r>
        <w:t xml:space="preserve">.</w:t>
      </w:r>
    </w:p>
    <w:bookmarkEnd w:id="87"/>
    <w:bookmarkStart w:id="89"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88">
        <w:r>
          <w:rPr>
            <w:rStyle w:val="Hyperlink"/>
          </w:rPr>
          <w:t xml:space="preserve">https://doi.org/10.1111/1475-6765.12370</w:t>
        </w:r>
      </w:hyperlink>
      <w:r>
        <w:t xml:space="preserve">.</w:t>
      </w:r>
    </w:p>
    <w:bookmarkEnd w:id="89"/>
    <w:bookmarkStart w:id="91"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(February): 194–207.</w:t>
      </w:r>
      <w:r>
        <w:t xml:space="preserve"> </w:t>
      </w:r>
      <w:hyperlink r:id="rId90">
        <w:r>
          <w:rPr>
            <w:rStyle w:val="Hyperlink"/>
          </w:rPr>
          <w:t xml:space="preserve">https://doi.org/10.1111/j.1468-2508.2006.00380.x</w:t>
        </w:r>
      </w:hyperlink>
      <w:r>
        <w:t xml:space="preserve">.</w:t>
      </w:r>
    </w:p>
    <w:bookmarkEnd w:id="91"/>
    <w:bookmarkStart w:id="93"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92">
        <w:r>
          <w:rPr>
            <w:rStyle w:val="Hyperlink"/>
          </w:rPr>
          <w:t xml:space="preserve">https://doi.org/10.1093/acprof:oso/9780198766902.001.0001</w:t>
        </w:r>
      </w:hyperlink>
      <w:r>
        <w:t xml:space="preserve">.</w:t>
      </w:r>
    </w:p>
    <w:bookmarkEnd w:id="93"/>
    <w:bookmarkStart w:id="95"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94">
        <w:r>
          <w:rPr>
            <w:rStyle w:val="Hyperlink"/>
          </w:rPr>
          <w:t xml:space="preserve">https://doi.org/10.2307/2110623</w:t>
        </w:r>
      </w:hyperlink>
      <w:r>
        <w:t xml:space="preserve">.</w:t>
      </w:r>
    </w:p>
    <w:bookmarkEnd w:id="95"/>
    <w:bookmarkStart w:id="97" w:name="ref-Foa2016-lq"/>
    <w:p>
      <w:pPr>
        <w:pStyle w:val="Bibliography"/>
      </w:pPr>
      <w:r>
        <w:t xml:space="preserve">Foa, Roberto Stefan, and Yascha Mounk. 2016.</w:t>
      </w:r>
      <w:r>
        <w:t xml:space="preserve"> </w:t>
      </w:r>
      <w:r>
        <w:t xml:space="preserve">“</w:t>
      </w:r>
      <w:r>
        <w:t xml:space="preserve">The democratic disconnect</w:t>
      </w:r>
      <w:r>
        <w:t xml:space="preserve">.”</w:t>
      </w:r>
      <w:r>
        <w:t xml:space="preserve"> </w:t>
      </w:r>
      <w:r>
        <w:rPr>
          <w:i/>
          <w:iCs/>
        </w:rPr>
        <w:t xml:space="preserve">Journal of Democracy</w:t>
      </w:r>
      <w:r>
        <w:t xml:space="preserve"> </w:t>
      </w:r>
      <w:r>
        <w:t xml:space="preserve">27: 5–17.</w:t>
      </w:r>
      <w:r>
        <w:t xml:space="preserve"> </w:t>
      </w:r>
      <w:hyperlink r:id="rId96">
        <w:r>
          <w:rPr>
            <w:rStyle w:val="Hyperlink"/>
          </w:rPr>
          <w:t xml:space="preserve">https://doi.org/10.1353/jod.2016.0049</w:t>
        </w:r>
      </w:hyperlink>
      <w:r>
        <w:t xml:space="preserve">.</w:t>
      </w:r>
    </w:p>
    <w:bookmarkEnd w:id="97"/>
    <w:bookmarkStart w:id="99" w:name="ref-Graham2020-jr"/>
    <w:p>
      <w:pPr>
        <w:pStyle w:val="Bibliography"/>
      </w:pPr>
      <w:r>
        <w:t xml:space="preserve">Graham, Matthew H, and Milan W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(May): 392–409.</w:t>
      </w:r>
      <w:r>
        <w:t xml:space="preserve"> </w:t>
      </w:r>
      <w:hyperlink r:id="rId98">
        <w:r>
          <w:rPr>
            <w:rStyle w:val="Hyperlink"/>
          </w:rPr>
          <w:t xml:space="preserve">https://doi.org/10.1017/s0003055420000052</w:t>
        </w:r>
      </w:hyperlink>
      <w:r>
        <w:t xml:space="preserve">.</w:t>
      </w:r>
    </w:p>
    <w:bookmarkEnd w:id="99"/>
    <w:bookmarkStart w:id="101"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100">
        <w:r>
          <w:rPr>
            <w:rStyle w:val="Hyperlink"/>
          </w:rPr>
          <w:t xml:space="preserve">https://doi.org/10.1177/0021909620911150</w:t>
        </w:r>
      </w:hyperlink>
      <w:r>
        <w:t xml:space="preserve">.</w:t>
      </w:r>
    </w:p>
    <w:bookmarkEnd w:id="101"/>
    <w:bookmarkStart w:id="102"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102"/>
    <w:bookmarkStart w:id="103"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103"/>
    <w:bookmarkStart w:id="104"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104"/>
    <w:bookmarkStart w:id="106"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r>
        <w:t xml:space="preserve"> </w:t>
      </w:r>
      <w:hyperlink r:id="rId105">
        <w:r>
          <w:rPr>
            <w:rStyle w:val="Hyperlink"/>
          </w:rPr>
          <w:t xml:space="preserve">https://doi.org/10.1515/9780691214429</w:t>
        </w:r>
      </w:hyperlink>
      <w:r>
        <w:t xml:space="preserve">.</w:t>
      </w:r>
    </w:p>
    <w:bookmarkEnd w:id="106"/>
    <w:bookmarkStart w:id="108"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r>
        <w:t xml:space="preserve"> </w:t>
      </w:r>
      <w:hyperlink r:id="rId107">
        <w:r>
          <w:rPr>
            <w:rStyle w:val="Hyperlink"/>
          </w:rPr>
          <w:t xml:space="preserve">https://doi.org/10.2307/1914185</w:t>
        </w:r>
      </w:hyperlink>
      <w:r>
        <w:t xml:space="preserve">.</w:t>
      </w:r>
    </w:p>
    <w:bookmarkEnd w:id="108"/>
    <w:bookmarkStart w:id="110" w:name="ref-Kuhonta2014-qk"/>
    <w:p>
      <w:pPr>
        <w:pStyle w:val="Bibliography"/>
      </w:pPr>
      <w:r>
        <w:t xml:space="preserve">Kuhonta, Erik M, and Aim Sinpeng. 2014.</w:t>
      </w:r>
      <w:r>
        <w:t xml:space="preserve"> </w:t>
      </w:r>
      <w:r>
        <w:t xml:space="preserve">“</w:t>
      </w:r>
      <w:r>
        <w:t xml:space="preserve">Democratic regression in Thailand: The ambivalent role of civil society and political institutions</w:t>
      </w:r>
      <w:r>
        <w:t xml:space="preserve">.”</w:t>
      </w:r>
      <w:r>
        <w:t xml:space="preserve"> </w:t>
      </w:r>
      <w:r>
        <w:rPr>
          <w:i/>
          <w:iCs/>
        </w:rPr>
        <w:t xml:space="preserve">Contemporary Southeast Asia</w:t>
      </w:r>
      <w:r>
        <w:t xml:space="preserve"> </w:t>
      </w:r>
      <w:r>
        <w:t xml:space="preserve">36 (December): 333–55.</w:t>
      </w:r>
      <w:r>
        <w:t xml:space="preserve"> </w:t>
      </w:r>
      <w:hyperlink r:id="rId109">
        <w:r>
          <w:rPr>
            <w:rStyle w:val="Hyperlink"/>
          </w:rPr>
          <w:t xml:space="preserve">https://doi.org/10.1355/cs36-3a</w:t>
        </w:r>
      </w:hyperlink>
      <w:r>
        <w:t xml:space="preserve">.</w:t>
      </w:r>
    </w:p>
    <w:bookmarkEnd w:id="110"/>
    <w:bookmarkStart w:id="112"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111">
        <w:r>
          <w:rPr>
            <w:rStyle w:val="Hyperlink"/>
          </w:rPr>
          <w:t xml:space="preserve">https://doi.org/10.1037/0033-2909.108.3.480</w:t>
        </w:r>
      </w:hyperlink>
      <w:r>
        <w:t xml:space="preserve">.</w:t>
      </w:r>
    </w:p>
    <w:bookmarkEnd w:id="112"/>
    <w:bookmarkStart w:id="113" w:name="ref-Levitsky2018-dd"/>
    <w:p>
      <w:pPr>
        <w:pStyle w:val="Bibliography"/>
      </w:pPr>
      <w:r>
        <w:t xml:space="preserve">Levitsky, Steven, and Daniel Ziblatt. 2018.</w:t>
      </w:r>
      <w:r>
        <w:t xml:space="preserve"> </w:t>
      </w:r>
      <w:r>
        <w:rPr>
          <w:i/>
          <w:iCs/>
        </w:rPr>
        <w:t xml:space="preserve">How democracies die</w:t>
      </w:r>
      <w:r>
        <w:t xml:space="preserve">. Viking.</w:t>
      </w:r>
    </w:p>
    <w:bookmarkEnd w:id="113"/>
    <w:bookmarkStart w:id="115"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14">
        <w:r>
          <w:rPr>
            <w:rStyle w:val="Hyperlink"/>
          </w:rPr>
          <w:t xml:space="preserve">https://doi.org/10.1353/jod.1996.0031</w:t>
        </w:r>
      </w:hyperlink>
      <w:r>
        <w:t xml:space="preserve">.</w:t>
      </w:r>
    </w:p>
    <w:bookmarkEnd w:id="115"/>
    <w:bookmarkStart w:id="117"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16">
        <w:r>
          <w:rPr>
            <w:rStyle w:val="Hyperlink"/>
          </w:rPr>
          <w:t xml:space="preserve">https://doi.org/10.1080/13510347.2019.1582029</w:t>
        </w:r>
      </w:hyperlink>
      <w:r>
        <w:t xml:space="preserve">.</w:t>
      </w:r>
    </w:p>
    <w:bookmarkEnd w:id="117"/>
    <w:bookmarkStart w:id="119" w:name="ref-Mauk2020-bu"/>
    <w:p>
      <w:pPr>
        <w:pStyle w:val="Bibliography"/>
      </w:pPr>
      <w:r>
        <w:t xml:space="preserve">Mauk, Marlene. 2020.</w:t>
      </w:r>
      <w:r>
        <w:t xml:space="preserve"> </w:t>
      </w:r>
      <w:r>
        <w:rPr>
          <w:i/>
          <w:iCs/>
        </w:rPr>
        <w:t xml:space="preserve">Citizen support for democratic and autocratic regimes</w:t>
      </w:r>
      <w:r>
        <w:t xml:space="preserve">. Comparative Politics. Oxford University Press.</w:t>
      </w:r>
      <w:r>
        <w:t xml:space="preserve"> </w:t>
      </w:r>
      <w:hyperlink r:id="rId118">
        <w:r>
          <w:rPr>
            <w:rStyle w:val="Hyperlink"/>
          </w:rPr>
          <w:t xml:space="preserve">https://doi.org/10.1093/oso/9780198854852.001.0001</w:t>
        </w:r>
      </w:hyperlink>
      <w:r>
        <w:t xml:space="preserve">.</w:t>
      </w:r>
    </w:p>
    <w:bookmarkEnd w:id="119"/>
    <w:bookmarkStart w:id="121"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20">
        <w:r>
          <w:rPr>
            <w:rStyle w:val="Hyperlink"/>
          </w:rPr>
          <w:t xml:space="preserve">https://doi.org/10.1353/jod.2019.0056</w:t>
        </w:r>
      </w:hyperlink>
      <w:r>
        <w:t xml:space="preserve">.</w:t>
      </w:r>
    </w:p>
    <w:bookmarkEnd w:id="121"/>
    <w:bookmarkStart w:id="123"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(October): 553–63.</w:t>
      </w:r>
      <w:r>
        <w:t xml:space="preserve"> </w:t>
      </w:r>
      <w:hyperlink r:id="rId122">
        <w:r>
          <w:rPr>
            <w:rStyle w:val="Hyperlink"/>
          </w:rPr>
          <w:t xml:space="preserve">https://doi.org/10.1017/s0007123400006736</w:t>
        </w:r>
      </w:hyperlink>
      <w:r>
        <w:t xml:space="preserve">.</w:t>
      </w:r>
    </w:p>
    <w:bookmarkEnd w:id="123"/>
    <w:bookmarkStart w:id="125" w:name="ref-Norris2011-qz"/>
    <w:p>
      <w:pPr>
        <w:pStyle w:val="Bibliography"/>
      </w:pPr>
      <w:r>
        <w:t xml:space="preserve">Norris, Pippa. 2011.</w:t>
      </w:r>
      <w:r>
        <w:t xml:space="preserve"> </w:t>
      </w:r>
      <w:r>
        <w:rPr>
          <w:i/>
          <w:iCs/>
        </w:rPr>
        <w:t xml:space="preserve">Democratic deficit: Critical citizens revisited</w:t>
      </w:r>
      <w:r>
        <w:t xml:space="preserve">. Cambridge University Press.</w:t>
      </w:r>
      <w:r>
        <w:t xml:space="preserve"> </w:t>
      </w:r>
      <w:hyperlink r:id="rId124">
        <w:r>
          <w:rPr>
            <w:rStyle w:val="Hyperlink"/>
          </w:rPr>
          <w:t xml:space="preserve">https://doi.org/10.1017/cbo9780511973383</w:t>
        </w:r>
      </w:hyperlink>
      <w:r>
        <w:t xml:space="preserve">.</w:t>
      </w:r>
    </w:p>
    <w:bookmarkEnd w:id="125"/>
    <w:bookmarkStart w:id="127" w:name="ref-Norris2012-er"/>
    <w:p>
      <w:pPr>
        <w:pStyle w:val="Bibliography"/>
      </w:pPr>
      <w:r>
        <w:t xml:space="preserve">Norris, Pippa. 2012.</w:t>
      </w:r>
      <w:r>
        <w:t xml:space="preserve"> </w:t>
      </w:r>
      <w:r>
        <w:rPr>
          <w:i/>
          <w:iCs/>
        </w:rPr>
        <w:t xml:space="preserve">Making democratic governance work: How regimes shape prosperity, welfare, and peace</w:t>
      </w:r>
      <w:r>
        <w:t xml:space="preserve">. Cambridge University Press.</w:t>
      </w:r>
      <w:r>
        <w:t xml:space="preserve"> </w:t>
      </w:r>
      <w:hyperlink r:id="rId126">
        <w:r>
          <w:rPr>
            <w:rStyle w:val="Hyperlink"/>
          </w:rPr>
          <w:t xml:space="preserve">https://doi.org/10.1017/cbo9781139061902</w:t>
        </w:r>
      </w:hyperlink>
      <w:r>
        <w:t xml:space="preserve">.</w:t>
      </w:r>
    </w:p>
    <w:bookmarkEnd w:id="127"/>
    <w:bookmarkStart w:id="129"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r>
        <w:t xml:space="preserve"> </w:t>
      </w:r>
      <w:hyperlink r:id="rId128">
        <w:r>
          <w:rPr>
            <w:rStyle w:val="Hyperlink"/>
          </w:rPr>
          <w:t xml:space="preserve">https://doi.org/10.1515/9780824842659</w:t>
        </w:r>
      </w:hyperlink>
      <w:r>
        <w:t xml:space="preserve">.</w:t>
      </w:r>
    </w:p>
    <w:bookmarkEnd w:id="129"/>
    <w:bookmarkStart w:id="131" w:name="ref-Pankaew2022-pr"/>
    <w:p>
      <w:pPr>
        <w:pStyle w:val="Bibliography"/>
      </w:pPr>
      <w:r>
        <w:t xml:space="preserve">Pankaew, Attasit, Stithorn Thananithichot, and Wichuda Satidporn. 2022.</w:t>
      </w:r>
      <w:r>
        <w:t xml:space="preserve"> </w:t>
      </w:r>
      <w:r>
        <w:t xml:space="preserve">“</w:t>
      </w:r>
      <w:r>
        <w:t xml:space="preserve">Determinants of political participation in Thailand: An analysis of survey data (2002–2014)</w:t>
      </w:r>
      <w:r>
        <w:t xml:space="preserve">.”</w:t>
      </w:r>
      <w:r>
        <w:t xml:space="preserve"> </w:t>
      </w:r>
      <w:r>
        <w:rPr>
          <w:i/>
          <w:iCs/>
        </w:rPr>
        <w:t xml:space="preserve">Asian Politics &amp; Policy</w:t>
      </w:r>
      <w:r>
        <w:t xml:space="preserve"> </w:t>
      </w:r>
      <w:r>
        <w:t xml:space="preserve">14 (January): 92–113.</w:t>
      </w:r>
      <w:r>
        <w:t xml:space="preserve"> </w:t>
      </w:r>
      <w:hyperlink r:id="rId130">
        <w:r>
          <w:rPr>
            <w:rStyle w:val="Hyperlink"/>
          </w:rPr>
          <w:t xml:space="preserve">https://doi.org/10.1111/aspp.12625</w:t>
        </w:r>
      </w:hyperlink>
      <w:r>
        <w:t xml:space="preserve">.</w:t>
      </w:r>
    </w:p>
    <w:bookmarkEnd w:id="131"/>
    <w:bookmarkStart w:id="133"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32">
        <w:r>
          <w:rPr>
            <w:rStyle w:val="Hyperlink"/>
          </w:rPr>
          <w:t xml:space="preserve">https://doi.org/10.1177/20578911231225501</w:t>
        </w:r>
      </w:hyperlink>
      <w:r>
        <w:t xml:space="preserve">.</w:t>
      </w:r>
    </w:p>
    <w:bookmarkEnd w:id="133"/>
    <w:bookmarkStart w:id="135" w:name="ref-Ricks2019-hs"/>
    <w:p>
      <w:pPr>
        <w:pStyle w:val="Bibliography"/>
      </w:pPr>
      <w:r>
        <w:t xml:space="preserve">Ricks, Jacob I. 2019.</w:t>
      </w:r>
      <w:r>
        <w:t xml:space="preserve"> </w:t>
      </w:r>
      <w:r>
        <w:t xml:space="preserve">“</w:t>
      </w:r>
      <w:r>
        <w:t xml:space="preserve">Thailand’s 2019 vote: The general’s election</w:t>
      </w:r>
      <w:r>
        <w:t xml:space="preserve">.”</w:t>
      </w:r>
      <w:r>
        <w:t xml:space="preserve"> </w:t>
      </w:r>
      <w:r>
        <w:rPr>
          <w:i/>
          <w:iCs/>
        </w:rPr>
        <w:t xml:space="preserve">Pacific Affairs</w:t>
      </w:r>
      <w:r>
        <w:t xml:space="preserve"> </w:t>
      </w:r>
      <w:r>
        <w:t xml:space="preserve">92 (September): 443–57.</w:t>
      </w:r>
      <w:r>
        <w:t xml:space="preserve"> </w:t>
      </w:r>
      <w:hyperlink r:id="rId134">
        <w:r>
          <w:rPr>
            <w:rStyle w:val="Hyperlink"/>
          </w:rPr>
          <w:t xml:space="preserve">https://doi.org/10.5509/2019923443</w:t>
        </w:r>
      </w:hyperlink>
      <w:r>
        <w:t xml:space="preserve">.</w:t>
      </w:r>
    </w:p>
    <w:bookmarkEnd w:id="135"/>
    <w:bookmarkStart w:id="137"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36">
        <w:r>
          <w:rPr>
            <w:rStyle w:val="Hyperlink"/>
          </w:rPr>
          <w:t xml:space="preserve">https://doi.org/10.1177/18681034251341319</w:t>
        </w:r>
      </w:hyperlink>
      <w:r>
        <w:t xml:space="preserve">.</w:t>
      </w:r>
    </w:p>
    <w:bookmarkEnd w:id="137"/>
    <w:bookmarkStart w:id="139"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r>
        <w:t xml:space="preserve"> </w:t>
      </w:r>
      <w:hyperlink r:id="rId138">
        <w:r>
          <w:rPr>
            <w:rStyle w:val="Hyperlink"/>
          </w:rPr>
          <w:t xml:space="preserve">https://doi.org/10.1353/jod.1998.0030</w:t>
        </w:r>
      </w:hyperlink>
      <w:r>
        <w:t xml:space="preserve">.</w:t>
      </w:r>
    </w:p>
    <w:bookmarkEnd w:id="139"/>
    <w:bookmarkStart w:id="141" w:name="ref-Schumpeter2013-em"/>
    <w:p>
      <w:pPr>
        <w:pStyle w:val="Bibliography"/>
      </w:pPr>
      <w:r>
        <w:t xml:space="preserve">Schumpeter, Joseph A. 2013.</w:t>
      </w:r>
      <w:r>
        <w:t xml:space="preserve"> </w:t>
      </w:r>
      <w:r>
        <w:rPr>
          <w:i/>
          <w:iCs/>
        </w:rPr>
        <w:t xml:space="preserve">Capitalism, socialism and democracy</w:t>
      </w:r>
      <w:r>
        <w:t xml:space="preserve">. 3rd ed. Edited by Richard Swedberg. Routledge.</w:t>
      </w:r>
      <w:r>
        <w:t xml:space="preserve"> </w:t>
      </w:r>
      <w:hyperlink r:id="rId140">
        <w:r>
          <w:rPr>
            <w:rStyle w:val="Hyperlink"/>
          </w:rPr>
          <w:t xml:space="preserve">https://doi.org/10.4324/9780203202050</w:t>
        </w:r>
      </w:hyperlink>
      <w:r>
        <w:t xml:space="preserve">.</w:t>
      </w:r>
    </w:p>
    <w:bookmarkEnd w:id="141"/>
    <w:bookmarkStart w:id="14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r>
        <w:t xml:space="preserve"> </w:t>
      </w:r>
      <w:hyperlink r:id="rId142">
        <w:r>
          <w:rPr>
            <w:rStyle w:val="Hyperlink"/>
          </w:rPr>
          <w:t xml:space="preserve">https://doi.org/10.1017/cbo9781139084086</w:t>
        </w:r>
      </w:hyperlink>
      <w:r>
        <w:t xml:space="preserve">.</w:t>
      </w:r>
    </w:p>
    <w:bookmarkEnd w:id="143"/>
    <w:bookmarkStart w:id="14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44">
        <w:r>
          <w:rPr>
            <w:rStyle w:val="Hyperlink"/>
          </w:rPr>
          <w:t xml:space="preserve">https://doi.org/10.1017/s1468109918000063</w:t>
        </w:r>
      </w:hyperlink>
      <w:r>
        <w:t xml:space="preserve">.</w:t>
      </w:r>
    </w:p>
    <w:bookmarkEnd w:id="145"/>
    <w:bookmarkStart w:id="14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46">
        <w:r>
          <w:rPr>
            <w:rStyle w:val="Hyperlink"/>
          </w:rPr>
          <w:t xml:space="preserve">https://doi.org/10.1016/j.electstud.2011.11.001</w:t>
        </w:r>
      </w:hyperlink>
      <w:r>
        <w:t xml:space="preserve">.</w:t>
      </w:r>
    </w:p>
    <w:bookmarkEnd w:id="147"/>
    <w:bookmarkStart w:id="14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(April): 192–205.</w:t>
      </w:r>
      <w:r>
        <w:t xml:space="preserve"> </w:t>
      </w:r>
      <w:hyperlink r:id="rId148">
        <w:r>
          <w:rPr>
            <w:rStyle w:val="Hyperlink"/>
          </w:rPr>
          <w:t xml:space="preserve">https://doi.org/10.1080/14672715.2021.1882866</w:t>
        </w:r>
      </w:hyperlink>
      <w:r>
        <w:t xml:space="preserve">.</w:t>
      </w:r>
    </w:p>
    <w:bookmarkEnd w:id="149"/>
    <w:bookmarkStart w:id="151" w:name="ref-Slater2010-ba"/>
    <w:p>
      <w:pPr>
        <w:pStyle w:val="Bibliography"/>
      </w:pPr>
      <w:r>
        <w:t xml:space="preserve">Slater, Dan. 2010.</w:t>
      </w:r>
      <w:r>
        <w:t xml:space="preserve"> </w:t>
      </w:r>
      <w:r>
        <w:rPr>
          <w:i/>
          <w:iCs/>
        </w:rPr>
        <w:t xml:space="preserve">Cambridge studies in comparative politics: Ordering power: Contentious politics and authoritarian leviathans in southeast Asia</w:t>
      </w:r>
      <w:r>
        <w:t xml:space="preserve">. Cambridge University Press.</w:t>
      </w:r>
      <w:r>
        <w:t xml:space="preserve"> </w:t>
      </w:r>
      <w:hyperlink r:id="rId150">
        <w:r>
          <w:rPr>
            <w:rStyle w:val="Hyperlink"/>
          </w:rPr>
          <w:t xml:space="preserve">https://doi.org/10.1017/cbo9780511760891</w:t>
        </w:r>
      </w:hyperlink>
      <w:r>
        <w:t xml:space="preserve">.</w:t>
      </w:r>
    </w:p>
    <w:bookmarkEnd w:id="151"/>
    <w:bookmarkStart w:id="153" w:name="ref-Svolik2019-zi"/>
    <w:p>
      <w:pPr>
        <w:pStyle w:val="Bibliography"/>
      </w:pPr>
      <w:r>
        <w:t xml:space="preserve">Svolik, Milan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r>
        <w:t xml:space="preserve"> </w:t>
      </w:r>
      <w:hyperlink r:id="rId152">
        <w:r>
          <w:rPr>
            <w:rStyle w:val="Hyperlink"/>
          </w:rPr>
          <w:t xml:space="preserve">https://doi.org/10.1353/jod.2019.0039</w:t>
        </w:r>
      </w:hyperlink>
      <w:r>
        <w:t xml:space="preserve">.</w:t>
      </w:r>
    </w:p>
    <w:bookmarkEnd w:id="153"/>
    <w:bookmarkStart w:id="155"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54">
        <w:r>
          <w:rPr>
            <w:rStyle w:val="Hyperlink"/>
          </w:rPr>
          <w:t xml:space="preserve">https://doi.org/10.1111/j.1540-5907.2006.00214.x</w:t>
        </w:r>
      </w:hyperlink>
      <w:r>
        <w:t xml:space="preserve">.</w:t>
      </w:r>
    </w:p>
    <w:bookmarkEnd w:id="155"/>
    <w:bookmarkStart w:id="157" w:name="ref-Waldner2018-yw"/>
    <w:p>
      <w:pPr>
        <w:pStyle w:val="Bibliography"/>
      </w:pPr>
      <w:r>
        <w:t xml:space="preserve">Waldner, David, and Ellen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 (Palo Alto, Calif.)</w:t>
      </w:r>
      <w:r>
        <w:t xml:space="preserve"> </w:t>
      </w:r>
      <w:r>
        <w:t xml:space="preserve">21 (May): 93–113.</w:t>
      </w:r>
      <w:r>
        <w:t xml:space="preserve"> </w:t>
      </w:r>
      <w:hyperlink r:id="rId156">
        <w:r>
          <w:rPr>
            <w:rStyle w:val="Hyperlink"/>
          </w:rPr>
          <w:t xml:space="preserve">https://doi.org/10.1146/annurev-polisci-050517-114628</w:t>
        </w:r>
      </w:hyperlink>
      <w:r>
        <w:t xml:space="preserve">.</w:t>
      </w:r>
    </w:p>
    <w:bookmarkEnd w:id="157"/>
    <w:bookmarkStart w:id="159" w:name="ref-Wu2022-hz"/>
    <w:p>
      <w:pPr>
        <w:pStyle w:val="Bibliography"/>
      </w:pPr>
      <w:r>
        <w:t xml:space="preserve">Wu, Chun-Ying, and Chin-En Wu. 2022.</w:t>
      </w:r>
      <w:r>
        <w:t xml:space="preserve"> </w:t>
      </w:r>
      <w:r>
        <w:t xml:space="preserve">“</w:t>
      </w:r>
      <w:r>
        <w:t xml:space="preserve">Regime Types and Winner-Loser Gaps in Support for Democracy in</w:t>
      </w:r>
      <w:r>
        <w:t xml:space="preserve"> </w:t>
      </w:r>
      <w:r>
        <w:t xml:space="preserve">East Asia</w:t>
      </w:r>
      <w:r>
        <w:t xml:space="preserve">.”</w:t>
      </w:r>
      <w:r>
        <w:t xml:space="preserve"> </w:t>
      </w:r>
      <w:r>
        <w:rPr>
          <w:i/>
          <w:iCs/>
        </w:rPr>
        <w:t xml:space="preserve">Democratization</w:t>
      </w:r>
      <w:r>
        <w:t xml:space="preserve"> </w:t>
      </w:r>
      <w:r>
        <w:t xml:space="preserve">29: 1453–73.</w:t>
      </w:r>
      <w:r>
        <w:t xml:space="preserve"> </w:t>
      </w:r>
      <w:hyperlink r:id="rId158">
        <w:r>
          <w:rPr>
            <w:rStyle w:val="Hyperlink"/>
          </w:rPr>
          <w:t xml:space="preserve">https://doi.org/10.1080/13510347.2022.2082887</w:t>
        </w:r>
      </w:hyperlink>
      <w:r>
        <w:t xml:space="preserve">.</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7">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hyperlink" Id="rId86" Target="https://doi.org/10.1016/j.electstud.2010.09.009" TargetMode="External" /><Relationship Type="http://schemas.openxmlformats.org/officeDocument/2006/relationships/hyperlink" Id="rId146" Target="https://doi.org/10.1016/j.electstud.2011.11.001" TargetMode="External" /><Relationship Type="http://schemas.openxmlformats.org/officeDocument/2006/relationships/hyperlink" Id="rId150" Target="https://doi.org/10.1017/cbo9780511760891" TargetMode="External" /><Relationship Type="http://schemas.openxmlformats.org/officeDocument/2006/relationships/hyperlink" Id="rId124" Target="https://doi.org/10.1017/cbo9780511973383" TargetMode="External" /><Relationship Type="http://schemas.openxmlformats.org/officeDocument/2006/relationships/hyperlink" Id="rId126" Target="https://doi.org/10.1017/cbo9781139061902" TargetMode="External" /><Relationship Type="http://schemas.openxmlformats.org/officeDocument/2006/relationships/hyperlink" Id="rId142" Target="https://doi.org/10.1017/cbo9781139084086" TargetMode="External" /><Relationship Type="http://schemas.openxmlformats.org/officeDocument/2006/relationships/hyperlink" Id="rId98" Target="https://doi.org/10.1017/s0003055420000052" TargetMode="External" /><Relationship Type="http://schemas.openxmlformats.org/officeDocument/2006/relationships/hyperlink" Id="rId122" Target="https://doi.org/10.1017/s0007123400006736" TargetMode="External" /><Relationship Type="http://schemas.openxmlformats.org/officeDocument/2006/relationships/hyperlink" Id="rId59" Target="https://doi.org/10.1017/s0007123401000175"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44" Target="https://doi.org/10.1017/s1468109918000063" TargetMode="External" /><Relationship Type="http://schemas.openxmlformats.org/officeDocument/2006/relationships/hyperlink" Id="rId111" Target="https://doi.org/10.1037/0033-2909.108.3.480" TargetMode="External" /><Relationship Type="http://schemas.openxmlformats.org/officeDocument/2006/relationships/hyperlink" Id="rId116" Target="https://doi.org/10.1080/13510347.2019.1582029" TargetMode="External" /><Relationship Type="http://schemas.openxmlformats.org/officeDocument/2006/relationships/hyperlink" Id="rId158" Target="https://doi.org/10.1080/13510347.2022.2082887" TargetMode="External" /><Relationship Type="http://schemas.openxmlformats.org/officeDocument/2006/relationships/hyperlink" Id="rId148" Target="https://doi.org/10.1080/14672715.2021.1882866" TargetMode="External" /><Relationship Type="http://schemas.openxmlformats.org/officeDocument/2006/relationships/hyperlink" Id="rId51" Target="https://doi.org/10.1093/0199276382.001.0001" TargetMode="External" /><Relationship Type="http://schemas.openxmlformats.org/officeDocument/2006/relationships/hyperlink" Id="rId92" Target="https://doi.org/10.1093/acprof:oso/9780198766902.001.0001" TargetMode="External" /><Relationship Type="http://schemas.openxmlformats.org/officeDocument/2006/relationships/hyperlink" Id="rId118" Target="https://doi.org/10.1093/oso/9780198854852.001.0001" TargetMode="External" /><Relationship Type="http://schemas.openxmlformats.org/officeDocument/2006/relationships/hyperlink" Id="rId80" Target="https://doi.org/10.1093/oxfordhb/9780199270125.001.0001" TargetMode="External" /><Relationship Type="http://schemas.openxmlformats.org/officeDocument/2006/relationships/hyperlink" Id="rId88" Target="https://doi.org/10.1111/1475-6765.12370" TargetMode="External" /><Relationship Type="http://schemas.openxmlformats.org/officeDocument/2006/relationships/hyperlink" Id="rId75" Target="https://doi.org/10.1111/ajps.12452" TargetMode="External" /><Relationship Type="http://schemas.openxmlformats.org/officeDocument/2006/relationships/hyperlink" Id="rId77" Target="https://doi.org/10.1111/ajps.12690" TargetMode="External" /><Relationship Type="http://schemas.openxmlformats.org/officeDocument/2006/relationships/hyperlink" Id="rId130" Target="https://doi.org/10.1111/aspp.12625" TargetMode="External" /><Relationship Type="http://schemas.openxmlformats.org/officeDocument/2006/relationships/hyperlink" Id="rId90" Target="https://doi.org/10.1111/j.1468-2508.2006.00380.x" TargetMode="External" /><Relationship Type="http://schemas.openxmlformats.org/officeDocument/2006/relationships/hyperlink" Id="rId154" Target="https://doi.org/10.1111/j.1540-5907.2006.00214.x" TargetMode="External" /><Relationship Type="http://schemas.openxmlformats.org/officeDocument/2006/relationships/hyperlink" Id="rId156" Target="https://doi.org/10.1146/annurev-polisci-050517-114628" TargetMode="External" /><Relationship Type="http://schemas.openxmlformats.org/officeDocument/2006/relationships/hyperlink" Id="rId63" Target="https://doi.org/10.1162/rest.90.3.414" TargetMode="External" /><Relationship Type="http://schemas.openxmlformats.org/officeDocument/2006/relationships/hyperlink" Id="rId65" Target="https://doi.org/10.1177/0010414011434009" TargetMode="External" /><Relationship Type="http://schemas.openxmlformats.org/officeDocument/2006/relationships/hyperlink" Id="rId61" Target="https://doi.org/10.1177/00104140231152784" TargetMode="External" /><Relationship Type="http://schemas.openxmlformats.org/officeDocument/2006/relationships/hyperlink" Id="rId100" Target="https://doi.org/10.1177/0021909620911150" TargetMode="External" /><Relationship Type="http://schemas.openxmlformats.org/officeDocument/2006/relationships/hyperlink" Id="rId67" Target="https://doi.org/10.1177/1065912914532721" TargetMode="External" /><Relationship Type="http://schemas.openxmlformats.org/officeDocument/2006/relationships/hyperlink" Id="rId136" Target="https://doi.org/10.1177/18681034251341319" TargetMode="External" /><Relationship Type="http://schemas.openxmlformats.org/officeDocument/2006/relationships/hyperlink" Id="rId132" Target="https://doi.org/10.1177/20578911231225501" TargetMode="External" /><Relationship Type="http://schemas.openxmlformats.org/officeDocument/2006/relationships/hyperlink" Id="rId114" Target="https://doi.org/10.1353/jod.1996.0031" TargetMode="External" /><Relationship Type="http://schemas.openxmlformats.org/officeDocument/2006/relationships/hyperlink" Id="rId138" Target="https://doi.org/10.1353/jod.1998.0030" TargetMode="External" /><Relationship Type="http://schemas.openxmlformats.org/officeDocument/2006/relationships/hyperlink" Id="rId72" Target="https://doi.org/10.1353/jod.2010.0009" TargetMode="External" /><Relationship Type="http://schemas.openxmlformats.org/officeDocument/2006/relationships/hyperlink" Id="rId84" Target="https://doi.org/10.1353/jod.2015.0009" TargetMode="External" /><Relationship Type="http://schemas.openxmlformats.org/officeDocument/2006/relationships/hyperlink" Id="rId96" Target="https://doi.org/10.1353/jod.2016.0049" TargetMode="External" /><Relationship Type="http://schemas.openxmlformats.org/officeDocument/2006/relationships/hyperlink" Id="rId152" Target="https://doi.org/10.1353/jod.2019.0039" TargetMode="External" /><Relationship Type="http://schemas.openxmlformats.org/officeDocument/2006/relationships/hyperlink" Id="rId120" Target="https://doi.org/10.1353/jod.2019.0056" TargetMode="External" /><Relationship Type="http://schemas.openxmlformats.org/officeDocument/2006/relationships/hyperlink" Id="rId109" Target="https://doi.org/10.1355/cs36-3a" TargetMode="External" /><Relationship Type="http://schemas.openxmlformats.org/officeDocument/2006/relationships/hyperlink" Id="rId105" Target="https://doi.org/10.1515/9780691214429" TargetMode="External" /><Relationship Type="http://schemas.openxmlformats.org/officeDocument/2006/relationships/hyperlink" Id="rId128" Target="https://doi.org/10.1515/9780824842659" TargetMode="External" /><Relationship Type="http://schemas.openxmlformats.org/officeDocument/2006/relationships/hyperlink" Id="rId107" Target="https://doi.org/10.2307/1914185" TargetMode="External" /><Relationship Type="http://schemas.openxmlformats.org/officeDocument/2006/relationships/hyperlink" Id="rId94"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40" Target="https://doi.org/10.4324/9780203202050" TargetMode="External" /><Relationship Type="http://schemas.openxmlformats.org/officeDocument/2006/relationships/hyperlink" Id="rId134" Target="https://doi.org/10.5509/2019923443" TargetMode="External" /><Relationship Type="http://schemas.openxmlformats.org/officeDocument/2006/relationships/hyperlink" Id="rId82" Target="https://doi.org/10.56021/9780801860140" TargetMode="External" /><Relationship Type="http://schemas.openxmlformats.org/officeDocument/2006/relationships/hyperlink" Id="rId70" Target="https://doi.org/10.7312/chu-14534"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j.electstud.2010.09.009" TargetMode="External" /><Relationship Type="http://schemas.openxmlformats.org/officeDocument/2006/relationships/hyperlink" Id="rId146" Target="https://doi.org/10.1016/j.electstud.2011.11.001" TargetMode="External" /><Relationship Type="http://schemas.openxmlformats.org/officeDocument/2006/relationships/hyperlink" Id="rId150" Target="https://doi.org/10.1017/cbo9780511760891" TargetMode="External" /><Relationship Type="http://schemas.openxmlformats.org/officeDocument/2006/relationships/hyperlink" Id="rId124" Target="https://doi.org/10.1017/cbo9780511973383" TargetMode="External" /><Relationship Type="http://schemas.openxmlformats.org/officeDocument/2006/relationships/hyperlink" Id="rId126" Target="https://doi.org/10.1017/cbo9781139061902" TargetMode="External" /><Relationship Type="http://schemas.openxmlformats.org/officeDocument/2006/relationships/hyperlink" Id="rId142" Target="https://doi.org/10.1017/cbo9781139084086" TargetMode="External" /><Relationship Type="http://schemas.openxmlformats.org/officeDocument/2006/relationships/hyperlink" Id="rId98" Target="https://doi.org/10.1017/s0003055420000052" TargetMode="External" /><Relationship Type="http://schemas.openxmlformats.org/officeDocument/2006/relationships/hyperlink" Id="rId122" Target="https://doi.org/10.1017/s0007123400006736" TargetMode="External" /><Relationship Type="http://schemas.openxmlformats.org/officeDocument/2006/relationships/hyperlink" Id="rId59" Target="https://doi.org/10.1017/s0007123401000175"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44" Target="https://doi.org/10.1017/s1468109918000063" TargetMode="External" /><Relationship Type="http://schemas.openxmlformats.org/officeDocument/2006/relationships/hyperlink" Id="rId111" Target="https://doi.org/10.1037/0033-2909.108.3.480" TargetMode="External" /><Relationship Type="http://schemas.openxmlformats.org/officeDocument/2006/relationships/hyperlink" Id="rId116" Target="https://doi.org/10.1080/13510347.2019.1582029" TargetMode="External" /><Relationship Type="http://schemas.openxmlformats.org/officeDocument/2006/relationships/hyperlink" Id="rId158" Target="https://doi.org/10.1080/13510347.2022.2082887" TargetMode="External" /><Relationship Type="http://schemas.openxmlformats.org/officeDocument/2006/relationships/hyperlink" Id="rId148" Target="https://doi.org/10.1080/14672715.2021.1882866" TargetMode="External" /><Relationship Type="http://schemas.openxmlformats.org/officeDocument/2006/relationships/hyperlink" Id="rId51" Target="https://doi.org/10.1093/0199276382.001.0001" TargetMode="External" /><Relationship Type="http://schemas.openxmlformats.org/officeDocument/2006/relationships/hyperlink" Id="rId92" Target="https://doi.org/10.1093/acprof:oso/9780198766902.001.0001" TargetMode="External" /><Relationship Type="http://schemas.openxmlformats.org/officeDocument/2006/relationships/hyperlink" Id="rId118" Target="https://doi.org/10.1093/oso/9780198854852.001.0001" TargetMode="External" /><Relationship Type="http://schemas.openxmlformats.org/officeDocument/2006/relationships/hyperlink" Id="rId80" Target="https://doi.org/10.1093/oxfordhb/9780199270125.001.0001" TargetMode="External" /><Relationship Type="http://schemas.openxmlformats.org/officeDocument/2006/relationships/hyperlink" Id="rId88" Target="https://doi.org/10.1111/1475-6765.12370" TargetMode="External" /><Relationship Type="http://schemas.openxmlformats.org/officeDocument/2006/relationships/hyperlink" Id="rId75" Target="https://doi.org/10.1111/ajps.12452" TargetMode="External" /><Relationship Type="http://schemas.openxmlformats.org/officeDocument/2006/relationships/hyperlink" Id="rId77" Target="https://doi.org/10.1111/ajps.12690" TargetMode="External" /><Relationship Type="http://schemas.openxmlformats.org/officeDocument/2006/relationships/hyperlink" Id="rId130" Target="https://doi.org/10.1111/aspp.12625" TargetMode="External" /><Relationship Type="http://schemas.openxmlformats.org/officeDocument/2006/relationships/hyperlink" Id="rId90" Target="https://doi.org/10.1111/j.1468-2508.2006.00380.x" TargetMode="External" /><Relationship Type="http://schemas.openxmlformats.org/officeDocument/2006/relationships/hyperlink" Id="rId154" Target="https://doi.org/10.1111/j.1540-5907.2006.00214.x" TargetMode="External" /><Relationship Type="http://schemas.openxmlformats.org/officeDocument/2006/relationships/hyperlink" Id="rId156" Target="https://doi.org/10.1146/annurev-polisci-050517-114628" TargetMode="External" /><Relationship Type="http://schemas.openxmlformats.org/officeDocument/2006/relationships/hyperlink" Id="rId63" Target="https://doi.org/10.1162/rest.90.3.414" TargetMode="External" /><Relationship Type="http://schemas.openxmlformats.org/officeDocument/2006/relationships/hyperlink" Id="rId65" Target="https://doi.org/10.1177/0010414011434009" TargetMode="External" /><Relationship Type="http://schemas.openxmlformats.org/officeDocument/2006/relationships/hyperlink" Id="rId61" Target="https://doi.org/10.1177/00104140231152784" TargetMode="External" /><Relationship Type="http://schemas.openxmlformats.org/officeDocument/2006/relationships/hyperlink" Id="rId100" Target="https://doi.org/10.1177/0021909620911150" TargetMode="External" /><Relationship Type="http://schemas.openxmlformats.org/officeDocument/2006/relationships/hyperlink" Id="rId67" Target="https://doi.org/10.1177/1065912914532721" TargetMode="External" /><Relationship Type="http://schemas.openxmlformats.org/officeDocument/2006/relationships/hyperlink" Id="rId136" Target="https://doi.org/10.1177/18681034251341319" TargetMode="External" /><Relationship Type="http://schemas.openxmlformats.org/officeDocument/2006/relationships/hyperlink" Id="rId132" Target="https://doi.org/10.1177/20578911231225501" TargetMode="External" /><Relationship Type="http://schemas.openxmlformats.org/officeDocument/2006/relationships/hyperlink" Id="rId114" Target="https://doi.org/10.1353/jod.1996.0031" TargetMode="External" /><Relationship Type="http://schemas.openxmlformats.org/officeDocument/2006/relationships/hyperlink" Id="rId138" Target="https://doi.org/10.1353/jod.1998.0030" TargetMode="External" /><Relationship Type="http://schemas.openxmlformats.org/officeDocument/2006/relationships/hyperlink" Id="rId72" Target="https://doi.org/10.1353/jod.2010.0009" TargetMode="External" /><Relationship Type="http://schemas.openxmlformats.org/officeDocument/2006/relationships/hyperlink" Id="rId84" Target="https://doi.org/10.1353/jod.2015.0009" TargetMode="External" /><Relationship Type="http://schemas.openxmlformats.org/officeDocument/2006/relationships/hyperlink" Id="rId96" Target="https://doi.org/10.1353/jod.2016.0049" TargetMode="External" /><Relationship Type="http://schemas.openxmlformats.org/officeDocument/2006/relationships/hyperlink" Id="rId152" Target="https://doi.org/10.1353/jod.2019.0039" TargetMode="External" /><Relationship Type="http://schemas.openxmlformats.org/officeDocument/2006/relationships/hyperlink" Id="rId120" Target="https://doi.org/10.1353/jod.2019.0056" TargetMode="External" /><Relationship Type="http://schemas.openxmlformats.org/officeDocument/2006/relationships/hyperlink" Id="rId109" Target="https://doi.org/10.1355/cs36-3a" TargetMode="External" /><Relationship Type="http://schemas.openxmlformats.org/officeDocument/2006/relationships/hyperlink" Id="rId105" Target="https://doi.org/10.1515/9780691214429" TargetMode="External" /><Relationship Type="http://schemas.openxmlformats.org/officeDocument/2006/relationships/hyperlink" Id="rId128" Target="https://doi.org/10.1515/9780824842659" TargetMode="External" /><Relationship Type="http://schemas.openxmlformats.org/officeDocument/2006/relationships/hyperlink" Id="rId107" Target="https://doi.org/10.2307/1914185" TargetMode="External" /><Relationship Type="http://schemas.openxmlformats.org/officeDocument/2006/relationships/hyperlink" Id="rId94"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40" Target="https://doi.org/10.4324/9780203202050" TargetMode="External" /><Relationship Type="http://schemas.openxmlformats.org/officeDocument/2006/relationships/hyperlink" Id="rId134" Target="https://doi.org/10.5509/2019923443" TargetMode="External" /><Relationship Type="http://schemas.openxmlformats.org/officeDocument/2006/relationships/hyperlink" Id="rId82" Target="https://doi.org/10.56021/9780801860140" TargetMode="External" /><Relationship Type="http://schemas.openxmlformats.org/officeDocument/2006/relationships/hyperlink" Id="rId70" Target="https://doi.org/10.7312/chu-14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2026-03-01T05:26:41Z</dcterms:created>
  <dcterms:modified xsi:type="dcterms:W3CDTF">2026-03-01T05:26:41Z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how citizens evaluate democracy but what they understand it to mean? This article estimates multinomial logit models on four waves of Asian Barometer Survey data (2005–2022), drawing on more than 75,000 voters across eleven countries to examine whether electoral winners and losers hold systematically different conceptions of democracy—and whether those differences respond to political context. The central finding is that they do: losers consistently gravitate toward liberal-procedural definitions of democracy, emphasizing free expression, media freedom, and judicial accountability, while winners orient toward substantive outcomes such as economic equality and welfare provision. The gap is individually small. What makes it consequential is context. In Thailand, the procedural-substantive gap widened from near zero to over twenty percentage points across a single decade of democratic erosion culminating in the 2014 military coup and its aftermath; in South Korea, where a political crisis of comparable severity was resolved through constitutional channels, the gap barely moved. Three empirical checks support a positional updating interpretation over stable cultural sorting: the loser effect amplifies among citizens who perceive elections as unfair, does not extend to non-procedural domains such as material welfare, and persists after demographic reweighting that holds coalition composition constant. If these patterns reflect updating rather than sorting, the implications for democratic resilience are troubling—erosion would concentrate procedural commitments among citizens whom the political system has rendered least capable of defending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2026-03-01</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esources">
    <vt:lpwstr/>
  </property>
  <property fmtid="{D5CDD505-2E9C-101B-9397-08002B2CF9AE}" pid="17" name="toc-title">
    <vt:lpwstr>Table of contents</vt:lpwstr>
  </property>
</Properties>
</file>