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Education of a Citizenry: Hope, Demobilization, and</w:t>
      </w:r>
      <w:r>
        <w:t xml:space="preserve"> </w:t>
      </w:r>
      <w:r>
        <w:t xml:space="preserve">Authoritarian Normalization in Cambodia, 2008–2021</w:t>
      </w:r>
    </w:p>
    <w:p>
      <w:pPr>
        <w:pStyle w:val="Author"/>
      </w:pPr>
      <w:r>
        <w:t xml:space="preserve">[Author removed for blind review]</w:t>
      </w:r>
    </w:p>
    <w:p>
      <w:pPr>
        <w:pStyle w:val="Date"/>
      </w:pPr>
      <w:r>
        <w:t xml:space="preserve">March 5, 2026 at 11:41 AM</w:t>
      </w:r>
    </w:p>
    <w:p>
      <w:pPr>
        <w:pStyle w:val="AbstractTitle"/>
      </w:pPr>
      <w:r>
        <w:t xml:space="preserve">Abstract</w:t>
      </w:r>
    </w:p>
    <w:p>
      <w:pPr>
        <w:pStyle w:val="Abstract"/>
      </w:pPr>
      <w:r>
        <w:t xml:space="preserve">Between 2008 and 2021, Cambodian citizens underwent one of the most</w:t>
      </w:r>
      <w:r>
        <w:t xml:space="preserve"> </w:t>
      </w:r>
      <w:r>
        <w:t xml:space="preserve">dramatic transformations in political orientation recorded in</w:t>
      </w:r>
      <w:r>
        <w:t xml:space="preserve"> </w:t>
      </w:r>
      <w:r>
        <w:t xml:space="preserve">contemporary survey research. Drawing on four waves of Asian Barometer</w:t>
      </w:r>
      <w:r>
        <w:t xml:space="preserve"> </w:t>
      </w:r>
      <w:r>
        <w:t xml:space="preserve">Survey data (Waves 2, 3, 4, and 6; N ≈ 1,000–1,242 per wave),</w:t>
      </w:r>
      <w:r>
        <w:t xml:space="preserve"> </w:t>
      </w:r>
      <w:r>
        <w:t xml:space="preserve">supplemented by the 2017 Cambodia Socio-Economic Survey (N = 3,363),</w:t>
      </w:r>
      <w:r>
        <w:t xml:space="preserve"> </w:t>
      </w:r>
      <w:r>
        <w:t xml:space="preserve">this article traces the arc of that transformation as a sequential</w:t>
      </w:r>
      <w:r>
        <w:t xml:space="preserve"> </w:t>
      </w:r>
      <w:r>
        <w:t xml:space="preserve">process: from post-conflict acquiescence, through a remarkable peak of</w:t>
      </w:r>
      <w:r>
        <w:t xml:space="preserve"> </w:t>
      </w:r>
      <w:r>
        <w:t xml:space="preserve">democratic aspiration and civic mobilization, to a final condition of</w:t>
      </w:r>
      <w:r>
        <w:t xml:space="preserve"> </w:t>
      </w:r>
      <w:r>
        <w:t xml:space="preserve">political withdrawal and regime normalization following the elimination</w:t>
      </w:r>
      <w:r>
        <w:t xml:space="preserve"> </w:t>
      </w:r>
      <w:r>
        <w:t xml:space="preserve">of organized opposition. The Cambodian case offers an unusually clean</w:t>
      </w:r>
      <w:r>
        <w:t xml:space="preserve"> </w:t>
      </w:r>
      <w:r>
        <w:t xml:space="preserve">empirical window into how dominant-party authoritarian regimes produce</w:t>
      </w:r>
      <w:r>
        <w:t xml:space="preserve"> </w:t>
      </w:r>
      <w:r>
        <w:t xml:space="preserve">political quiescence—not through the cultivation of enthusiastic</w:t>
      </w:r>
      <w:r>
        <w:t xml:space="preserve"> </w:t>
      </w:r>
      <w:r>
        <w:t xml:space="preserve">support, but through a process the article terms</w:t>
      </w:r>
      <w:r>
        <w:t xml:space="preserve"> </w:t>
      </w:r>
      <w:r>
        <w:rPr>
          <w:i/>
          <w:iCs/>
        </w:rPr>
        <w:t xml:space="preserve">demobilization by</w:t>
      </w:r>
      <w:r>
        <w:rPr>
          <w:i/>
          <w:iCs/>
        </w:rPr>
        <w:t xml:space="preserve"> </w:t>
      </w:r>
      <w:r>
        <w:rPr>
          <w:i/>
          <w:iCs/>
        </w:rPr>
        <w:t xml:space="preserve">subtraction</w:t>
      </w:r>
      <w:r>
        <w:t xml:space="preserve">. The forced dissolution of the Cambodia National Rescue</w:t>
      </w:r>
      <w:r>
        <w:t xml:space="preserve"> </w:t>
      </w:r>
      <w:r>
        <w:t xml:space="preserve">Party in 2017 was the keystone of a broader campaign of political</w:t>
      </w:r>
      <w:r>
        <w:t xml:space="preserve"> </w:t>
      </w:r>
      <w:r>
        <w:t xml:space="preserve">closure—encompassing independent media shutdowns, civil society</w:t>
      </w:r>
      <w:r>
        <w:t xml:space="preserve"> </w:t>
      </w:r>
      <w:r>
        <w:t xml:space="preserve">restrictions, and an uncontested national election—that coincided with</w:t>
      </w:r>
      <w:r>
        <w:t xml:space="preserve"> </w:t>
      </w:r>
      <w:r>
        <w:t xml:space="preserve">a synchronized restructuring of citizen orientations across multiple</w:t>
      </w:r>
      <w:r>
        <w:t xml:space="preserve"> </w:t>
      </w:r>
      <w:r>
        <w:t xml:space="preserve">attitudinal and behavioral dimensions—a pattern consistent with the</w:t>
      </w:r>
      <w:r>
        <w:t xml:space="preserve"> </w:t>
      </w:r>
      <w:r>
        <w:t xml:space="preserve">demobilization-by-subtraction mechanism developed here. The article</w:t>
      </w:r>
      <w:r>
        <w:t xml:space="preserve"> </w:t>
      </w:r>
      <w:r>
        <w:t xml:space="preserve">documents a theoretically consequential divergence: abstract democratic</w:t>
      </w:r>
      <w:r>
        <w:t xml:space="preserve"> </w:t>
      </w:r>
      <w:r>
        <w:t xml:space="preserve">commitment—the belief that democracy is the best form of</w:t>
      </w:r>
      <w:r>
        <w:t xml:space="preserve"> </w:t>
      </w:r>
      <w:r>
        <w:t xml:space="preserve">government—remained largely intact across the study period, while</w:t>
      </w:r>
      <w:r>
        <w:t xml:space="preserve"> </w:t>
      </w:r>
      <w:r>
        <w:t xml:space="preserve">democratic prioritization, feasibility expectations, and independent</w:t>
      </w:r>
      <w:r>
        <w:t xml:space="preserve"> </w:t>
      </w:r>
      <w:r>
        <w:t xml:space="preserve">civic engagement collapsed in parallel. Citizens did not abandon</w:t>
      </w:r>
      <w:r>
        <w:t xml:space="preserve"> </w:t>
      </w:r>
      <w:r>
        <w:t xml:space="preserve">democratic ideals; they ceased to believe those ideals were achievable</w:t>
      </w:r>
      <w:r>
        <w:t xml:space="preserve"> </w:t>
      </w:r>
      <w:r>
        <w:t xml:space="preserve">and ceased to prioritize them against competing goods. The findings</w:t>
      </w:r>
      <w:r>
        <w:t xml:space="preserve"> </w:t>
      </w:r>
      <w:r>
        <w:t xml:space="preserve">challenge accounts that treat authoritarian legitimacy as a product of</w:t>
      </w:r>
      <w:r>
        <w:t xml:space="preserve"> </w:t>
      </w:r>
      <w:r>
        <w:t xml:space="preserve">performance or ideology, suggesting instead that the most effective</w:t>
      </w:r>
      <w:r>
        <w:t xml:space="preserve"> </w:t>
      </w:r>
      <w:r>
        <w:t xml:space="preserve">mechanism of regime stabilization may be the systematic closure of the</w:t>
      </w:r>
      <w:r>
        <w:t xml:space="preserve"> </w:t>
      </w:r>
      <w:r>
        <w:t xml:space="preserve">political imagination.</w:t>
      </w:r>
    </w:p>
    <w:bookmarkStart w:id="15" w:name="introduction"/>
    <w:p>
      <w:pPr>
        <w:pStyle w:val="Heading1"/>
      </w:pPr>
      <w:r>
        <w:t xml:space="preserve">Introduction</w:t>
      </w:r>
    </w:p>
    <w:p>
      <w:pPr>
        <w:pStyle w:val="FirstParagraph"/>
      </w:pPr>
      <w:r>
        <w:t xml:space="preserve">In 2012, Cambodians rated the democratic future of their country at 9.58</w:t>
      </w:r>
      <w:r>
        <w:t xml:space="preserve"> </w:t>
      </w:r>
      <w:r>
        <w:t xml:space="preserve">out of 10.</w:t>
      </w:r>
    </w:p>
    <w:p>
      <w:pPr>
        <w:pStyle w:val="BodyText"/>
      </w:pPr>
      <w:r>
        <w:t xml:space="preserve">It is worth pausing on that number. On a scale designed to capture the</w:t>
      </w:r>
      <w:r>
        <w:t xml:space="preserve"> </w:t>
      </w:r>
      <w:r>
        <w:t xml:space="preserve">full range of democratic expectation, Cambodian respondents placed</w:t>
      </w:r>
      <w:r>
        <w:t xml:space="preserve"> </w:t>
      </w:r>
      <w:r>
        <w:t xml:space="preserve">themselves at the extreme ceiling—more optimistic about their</w:t>
      </w:r>
      <w:r>
        <w:t xml:space="preserve"> </w:t>
      </w:r>
      <w:r>
        <w:t xml:space="preserve">democratic trajectory than citizens of virtually any other country</w:t>
      </w:r>
      <w:r>
        <w:t xml:space="preserve"> </w:t>
      </w:r>
      <w:r>
        <w:t xml:space="preserve">surveyed by the Asian Barometer (Hu et al. 2023). This was not a country</w:t>
      </w:r>
      <w:r>
        <w:t xml:space="preserve"> </w:t>
      </w:r>
      <w:r>
        <w:t xml:space="preserve">with free and fair elections, an independent judiciary, or a vibrant</w:t>
      </w:r>
      <w:r>
        <w:t xml:space="preserve"> </w:t>
      </w:r>
      <w:r>
        <w:t xml:space="preserve">free press. It was a dominant-party authoritarian state under the</w:t>
      </w:r>
      <w:r>
        <w:t xml:space="preserve"> </w:t>
      </w:r>
      <w:r>
        <w:t xml:space="preserve">continuous rule of Hun Sen and the Cambodian People’s Party (CPP), a</w:t>
      </w:r>
      <w:r>
        <w:t xml:space="preserve"> </w:t>
      </w:r>
      <w:r>
        <w:t xml:space="preserve">regime that had held power since 1985 and showed no signs of voluntary</w:t>
      </w:r>
      <w:r>
        <w:t xml:space="preserve"> </w:t>
      </w:r>
      <w:r>
        <w:t xml:space="preserve">departure. And yet Cambodians believed, with remarkable consistency,</w:t>
      </w:r>
      <w:r>
        <w:t xml:space="preserve"> </w:t>
      </w:r>
      <w:r>
        <w:t xml:space="preserve">that democracy was coming.</w:t>
      </w:r>
    </w:p>
    <w:p>
      <w:pPr>
        <w:pStyle w:val="BodyText"/>
      </w:pPr>
      <w:r>
        <w:t xml:space="preserve">Nine years later, that same measure had fallen to 6.7 out of 10. In the</w:t>
      </w:r>
      <w:r>
        <w:t xml:space="preserve"> </w:t>
      </w:r>
      <w:r>
        <w:t xml:space="preserve">same period, independent civic engagement—contacting influential</w:t>
      </w:r>
      <w:r>
        <w:t xml:space="preserve"> </w:t>
      </w:r>
      <w:r>
        <w:t xml:space="preserve">figures outside the state, discussing politics, attending to political</w:t>
      </w:r>
      <w:r>
        <w:t xml:space="preserve"> </w:t>
      </w:r>
      <w:r>
        <w:t xml:space="preserve">news—had collapsed to historic lows, even as participation through</w:t>
      </w:r>
      <w:r>
        <w:t xml:space="preserve"> </w:t>
      </w:r>
      <w:r>
        <w:t xml:space="preserve">officially sanctioned channels quietly rose. Acceptance of authoritarian</w:t>
      </w:r>
      <w:r>
        <w:t xml:space="preserve"> </w:t>
      </w:r>
      <w:r>
        <w:t xml:space="preserve">governance alternatives, including strongman rule, single-party rule,</w:t>
      </w:r>
      <w:r>
        <w:t xml:space="preserve"> </w:t>
      </w:r>
      <w:r>
        <w:t xml:space="preserve">expert rule, and military rule, had risen sharply. Reported encounters</w:t>
      </w:r>
      <w:r>
        <w:t xml:space="preserve"> </w:t>
      </w:r>
      <w:r>
        <w:t xml:space="preserve">with corruption had plummeted from 49 percent to 15 percent. And voter</w:t>
      </w:r>
      <w:r>
        <w:t xml:space="preserve"> </w:t>
      </w:r>
      <w:r>
        <w:t xml:space="preserve">turnout in national elections, now conducted without any viable</w:t>
      </w:r>
      <w:r>
        <w:t xml:space="preserve"> </w:t>
      </w:r>
      <w:r>
        <w:t xml:space="preserve">opposition, had paradoxically climbed to 88 percent.</w:t>
      </w:r>
    </w:p>
    <w:p>
      <w:pPr>
        <w:pStyle w:val="BodyText"/>
      </w:pPr>
      <w:r>
        <w:t xml:space="preserve">What happened in between is the subject of this article. The answer,</w:t>
      </w:r>
      <w:r>
        <w:t xml:space="preserve"> </w:t>
      </w:r>
      <w:r>
        <w:t xml:space="preserve">stated plainly, is that the Cambodian People’s Party dissolved the only</w:t>
      </w:r>
      <w:r>
        <w:t xml:space="preserve"> </w:t>
      </w:r>
      <w:r>
        <w:t xml:space="preserve">credible opposition party, the Cambodia National Rescue Party (CNRP), in</w:t>
      </w:r>
      <w:r>
        <w:t xml:space="preserve"> </w:t>
      </w:r>
      <w:r>
        <w:t xml:space="preserve">November 2017—and simultaneously dismantled the independent media,</w:t>
      </w:r>
      <w:r>
        <w:t xml:space="preserve"> </w:t>
      </w:r>
      <w:r>
        <w:t xml:space="preserve">civil society organizations, and informal networks through which</w:t>
      </w:r>
      <w:r>
        <w:t xml:space="preserve"> </w:t>
      </w:r>
      <w:r>
        <w:t xml:space="preserve">citizens had accessed alternative political information and organized</w:t>
      </w:r>
      <w:r>
        <w:t xml:space="preserve"> </w:t>
      </w:r>
      <w:r>
        <w:t xml:space="preserve">collective action. The combined effect coincided with a remarkably</w:t>
      </w:r>
      <w:r>
        <w:t xml:space="preserve"> </w:t>
      </w:r>
      <w:r>
        <w:t xml:space="preserve">coherent adjustment in Cambodian citizens’ attitudes, behaviors, and</w:t>
      </w:r>
      <w:r>
        <w:t xml:space="preserve"> </w:t>
      </w:r>
      <w:r>
        <w:t xml:space="preserve">expectations—one that matches the predicted signature of</w:t>
      </w:r>
      <w:r>
        <w:t xml:space="preserve"> </w:t>
      </w:r>
      <w:r>
        <w:rPr>
          <w:i/>
          <w:iCs/>
        </w:rPr>
        <w:t xml:space="preserve">demobilization by subtraction</w:t>
      </w:r>
      <w:r>
        <w:t xml:space="preserve"> </w:t>
      </w:r>
      <w:r>
        <w:t xml:space="preserve">across multiple survey dimensions</w:t>
      </w:r>
      <w:r>
        <w:t xml:space="preserve"> </w:t>
      </w:r>
      <w:r>
        <w:t xml:space="preserve">simultaneously. This article argues that this adjustment is best</w:t>
      </w:r>
      <w:r>
        <w:t xml:space="preserve"> </w:t>
      </w:r>
      <w:r>
        <w:t xml:space="preserve">understood not as a story of authoritarian consolidation in the</w:t>
      </w:r>
      <w:r>
        <w:t xml:space="preserve"> </w:t>
      </w:r>
      <w:r>
        <w:t xml:space="preserve">conventional sense—not as the triumph of ideology, coercion, or</w:t>
      </w:r>
      <w:r>
        <w:t xml:space="preserve"> </w:t>
      </w:r>
      <w:r>
        <w:t xml:space="preserve">performance legitimacy—but as something quieter and, in its way, more</w:t>
      </w:r>
      <w:r>
        <w:t xml:space="preserve"> </w:t>
      </w:r>
      <w:r>
        <w:t xml:space="preserve">profound: the education of a citizenry in the limits of the politically</w:t>
      </w:r>
      <w:r>
        <w:t xml:space="preserve"> </w:t>
      </w:r>
      <w:r>
        <w:t xml:space="preserve">possible.</w:t>
      </w:r>
    </w:p>
    <w:p>
      <w:pPr>
        <w:pStyle w:val="BodyText"/>
      </w:pPr>
      <w:r>
        <w:t xml:space="preserve">The phenomenon under investigation—the systematic elimination of</w:t>
      </w:r>
      <w:r>
        <w:t xml:space="preserve"> </w:t>
      </w:r>
      <w:r>
        <w:t xml:space="preserve">organized opposition within an otherwise functioning electoral</w:t>
      </w:r>
      <w:r>
        <w:t xml:space="preserve"> </w:t>
      </w:r>
      <w:r>
        <w:t xml:space="preserve">system—has become increasingly common, from Turkey’s suppression of</w:t>
      </w:r>
      <w:r>
        <w:t xml:space="preserve"> </w:t>
      </w:r>
      <w:r>
        <w:t xml:space="preserve">the Peoples’ Democratic Party to Russia’s dismantling of Navalny’s</w:t>
      </w:r>
      <w:r>
        <w:t xml:space="preserve"> </w:t>
      </w:r>
      <w:r>
        <w:t xml:space="preserve">organizational network. Yet existing scholarship has focused on the</w:t>
      </w:r>
      <w:r>
        <w:t xml:space="preserve"> </w:t>
      </w:r>
      <w:r>
        <w:t xml:space="preserve">institutional mechanics of opposition elimination rather than its</w:t>
      </w:r>
      <w:r>
        <w:t xml:space="preserve"> </w:t>
      </w:r>
      <w:r>
        <w:t xml:space="preserve">downstream effects on mass political orientations. This article proposes</w:t>
      </w:r>
      <w:r>
        <w:t xml:space="preserve"> </w:t>
      </w:r>
      <w:r>
        <w:t xml:space="preserve">that opposition elimination produces a distinctive observable signature:</w:t>
      </w:r>
      <w:r>
        <w:t xml:space="preserve"> </w:t>
      </w:r>
      <w:r>
        <w:t xml:space="preserve">synchronized, multi-domain shifts concentrated in the political domain,</w:t>
      </w:r>
      <w:r>
        <w:t xml:space="preserve"> </w:t>
      </w:r>
      <w:r>
        <w:t xml:space="preserve">with the critical diagnostic being a divergence between rising electoral</w:t>
      </w:r>
      <w:r>
        <w:t xml:space="preserve"> </w:t>
      </w:r>
      <w:r>
        <w:t xml:space="preserve">turnout and collapsing independent civic engagement—elections</w:t>
      </w:r>
      <w:r>
        <w:t xml:space="preserve"> </w:t>
      </w:r>
      <w:r>
        <w:t xml:space="preserve">transformed from mechanisms of political choice into rituals of regime</w:t>
      </w:r>
      <w:r>
        <w:t xml:space="preserve"> </w:t>
      </w:r>
      <w:r>
        <w:t xml:space="preserve">compliance. If this signature proves generalizable, it offers a</w:t>
      </w:r>
      <w:r>
        <w:t xml:space="preserve"> </w:t>
      </w:r>
      <w:r>
        <w:t xml:space="preserve">framework for identifying democratic closure using existing</w:t>
      </w:r>
      <w:r>
        <w:t xml:space="preserve"> </w:t>
      </w:r>
      <w:r>
        <w:t xml:space="preserve">cross-national survey infrastructure.</w:t>
      </w:r>
    </w:p>
    <w:p>
      <w:pPr>
        <w:pStyle w:val="BodyText"/>
      </w:pPr>
      <w:r>
        <w:t xml:space="preserve">The article is organized around the four survey waves as acts in a</w:t>
      </w:r>
      <w:r>
        <w:t xml:space="preserve"> </w:t>
      </w:r>
      <w:r>
        <w:t xml:space="preserve">political sequence. This is a deliberate methodological choice.</w:t>
      </w:r>
      <w:r>
        <w:t xml:space="preserve"> </w:t>
      </w:r>
      <w:r>
        <w:t xml:space="preserve">Cambodia’s trajectory between 2008 and 2021 is both analytically</w:t>
      </w:r>
      <w:r>
        <w:t xml:space="preserve"> </w:t>
      </w:r>
      <w:r>
        <w:t xml:space="preserve">tractable—the survey data capture discrete moments in a</w:t>
      </w:r>
      <w:r>
        <w:t xml:space="preserve"> </w:t>
      </w:r>
      <w:r>
        <w:t xml:space="preserve">well-documented closure—and narratively coherent, with each wave</w:t>
      </w:r>
      <w:r>
        <w:t xml:space="preserve"> </w:t>
      </w:r>
      <w:r>
        <w:t xml:space="preserve">mapping onto a distinct phase of political life. The sections that</w:t>
      </w:r>
      <w:r>
        <w:t xml:space="preserve"> </w:t>
      </w:r>
      <w:r>
        <w:t xml:space="preserve">follow narrate a documented political sequence; the causal claims are</w:t>
      </w:r>
      <w:r>
        <w:t xml:space="preserve"> </w:t>
      </w:r>
      <w:r>
        <w:t xml:space="preserve">the survey data’s to make or withhold, not the narrative’s.</w:t>
      </w:r>
    </w:p>
    <w:p>
      <w:pPr>
        <w:pStyle w:val="BodyText"/>
      </w:pPr>
      <w:r>
        <w:t xml:space="preserve">The question of how dominant-party regimes endure has generated a rich</w:t>
      </w:r>
      <w:r>
        <w:t xml:space="preserve"> </w:t>
      </w:r>
      <w:r>
        <w:t xml:space="preserve">vocabulary in comparative politics—skewed playing fields, menus of</w:t>
      </w:r>
      <w:r>
        <w:t xml:space="preserve"> </w:t>
      </w:r>
      <w:r>
        <w:t xml:space="preserve">manipulation, the stabilizing pillars of legitimation, repression, and</w:t>
      </w:r>
      <w:r>
        <w:t xml:space="preserve"> </w:t>
      </w:r>
      <w:r>
        <w:t xml:space="preserve">co-optation.</w:t>
      </w:r>
      <w:r>
        <w:rPr>
          <w:rStyle w:val="FootnoteReference"/>
        </w:rPr>
        <w:footnoteReference w:id="9"/>
      </w:r>
      <w:r>
        <w:t xml:space="preserve"> </w:t>
      </w:r>
      <w:r>
        <w:t xml:space="preserve">Yet this institutional focus, vital</w:t>
      </w:r>
      <w:r>
        <w:t xml:space="preserve"> </w:t>
      </w:r>
      <w:r>
        <w:t xml:space="preserve">for understanding the resilience of the state, obscures the downstream</w:t>
      </w:r>
      <w:r>
        <w:t xml:space="preserve"> </w:t>
      </w:r>
      <w:r>
        <w:t xml:space="preserve">effects on the citizenry. Theories of regime survival treat the public</w:t>
      </w:r>
      <w:r>
        <w:t xml:space="preserve"> </w:t>
      </w:r>
      <w:r>
        <w:t xml:space="preserve">as a variable to be managed—repressed into submission or bought off</w:t>
      </w:r>
      <w:r>
        <w:t xml:space="preserve"> </w:t>
      </w:r>
      <w:r>
        <w:t xml:space="preserve">through patronage. This article asks a different question: what happens</w:t>
      </w:r>
      <w:r>
        <w:t xml:space="preserve"> </w:t>
      </w:r>
      <w:r>
        <w:t xml:space="preserve">to citizen orientations when the democratic alternative is</w:t>
      </w:r>
      <w:r>
        <w:t xml:space="preserve"> </w:t>
      </w:r>
      <w:r>
        <w:t xml:space="preserve">systematically removed? The resulting quiescence, it argues, is not a</w:t>
      </w:r>
      <w:r>
        <w:t xml:space="preserve"> </w:t>
      </w:r>
      <w:r>
        <w:t xml:space="preserve">product of active authoritarian legitimation but of demobilization by</w:t>
      </w:r>
      <w:r>
        <w:t xml:space="preserve"> </w:t>
      </w:r>
      <w:r>
        <w:t xml:space="preserve">subtraction.</w:t>
      </w:r>
    </w:p>
    <w:p>
      <w:pPr>
        <w:pStyle w:val="BodyText"/>
      </w:pPr>
      <w:r>
        <w:t xml:space="preserve">The concept advanced here—demobilization by subtraction—is distinct</w:t>
      </w:r>
      <w:r>
        <w:t xml:space="preserve"> </w:t>
      </w:r>
      <w:r>
        <w:t xml:space="preserve">from repression and co-optation, the two mechanisms most commonly</w:t>
      </w:r>
      <w:r>
        <w:t xml:space="preserve"> </w:t>
      </w:r>
      <w:r>
        <w:t xml:space="preserve">invoked to explain political quiescence under authoritarianism</w:t>
      </w:r>
      <w:r>
        <w:t xml:space="preserve"> </w:t>
      </w:r>
      <w:r>
        <w:t xml:space="preserve">(Figure </w:t>
      </w:r>
      <w:hyperlink w:anchor="fig:mechanisms">
        <w:r>
          <w:rPr>
            <w:rStyle w:val="Hyperlink"/>
          </w:rPr>
          <w:t xml:space="preserve">1</w:t>
        </w:r>
      </w:hyperlink>
      <w:r>
        <w:t xml:space="preserve">).</w:t>
      </w:r>
      <w:r>
        <w:rPr>
          <w:rStyle w:val="FootnoteReference"/>
        </w:rPr>
        <w:footnoteReference w:id="10"/>
      </w:r>
      <w:r>
        <w:rPr>
          <w:rStyle w:val="FootnoteReference"/>
        </w:rPr>
        <w:footnoteReference w:id="11"/>
      </w:r>
      <w:r>
        <w:t xml:space="preserve"> </w:t>
      </w:r>
      <w:r>
        <w:t xml:space="preserve">Both presuppose an</w:t>
      </w:r>
      <w:r>
        <w:t xml:space="preserve"> </w:t>
      </w:r>
      <w:r>
        <w:t xml:space="preserve">active regime strategy directed at the population. Subtraction operates</w:t>
      </w:r>
      <w:r>
        <w:t xml:space="preserve"> </w:t>
      </w:r>
      <w:r>
        <w:t xml:space="preserve">differently: its proximate cause is an action taken against the</w:t>
      </w:r>
      <w:r>
        <w:t xml:space="preserve"> </w:t>
      </w:r>
      <w:r>
        <w:t xml:space="preserve">political field itself—the removal of the credible alternative around</w:t>
      </w:r>
      <w:r>
        <w:t xml:space="preserve"> </w:t>
      </w:r>
      <w:r>
        <w:t xml:space="preserve">which civic mobilization had organized—rather than against citizens</w:t>
      </w:r>
      <w:r>
        <w:t xml:space="preserve"> </w:t>
      </w:r>
      <w:r>
        <w:t xml:space="preserve">directly. The result is not fear-based withdrawal or interest-based</w:t>
      </w:r>
      <w:r>
        <w:t xml:space="preserve"> </w:t>
      </w:r>
      <w:r>
        <w:t xml:space="preserve">compliance but something closer to what Gaventa termed</w:t>
      </w:r>
      <w:r>
        <w:t xml:space="preserve"> </w:t>
      </w:r>
      <w:r>
        <w:t xml:space="preserve">“quiescence”</w:t>
      </w:r>
      <w:r>
        <w:t xml:space="preserve">:</w:t>
      </w:r>
      <w:r>
        <w:t xml:space="preserve"> </w:t>
      </w:r>
      <w:r>
        <w:t xml:space="preserve">the internalization of powerlessness following the sustained absence of</w:t>
      </w:r>
      <w:r>
        <w:t xml:space="preserve"> </w:t>
      </w:r>
      <w:r>
        <w:t xml:space="preserve">viable channels for political expression.</w:t>
      </w:r>
      <w:r>
        <w:rPr>
          <w:rStyle w:val="FootnoteReference"/>
        </w:rPr>
        <w:footnoteReference w:id="12"/>
      </w:r>
      <w:r>
        <w:t xml:space="preserve"> </w:t>
      </w:r>
      <w:r>
        <w:t xml:space="preserve">Where Lukes’ third dimension of power shapes</w:t>
      </w:r>
      <w:r>
        <w:t xml:space="preserve"> </w:t>
      </w:r>
      <w:r>
        <w:t xml:space="preserve">preferences so that grievances never form, demobilization by subtraction</w:t>
      </w:r>
      <w:r>
        <w:t xml:space="preserve"> </w:t>
      </w:r>
      <w:r>
        <w:t xml:space="preserve">operates one step later—grievances may persist, but the perceived</w:t>
      </w:r>
      <w:r>
        <w:t xml:space="preserve"> </w:t>
      </w:r>
      <w:r>
        <w:t xml:space="preserve">vehicle for their expression has been eliminated.</w:t>
      </w:r>
      <w:r>
        <w:rPr>
          <w:rStyle w:val="FootnoteReference"/>
        </w:rPr>
        <w:footnoteReference w:id="13"/>
      </w:r>
    </w:p>
    <w:p>
      <w:pPr>
        <w:pStyle w:val="BodyText"/>
      </w:pPr>
      <w:r>
        <w:t xml:space="preserve">Figure </w:t>
      </w:r>
      <w:hyperlink w:anchor="fig:mechanisms">
        <w:r>
          <w:rPr>
            <w:rStyle w:val="Hyperlink"/>
          </w:rPr>
          <w:t xml:space="preserve">1</w:t>
        </w:r>
      </w:hyperlink>
      <w:r>
        <w:t xml:space="preserve"> </w:t>
      </w:r>
      <w:r>
        <w:t xml:space="preserve">maps the observable implications of each</w:t>
      </w:r>
      <w:r>
        <w:t xml:space="preserve"> </w:t>
      </w:r>
      <w:r>
        <w:t xml:space="preserve">mechanism. The Cambodian data are consistent with the subtraction</w:t>
      </w:r>
      <w:r>
        <w:t xml:space="preserve"> </w:t>
      </w:r>
      <w:r>
        <w:t xml:space="preserve">signature and inconsistent with the pure repression signature on both</w:t>
      </w:r>
      <w:r>
        <w:t xml:space="preserve"> </w:t>
      </w:r>
      <w:r>
        <w:t xml:space="preserve">counts. Subtraction is expected to dominate when the opposition served</w:t>
      </w:r>
      <w:r>
        <w:t xml:space="preserve"> </w:t>
      </w:r>
      <w:r>
        <w:t xml:space="preserve">as the primary focal organization for civic coordination and when</w:t>
      </w:r>
      <w:r>
        <w:t xml:space="preserve"> </w:t>
      </w:r>
      <w:r>
        <w:t xml:space="preserve">repression is selective rather than generalized—both conditions</w:t>
      </w:r>
      <w:r>
        <w:t xml:space="preserve"> </w:t>
      </w:r>
      <w:r>
        <w:t xml:space="preserve">Cambodia satisfies.</w:t>
      </w:r>
    </w:p>
    <w:p>
      <w:pPr>
        <w:pStyle w:val="BodyText"/>
      </w:pPr>
      <w:r>
        <w:t xml:space="preserve">The remainder of this article proceeds as follows. A data section</w:t>
      </w:r>
      <w:r>
        <w:t xml:space="preserve"> </w:t>
      </w:r>
      <w:r>
        <w:t xml:space="preserve">describes the ABS waves, measures, and cross-wave comparability. Four</w:t>
      </w:r>
      <w:r>
        <w:t xml:space="preserve"> </w:t>
      </w:r>
      <w:r>
        <w:t xml:space="preserve">analytic sections trace the survey evidence through pre-mobilization</w:t>
      </w:r>
      <w:r>
        <w:t xml:space="preserve"> </w:t>
      </w:r>
      <w:r>
        <w:t xml:space="preserve">(2008), peak mobilization (2012), selective retreat (2015), and</w:t>
      </w:r>
      <w:r>
        <w:t xml:space="preserve"> </w:t>
      </w:r>
      <w:r>
        <w:t xml:space="preserve">post-dissolution normalization (2021). A section on alternative</w:t>
      </w:r>
      <w:r>
        <w:t xml:space="preserve"> </w:t>
      </w:r>
      <w:r>
        <w:t xml:space="preserve">mechanisms adjudicates competing explanations, and a concluding section</w:t>
      </w:r>
      <w:r>
        <w:t xml:space="preserve"> </w:t>
      </w:r>
      <w:r>
        <w:t xml:space="preserve">draws out theoretical implications.</w:t>
      </w:r>
    </w:p>
    <w:bookmarkStart w:id="14" w:name="fig:mechanisms"/>
    <w:tbl>
      <w:tblPr>
        <w:tblStyle w:val="FigureTable"/>
        <w:tblW w:type="auto" w:w="0"/>
        <w:jc w:val="center"/>
        <w:tblLook w:firstRow="0" w:lastRow="0" w:firstColumn="0" w:lastColumn="0"/>
      </w:tblPr>
      <w:tblGrid/>
    </w:tbl>
    <w:p>
      <w:pPr>
        <w:pStyle w:val="ImageCaption"/>
      </w:pPr>
      <w:r>
        <w:rPr>
          <w:b/>
          <w:bCs/>
        </w:rPr>
        <w:t xml:space="preserve">Three mechanisms of political demobilization: causal pathways and observable implications.</w:t>
      </w:r>
      <w:r>
        <w:t xml:space="preserve"> </w:t>
      </w:r>
      <w:r>
        <w:t xml:space="preserve">The subtraction mechanism is distinguished from repression and co-optation by the locus of regime action</w:t>
      </w:r>
      <w:r>
        <w:t xml:space="preserve"> </w:t>
      </w:r>
      <w:r>
        <w:t xml:space="preserve">(the political field rather than the citizenry directly) and by a domain-specific rather than broad-spectrum</w:t>
      </w:r>
      <w:r>
        <w:t xml:space="preserve"> </w:t>
      </w:r>
      <w:r>
        <w:t xml:space="preserve">observable signature. The Cambodian data are consistent with the subtraction column and inconsistent with the</w:t>
      </w:r>
      <w:r>
        <w:t xml:space="preserve"> </w:t>
      </w:r>
      <w:r>
        <w:t xml:space="preserve">repression and co-optation columns on both the placebo battery and the democracy satisfaction trajectory.</w:t>
      </w:r>
    </w:p>
    <w:bookmarkEnd w:id="14"/>
    <w:bookmarkEnd w:id="15"/>
    <w:bookmarkStart w:id="24" w:name="data-measures-and-comparability"/>
    <w:p>
      <w:pPr>
        <w:pStyle w:val="Heading1"/>
      </w:pPr>
      <w:r>
        <w:t xml:space="preserve">Data, Measures, and</w:t>
      </w:r>
      <w:r>
        <w:t xml:space="preserve"> </w:t>
      </w:r>
      <w:r>
        <w:t xml:space="preserve">Comparability</w:t>
      </w:r>
    </w:p>
    <w:p>
      <w:pPr>
        <w:pStyle w:val="FirstParagraph"/>
      </w:pPr>
      <w:r>
        <w:t xml:space="preserve">This article draws on the Asian Barometer Survey (ABS), a repeated</w:t>
      </w:r>
      <w:r>
        <w:t xml:space="preserve"> </w:t>
      </w:r>
      <w:r>
        <w:t xml:space="preserve">cross-sectional survey program administered across East and Southeast</w:t>
      </w:r>
      <w:r>
        <w:t xml:space="preserve"> </w:t>
      </w:r>
      <w:r>
        <w:t xml:space="preserve">Asia since 2001. Cambodia has been included in four of the six completed</w:t>
      </w:r>
      <w:r>
        <w:t xml:space="preserve"> </w:t>
      </w:r>
      <w:r>
        <w:t xml:space="preserve">waves: Wave 2 (fielded 2008, N = 1,000), Wave 3 (2012, N = 1,200), Wave</w:t>
      </w:r>
      <w:r>
        <w:t xml:space="preserve"> </w:t>
      </w:r>
      <w:r>
        <w:t xml:space="preserve">4 (2015, N = 1,200), and Wave 6 (2021, N = 1,242). Cambodia was not</w:t>
      </w:r>
      <w:r>
        <w:t xml:space="preserve"> </w:t>
      </w:r>
      <w:r>
        <w:t xml:space="preserve">included in Wave 1 (2001–2003) or Wave 5 (2018–2019); the latter</w:t>
      </w:r>
      <w:r>
        <w:t xml:space="preserve"> </w:t>
      </w:r>
      <w:r>
        <w:t xml:space="preserve">omission is particularly consequential, as it means no ABS data exist</w:t>
      </w:r>
      <w:r>
        <w:t xml:space="preserve"> </w:t>
      </w:r>
      <w:r>
        <w:t xml:space="preserve">from the immediate aftermath of the CNRP dissolution and the 2018</w:t>
      </w:r>
      <w:r>
        <w:t xml:space="preserve"> </w:t>
      </w:r>
      <w:r>
        <w:t xml:space="preserve">one-party election. The survey’s Wave 5 fieldwork period coincided with</w:t>
      </w:r>
      <w:r>
        <w:t xml:space="preserve"> </w:t>
      </w:r>
      <w:r>
        <w:t xml:space="preserve">the immediate aftermath of the forced dissolution of the CNRP in</w:t>
      </w:r>
      <w:r>
        <w:t xml:space="preserve"> </w:t>
      </w:r>
      <w:r>
        <w:t xml:space="preserve">November 2017 and the July 2018 national election in which the CPP ran</w:t>
      </w:r>
      <w:r>
        <w:t xml:space="preserve"> </w:t>
      </w:r>
      <w:r>
        <w:t xml:space="preserve">virtually unopposed—conditions under which credible public opinion</w:t>
      </w:r>
      <w:r>
        <w:t xml:space="preserve"> </w:t>
      </w:r>
      <w:r>
        <w:t xml:space="preserve">research could not be conducted. The absence of Wave 5 is thus not an</w:t>
      </w:r>
      <w:r>
        <w:t xml:space="preserve"> </w:t>
      </w:r>
      <w:r>
        <w:t xml:space="preserve">artifact of research design but a reflection of the political closure</w:t>
      </w:r>
      <w:r>
        <w:t xml:space="preserve"> </w:t>
      </w:r>
      <w:r>
        <w:t xml:space="preserve">this study documents: the very phenomenon under investigation rendered</w:t>
      </w:r>
      <w:r>
        <w:t xml:space="preserve"> </w:t>
      </w:r>
      <w:r>
        <w:t xml:space="preserve">standard survey fieldwork untenable. This gap means the analysis cannot</w:t>
      </w:r>
      <w:r>
        <w:t xml:space="preserve"> </w:t>
      </w:r>
      <w:r>
        <w:t xml:space="preserve">observe the immediate post-dissolution period directly, a limitation</w:t>
      </w:r>
      <w:r>
        <w:t xml:space="preserve"> </w:t>
      </w:r>
      <w:r>
        <w:t xml:space="preserve">addressed below through adjudication tests designed to distinguish</w:t>
      </w:r>
      <w:r>
        <w:t xml:space="preserve"> </w:t>
      </w:r>
      <w:r>
        <w:t xml:space="preserve">between an acute fear response and the longer-term normalization pattern</w:t>
      </w:r>
      <w:r>
        <w:t xml:space="preserve"> </w:t>
      </w:r>
      <w:r>
        <w:t xml:space="preserve">proposed here. The four available waves nevertheless bracket the</w:t>
      </w:r>
      <w:r>
        <w:t xml:space="preserve"> </w:t>
      </w:r>
      <w:r>
        <w:t xml:space="preserve">critical political sequence: pre-mobilization (2008), peak mobilization</w:t>
      </w:r>
      <w:r>
        <w:t xml:space="preserve"> </w:t>
      </w:r>
      <w:r>
        <w:t xml:space="preserve">(2012), post-crackdown selective retreat (2015), and post-dissolution</w:t>
      </w:r>
      <w:r>
        <w:t xml:space="preserve"> </w:t>
      </w:r>
      <w:r>
        <w:t xml:space="preserve">normalization (2021).</w:t>
      </w:r>
    </w:p>
    <w:bookmarkStart w:id="16" w:name="fig:timeline"/>
    <w:tbl>
      <w:tblPr>
        <w:tblStyle w:val="FigureTable"/>
        <w:tblW w:type="auto" w:w="0"/>
        <w:jc w:val="center"/>
        <w:tblLook w:firstRow="0" w:lastRow="0" w:firstColumn="0" w:lastColumn="0"/>
      </w:tblPr>
      <w:tblGrid/>
    </w:tbl>
    <w:p>
      <w:pPr>
        <w:pStyle w:val="ImageCaption"/>
      </w:pPr>
      <w:r>
        <w:rPr>
          <w:b/>
          <w:bCs/>
        </w:rPr>
        <w:t xml:space="preserve">The political sequence, 2008–2021.</w:t>
      </w:r>
      <w:r>
        <w:t xml:space="preserve"> </w:t>
      </w:r>
      <w:r>
        <w:t xml:space="preserve">Filled circles mark Asian Barometer Survey waves; diamonds mark key political events.</w:t>
      </w:r>
      <w:r>
        <w:t xml:space="preserve"> </w:t>
      </w:r>
      <w:r>
        <w:t xml:space="preserve">The analysis is organised around four phases defined by the relationship between the</w:t>
      </w:r>
      <w:r>
        <w:t xml:space="preserve"> </w:t>
      </w:r>
      <w:r>
        <w:t xml:space="preserve">Cambodia National Rescue Party and the political field: pre-mobilization baseline (2008),</w:t>
      </w:r>
      <w:r>
        <w:t xml:space="preserve"> </w:t>
      </w:r>
      <w:r>
        <w:t xml:space="preserve">peak mobilization (2012), selective retreat (2015), and post-dissolution normalization (2021).</w:t>
      </w:r>
      <w:r>
        <w:t xml:space="preserve"> </w:t>
      </w:r>
      <w:r>
        <w:t xml:space="preserve">The six-year gap between Wave 4 and Wave 6 encompasses the critical closure sequence.</w:t>
      </w:r>
    </w:p>
    <w:bookmarkEnd w:id="16"/>
    <w:p>
      <w:pPr>
        <w:pStyle w:val="BodyText"/>
      </w:pPr>
      <w:r>
        <w:t xml:space="preserve">The ABS employs face-to-face interviews with nationally representative</w:t>
      </w:r>
      <w:r>
        <w:t xml:space="preserve"> </w:t>
      </w:r>
      <w:r>
        <w:t xml:space="preserve">probability samples; response rates across the four Cambodian waves</w:t>
      </w:r>
      <w:r>
        <w:t xml:space="preserve"> </w:t>
      </w:r>
      <w:r>
        <w:t xml:space="preserve">range from approximately 80 to 90 percent.</w:t>
      </w:r>
      <w:r>
        <w:rPr>
          <w:rStyle w:val="FootnoteReference"/>
        </w:rPr>
        <w:footnoteReference w:id="17"/>
      </w:r>
    </w:p>
    <w:bookmarkStart w:id="20" w:name="X6d65a157e8f20ffdce5b7d3db128c97270c8f17"/>
    <w:p>
      <w:pPr>
        <w:pStyle w:val="Heading2"/>
      </w:pPr>
      <w:r>
        <w:t xml:space="preserve">Supplementary Data—The 2017 Cambodia Socio-Economic</w:t>
      </w:r>
      <w:r>
        <w:t xml:space="preserve"> </w:t>
      </w:r>
      <w:r>
        <w:t xml:space="preserve">Survey</w:t>
      </w:r>
    </w:p>
    <w:p>
      <w:pPr>
        <w:pStyle w:val="FirstParagraph"/>
      </w:pPr>
      <w:r>
        <w:t xml:space="preserve">The ABS data are supplemented by a single cross-section from the</w:t>
      </w:r>
      <w:r>
        <w:t xml:space="preserve"> </w:t>
      </w:r>
      <w:r>
        <w:t xml:space="preserve">Cambodia Socio-Economic Survey (SES), a nationally representative</w:t>
      </w:r>
      <w:r>
        <w:t xml:space="preserve"> </w:t>
      </w:r>
      <w:r>
        <w:t xml:space="preserve">household survey administered by the National Institute of Statistics.</w:t>
      </w:r>
      <w:r>
        <w:t xml:space="preserve"> </w:t>
      </w:r>
      <w:r>
        <w:t xml:space="preserve">The SES wave employed here (deposited with the World Bank Microdata</w:t>
      </w:r>
      <w:r>
        <w:t xml:space="preserve"> </w:t>
      </w:r>
      <w:r>
        <w:t xml:space="preserve">Library as KHM_2018_SAIE_v01; N = 3,363) was collected through</w:t>
      </w:r>
      <w:r>
        <w:t xml:space="preserve"> </w:t>
      </w:r>
      <w:r>
        <w:t xml:space="preserve">face-to-face interviews with an inferred fieldwork period of</w:t>
      </w:r>
      <w:r>
        <w:t xml:space="preserve"> </w:t>
      </w:r>
      <w:r>
        <w:t xml:space="preserve">early-to-mid 2017, placing the survey in the final months before the</w:t>
      </w:r>
      <w:r>
        <w:t xml:space="preserve"> </w:t>
      </w:r>
      <w:r>
        <w:t xml:space="preserve">intensification of political closure.</w:t>
      </w:r>
      <w:r>
        <w:rPr>
          <w:rStyle w:val="FootnoteReference"/>
        </w:rPr>
        <w:footnoteReference w:id="18"/>
      </w:r>
    </w:p>
    <w:p>
      <w:pPr>
        <w:pStyle w:val="BodyText"/>
      </w:pPr>
      <w:r>
        <w:t xml:space="preserve">Six governance items from the SES are relevant to the present analysis:</w:t>
      </w:r>
      <w:r>
        <w:t xml:space="preserve"> </w:t>
      </w:r>
      <w:r>
        <w:t xml:space="preserve">perceived responsiveness of commune councillors and village chiefs</w:t>
      </w:r>
      <w:r>
        <w:t xml:space="preserve"> </w:t>
      </w:r>
      <w:r>
        <w:t xml:space="preserve">(binary agree/disagree), perceived freedom of speech and freedom of</w:t>
      </w:r>
      <w:r>
        <w:t xml:space="preserve"> </w:t>
      </w:r>
      <w:r>
        <w:t xml:space="preserve">association at the commune level (binary), perceived freedom to vote for</w:t>
      </w:r>
      <w:r>
        <w:t xml:space="preserve"> </w:t>
      </w:r>
      <w:r>
        <w:t xml:space="preserve">any party without fear (binary), and reported payment of</w:t>
      </w:r>
      <w:r>
        <w:t xml:space="preserve"> </w:t>
      </w:r>
      <w:r>
        <w:t xml:space="preserve">“tea</w:t>
      </w:r>
      <w:r>
        <w:t xml:space="preserve"> </w:t>
      </w:r>
      <w:r>
        <w:t xml:space="preserve">money”</w:t>
      </w:r>
      <w:r>
        <w:t xml:space="preserve">—the Cambodian vernacular for petty bribery—to government</w:t>
      </w:r>
      <w:r>
        <w:t xml:space="preserve"> </w:t>
      </w:r>
      <w:r>
        <w:t xml:space="preserve">officials in 2016 (binary). These items are not directly comparable to</w:t>
      </w:r>
      <w:r>
        <w:t xml:space="preserve"> </w:t>
      </w:r>
      <w:r>
        <w:t xml:space="preserve">the ABS instruments in scale or sampling design, and are not treated as</w:t>
      </w:r>
      <w:r>
        <w:t xml:space="preserve"> </w:t>
      </w:r>
      <w:r>
        <w:t xml:space="preserve">equivalent measures. Their value is triangulative: they establish the</w:t>
      </w:r>
      <w:r>
        <w:t xml:space="preserve"> </w:t>
      </w:r>
      <w:r>
        <w:t xml:space="preserve">state of perceived civic freedom and corruption exposure in the</w:t>
      </w:r>
      <w:r>
        <w:t xml:space="preserve"> </w:t>
      </w:r>
      <w:r>
        <w:t xml:space="preserve">immediate pre-dissolution period, a window the ABS does not cover. The</w:t>
      </w:r>
      <w:r>
        <w:t xml:space="preserve"> </w:t>
      </w:r>
      <w:r>
        <w:t xml:space="preserve">SES data are reported in Appendix D.</w:t>
      </w:r>
    </w:p>
    <w:p>
      <w:pPr>
        <w:pStyle w:val="BodyText"/>
      </w:pPr>
      <w:r>
        <w:t xml:space="preserve">Detailed SES governance modules were not publicly available for the</w:t>
      </w:r>
      <w:r>
        <w:t xml:space="preserve"> </w:t>
      </w:r>
      <w:r>
        <w:t xml:space="preserve">2018–2020 fieldwork period; a phone-based COVID-focused survey</w:t>
      </w:r>
      <w:r>
        <w:t xml:space="preserve"> </w:t>
      </w:r>
      <w:r>
        <w:t xml:space="preserve">conducted in 2020 carried no political orientation or corruption items.</w:t>
      </w:r>
      <w:r>
        <w:t xml:space="preserve"> </w:t>
      </w:r>
      <w:r>
        <w:t xml:space="preserve">The absence of detailed governance survey data during the years</w:t>
      </w:r>
      <w:r>
        <w:t xml:space="preserve"> </w:t>
      </w:r>
      <w:r>
        <w:t xml:space="preserve">immediately following the CNRP dissolution is consistent with the</w:t>
      </w:r>
      <w:r>
        <w:t xml:space="preserve"> </w:t>
      </w:r>
      <w:r>
        <w:t xml:space="preserve">broader pattern of political closure documented in this article.</w:t>
      </w:r>
    </w:p>
    <w:p>
      <w:pPr>
        <w:pStyle w:val="BodyText"/>
      </w:pPr>
      <w:r>
        <w:t xml:space="preserve">The analysis tracks five thematic domains across waves. For each domain,</w:t>
      </w:r>
      <w:r>
        <w:t xml:space="preserve"> </w:t>
      </w:r>
      <w:r>
        <w:t xml:space="preserve">the specific indicators, scale constructions, and cross-wave</w:t>
      </w:r>
      <w:r>
        <w:t xml:space="preserve"> </w:t>
      </w:r>
      <w:r>
        <w:t xml:space="preserve">comparability considerations are as follows.</w:t>
      </w:r>
    </w:p>
    <w:p>
      <w:pPr>
        <w:pStyle w:val="BodyText"/>
      </w:pPr>
      <w:r>
        <w:rPr>
          <w:i/>
          <w:iCs/>
        </w:rPr>
        <w:t xml:space="preserve">Political participation.</w:t>
      </w:r>
      <w:r>
        <w:t xml:space="preserve"> </w:t>
      </w:r>
      <w:r>
        <w:t xml:space="preserve">Six participation items are tracked as</w:t>
      </w:r>
      <w:r>
        <w:t xml:space="preserve"> </w:t>
      </w:r>
      <w:r>
        <w:t xml:space="preserve">gate proportions—the share of the full sample reporting ever having</w:t>
      </w:r>
      <w:r>
        <w:t xml:space="preserve"> </w:t>
      </w:r>
      <w:r>
        <w:t xml:space="preserve">engaged in each activity. Of these, contacting influential persons and</w:t>
      </w:r>
      <w:r>
        <w:t xml:space="preserve"> </w:t>
      </w:r>
      <w:r>
        <w:t xml:space="preserve">attending demonstrations employ consistent wording across all four waves</w:t>
      </w:r>
      <w:r>
        <w:t xml:space="preserve"> </w:t>
      </w:r>
      <w:r>
        <w:t xml:space="preserve">and are treated as fully comparable; cross-wave comparability for other</w:t>
      </w:r>
      <w:r>
        <w:t xml:space="preserve"> </w:t>
      </w:r>
      <w:r>
        <w:t xml:space="preserve">items is documented in the appendix (Table A1).</w:t>
      </w:r>
      <w:r>
        <w:rPr>
          <w:rStyle w:val="FootnoteReference"/>
        </w:rPr>
        <w:footnoteReference w:id="19"/>
      </w:r>
      <w:r>
        <w:t xml:space="preserve"> </w:t>
      </w:r>
      <w:r>
        <w:t xml:space="preserve">Community leader contact frequency (1–5</w:t>
      </w:r>
      <w:r>
        <w:t xml:space="preserve"> </w:t>
      </w:r>
      <w:r>
        <w:t xml:space="preserve">scale) and self-reported voter turnout (binary) supplement the gate</w:t>
      </w:r>
      <w:r>
        <w:t xml:space="preserve"> </w:t>
      </w:r>
      <w:r>
        <w:t xml:space="preserve">items.</w:t>
      </w:r>
    </w:p>
    <w:p>
      <w:pPr>
        <w:pStyle w:val="BodyText"/>
      </w:pPr>
      <w:r>
        <w:rPr>
          <w:i/>
          <w:iCs/>
        </w:rPr>
        <w:t xml:space="preserve">Authoritarian governance preferences.</w:t>
      </w:r>
      <w:r>
        <w:t xml:space="preserve"> </w:t>
      </w:r>
      <w:r>
        <w:t xml:space="preserve">Four items assess</w:t>
      </w:r>
      <w:r>
        <w:t xml:space="preserve"> </w:t>
      </w:r>
      <w:r>
        <w:t xml:space="preserve">respondent evaluations of non-democratic governance alternatives:</w:t>
      </w:r>
      <w:r>
        <w:t xml:space="preserve"> </w:t>
      </w:r>
      <w:r>
        <w:t xml:space="preserve">single-party rule, strongman rule, military rule, and expert rule. Each</w:t>
      </w:r>
      <w:r>
        <w:t xml:space="preserve"> </w:t>
      </w:r>
      <w:r>
        <w:t xml:space="preserve">is measured on a consistent 1–4 scale (1 =</w:t>
      </w:r>
      <w:r>
        <w:t xml:space="preserve"> </w:t>
      </w:r>
      <w:r>
        <w:t xml:space="preserve">“very bad,”</w:t>
      </w:r>
      <w:r>
        <w:t xml:space="preserve"> </w:t>
      </w:r>
      <w:r>
        <w:t xml:space="preserve">4 =</w:t>
      </w:r>
      <w:r>
        <w:t xml:space="preserve"> </w:t>
      </w:r>
      <w:r>
        <w:t xml:space="preserve">“very</w:t>
      </w:r>
      <w:r>
        <w:t xml:space="preserve"> </w:t>
      </w:r>
      <w:r>
        <w:t xml:space="preserve">good”</w:t>
      </w:r>
      <w:r>
        <w:t xml:space="preserve">) across all waves in which the item appears. Expert rule was not</w:t>
      </w:r>
      <w:r>
        <w:t xml:space="preserve"> </w:t>
      </w:r>
      <w:r>
        <w:t xml:space="preserve">fielded in Wave 2. These items are among the most stable in the ABS</w:t>
      </w:r>
      <w:r>
        <w:t xml:space="preserve"> </w:t>
      </w:r>
      <w:r>
        <w:t xml:space="preserve">instrument, with identical wording and response options across waves.</w:t>
      </w:r>
    </w:p>
    <w:bookmarkEnd w:id="20"/>
    <w:bookmarkStart w:id="23" w:name="democratic-orientations"/>
    <w:p>
      <w:pPr>
        <w:pStyle w:val="Heading2"/>
      </w:pPr>
      <w:r>
        <w:t xml:space="preserve">Democratic Orientations</w:t>
      </w:r>
    </w:p>
    <w:p>
      <w:pPr>
        <w:pStyle w:val="FirstParagraph"/>
      </w:pPr>
      <w:r>
        <w:t xml:space="preserve">The analysis tracks four analytically separable dimensions of democratic</w:t>
      </w:r>
      <w:r>
        <w:t xml:space="preserve"> </w:t>
      </w:r>
      <w:r>
        <w:t xml:space="preserve">attitudes, following the growing recognition that</w:t>
      </w:r>
      <w:r>
        <w:t xml:space="preserve"> </w:t>
      </w:r>
      <w:r>
        <w:t xml:space="preserve">“democratic support”</w:t>
      </w:r>
      <w:r>
        <w:t xml:space="preserve"> </w:t>
      </w:r>
      <w:r>
        <w:t xml:space="preserve">is not a unitary construct (Bratton et al. 2004; Mattes and Bratton</w:t>
      </w:r>
      <w:r>
        <w:t xml:space="preserve"> </w:t>
      </w:r>
      <w:r>
        <w:t xml:space="preserve">2007): abstract commitment (forced-choice democracy preference and an</w:t>
      </w:r>
      <w:r>
        <w:t xml:space="preserve"> </w:t>
      </w:r>
      <w:r>
        <w:t xml:space="preserve">agree/disagree evaluative item), practical prioritization (a</w:t>
      </w:r>
      <w:r>
        <w:t xml:space="preserve"> </w:t>
      </w:r>
      <w:r>
        <w:t xml:space="preserve">democracy-vs-equality trade-off), satisfaction with how democracy works</w:t>
      </w:r>
      <w:r>
        <w:t xml:space="preserve"> </w:t>
      </w:r>
      <w:r>
        <w:t xml:space="preserve">(1–4 scale, identical wording all four waves), and feasibility</w:t>
      </w:r>
      <w:r>
        <w:t xml:space="preserve"> </w:t>
      </w:r>
      <w:r>
        <w:t xml:space="preserve">expectations (0–10 past/present/future ratings, Waves 3, 4, and 6</w:t>
      </w:r>
      <w:r>
        <w:t xml:space="preserve"> </w:t>
      </w:r>
      <w:r>
        <w:t xml:space="preserve">only).</w:t>
      </w:r>
      <w:r>
        <w:rPr>
          <w:rStyle w:val="FootnoteReference"/>
        </w:rPr>
        <w:footnoteReference w:id="21"/>
      </w:r>
      <w:r>
        <w:t xml:space="preserve"> </w:t>
      </w:r>
      <w:r>
        <w:t xml:space="preserve">The expectations items carry the highest nonresponse—63</w:t>
      </w:r>
      <w:r>
        <w:t xml:space="preserve"> </w:t>
      </w:r>
      <w:r>
        <w:t xml:space="preserve">percent on democratic future in Wave 6—and are treated as supporting</w:t>
      </w:r>
      <w:r>
        <w:t xml:space="preserve"> </w:t>
      </w:r>
      <w:r>
        <w:t xml:space="preserve">evidence for patterns established more robustly on the commitment,</w:t>
      </w:r>
      <w:r>
        <w:t xml:space="preserve"> </w:t>
      </w:r>
      <w:r>
        <w:t xml:space="preserve">prioritization, and satisfaction measures. The nonresponse rate is</w:t>
      </w:r>
      <w:r>
        <w:t xml:space="preserve"> </w:t>
      </w:r>
      <w:r>
        <w:t xml:space="preserve">itself analytically informative and is addressed in the alternative</w:t>
      </w:r>
      <w:r>
        <w:t xml:space="preserve"> </w:t>
      </w:r>
      <w:r>
        <w:t xml:space="preserve">mechanisms section.</w:t>
      </w:r>
    </w:p>
    <w:p>
      <w:pPr>
        <w:pStyle w:val="BodyText"/>
      </w:pPr>
      <w:r>
        <w:t xml:space="preserve">Table </w:t>
      </w:r>
      <w:hyperlink w:anchor="tbl-comparability">
        <w:r>
          <w:rPr>
            <w:rStyle w:val="Hyperlink"/>
          </w:rPr>
          <w:t xml:space="preserve">[tbl-comparability]</w:t>
        </w:r>
      </w:hyperlink>
      <w:r>
        <w:t xml:space="preserve"> </w:t>
      </w:r>
      <w:r>
        <w:t xml:space="preserve">summarizes the comparability status of the</w:t>
      </w:r>
      <w:r>
        <w:t xml:space="preserve"> </w:t>
      </w:r>
      <w:r>
        <w:t xml:space="preserve">headline indicators.</w:t>
      </w:r>
    </w:p>
    <w:p>
      <w:pPr>
        <w:pStyle w:val="BodyText"/>
      </w:pPr>
      <w:r>
        <w:rPr>
          <w:i/>
          <w:iCs/>
        </w:rPr>
        <w:t xml:space="preserve">Analytic strategy.</w:t>
      </w:r>
      <w:r>
        <w:t xml:space="preserve"> </w:t>
      </w:r>
      <w:r>
        <w:t xml:space="preserve">The analysis is primarily descriptive:</w:t>
      </w:r>
      <w:r>
        <w:t xml:space="preserve"> </w:t>
      </w:r>
      <w:r>
        <w:t xml:space="preserve">wave-level means and proportions with 95 percent confidence intervals</w:t>
      </w:r>
      <w:r>
        <w:t xml:space="preserve"> </w:t>
      </w:r>
      <w:r>
        <w:t xml:space="preserve">(Wilson intervals for proportions; t-based for means), evaluated with</w:t>
      </w:r>
      <w:r>
        <w:t xml:space="preserve"> </w:t>
      </w:r>
      <w:r>
        <w:t xml:space="preserve">two-sample t-tests or proportion tests.</w:t>
      </w:r>
      <w:r>
        <w:rPr>
          <w:rStyle w:val="FootnoteReference"/>
        </w:rPr>
        <w:footnoteReference w:id="22"/>
      </w:r>
      <w:r>
        <w:t xml:space="preserve"> </w:t>
      </w:r>
      <w:r>
        <w:t xml:space="preserve">Covariate-adjusted OLS models are reported in</w:t>
      </w:r>
      <w:r>
        <w:t xml:space="preserve"> </w:t>
      </w:r>
      <w:r>
        <w:t xml:space="preserve">Table </w:t>
      </w:r>
      <w:hyperlink w:anchor="tbl-ols-controls">
        <w:r>
          <w:rPr>
            <w:rStyle w:val="Hyperlink"/>
          </w:rPr>
          <w:t xml:space="preserve">[tbl-ols-controls]</w:t>
        </w:r>
      </w:hyperlink>
      <w:r>
        <w:t xml:space="preserve"> </w:t>
      </w:r>
      <w:r>
        <w:t xml:space="preserve">as a compositional robustness check,</w:t>
      </w:r>
      <w:r>
        <w:t xml:space="preserve"> </w:t>
      </w:r>
      <w:r>
        <w:t xml:space="preserve">confirming that headline patterns are not explained by demographic</w:t>
      </w:r>
      <w:r>
        <w:t xml:space="preserve"> </w:t>
      </w:r>
      <w:r>
        <w:t xml:space="preserve">differences across survey samples. The analytic leverage derives from</w:t>
      </w:r>
      <w:r>
        <w:t xml:space="preserve"> </w:t>
      </w:r>
      <w:r>
        <w:t xml:space="preserve">within-case temporal variation across a well-documented political</w:t>
      </w:r>
      <w:r>
        <w:t xml:space="preserve"> </w:t>
      </w:r>
      <w:r>
        <w:t xml:space="preserve">sequence; the alternative mechanisms section addresses causal</w:t>
      </w:r>
      <w:r>
        <w:t xml:space="preserve"> </w:t>
      </w:r>
      <w:r>
        <w:t xml:space="preserve">adjudication directly.</w:t>
      </w:r>
    </w:p>
    <w:bookmarkEnd w:id="23"/>
    <w:bookmarkEnd w:id="24"/>
    <w:bookmarkStart w:id="28" w:name="the-quiet-kingdom-cambodia-in-2008"/>
    <w:p>
      <w:pPr>
        <w:pStyle w:val="Heading1"/>
      </w:pPr>
      <w:r>
        <w:t xml:space="preserve">The Quiet Kingdom: Cambodia in</w:t>
      </w:r>
      <w:r>
        <w:t xml:space="preserve"> </w:t>
      </w:r>
      <w:r>
        <w:t xml:space="preserve">2008</w:t>
      </w:r>
    </w:p>
    <w:p>
      <w:pPr>
        <w:pStyle w:val="FirstParagraph"/>
      </w:pPr>
      <w:r>
        <w:t xml:space="preserve">The first act of this story is a silence, and it is important to</w:t>
      </w:r>
      <w:r>
        <w:t xml:space="preserve"> </w:t>
      </w:r>
      <w:r>
        <w:t xml:space="preserve">understand what kind of silence it was.</w:t>
      </w:r>
      <w:r>
        <w:rPr>
          <w:rStyle w:val="FootnoteReference"/>
        </w:rPr>
        <w:footnoteReference w:id="25"/>
      </w:r>
    </w:p>
    <w:p>
      <w:pPr>
        <w:pStyle w:val="BodyText"/>
      </w:pPr>
      <w:r>
        <w:t xml:space="preserve">By 2008, Cambodia had been under continuous CPP rule for over two</w:t>
      </w:r>
      <w:r>
        <w:t xml:space="preserve"> </w:t>
      </w:r>
      <w:r>
        <w:t xml:space="preserve">decades. The party had consolidated its dominance through a patronage</w:t>
      </w:r>
      <w:r>
        <w:t xml:space="preserve"> </w:t>
      </w:r>
      <w:r>
        <w:t xml:space="preserve">network linking the central state to village-level administration, an</w:t>
      </w:r>
      <w:r>
        <w:t xml:space="preserve"> </w:t>
      </w:r>
      <w:r>
        <w:t xml:space="preserve">integrated security apparatus, a compliant judiciary, and GDP growth</w:t>
      </w:r>
      <w:r>
        <w:t xml:space="preserve"> </w:t>
      </w:r>
      <w:r>
        <w:t xml:space="preserve">averaging about 7 percent annually—the material foundation for the</w:t>
      </w:r>
      <w:r>
        <w:t xml:space="preserve"> </w:t>
      </w:r>
      <w:r>
        <w:t xml:space="preserve">regime’s implicit bargain of stability in exchange for political</w:t>
      </w:r>
      <w:r>
        <w:t xml:space="preserve"> </w:t>
      </w:r>
      <w:r>
        <w:t xml:space="preserve">acquiescence (Blake 2019; Morgenbesser 2016; World Bank 2026). The</w:t>
      </w:r>
      <w:r>
        <w:t xml:space="preserve"> </w:t>
      </w:r>
      <w:r>
        <w:t xml:space="preserve">opposition was fragmented: the Sam Rainsy Party commanded a loyal but</w:t>
      </w:r>
      <w:r>
        <w:t xml:space="preserve"> </w:t>
      </w:r>
      <w:r>
        <w:t xml:space="preserve">limited urban constituency; the Human Rights Party, led by Kem Sokha,</w:t>
      </w:r>
      <w:r>
        <w:t xml:space="preserve"> </w:t>
      </w:r>
      <w:r>
        <w:t xml:space="preserve">lacked the organizational reach to threaten CPP hegemony. Neither posed</w:t>
      </w:r>
      <w:r>
        <w:t xml:space="preserve"> </w:t>
      </w:r>
      <w:r>
        <w:t xml:space="preserve">a credible challenge in isolation—a structural condition that would</w:t>
      </w:r>
      <w:r>
        <w:t xml:space="preserve"> </w:t>
      </w:r>
      <w:r>
        <w:t xml:space="preserve">change dramatically with their merger four years later (Norén-Nilsson</w:t>
      </w:r>
      <w:r>
        <w:t xml:space="preserve"> </w:t>
      </w:r>
      <w:r>
        <w:t xml:space="preserve">2015).</w:t>
      </w:r>
    </w:p>
    <w:p>
      <w:pPr>
        <w:pStyle w:val="BodyText"/>
      </w:pPr>
      <w:r>
        <w:t xml:space="preserve">The Wave 2 Asian Barometer data from this period paint a portrait of a</w:t>
      </w:r>
      <w:r>
        <w:t xml:space="preserve"> </w:t>
      </w:r>
      <w:r>
        <w:t xml:space="preserve">population that was neither enthusiastic nor resistant, but simply</w:t>
      </w:r>
      <w:r>
        <w:t xml:space="preserve"> </w:t>
      </w:r>
      <w:r>
        <w:t xml:space="preserve">quiet.</w:t>
      </w:r>
      <w:r>
        <w:rPr>
          <w:rStyle w:val="FootnoteReference"/>
        </w:rPr>
        <w:footnoteReference w:id="26"/>
      </w:r>
      <w:r>
        <w:t xml:space="preserve"> </w:t>
      </w:r>
      <w:r>
        <w:t xml:space="preserve">Political participation</w:t>
      </w:r>
      <w:r>
        <w:t xml:space="preserve"> </w:t>
      </w:r>
      <w:r>
        <w:t xml:space="preserve">was present but low in intensity: 43 percent of respondents reported</w:t>
      </w:r>
      <w:r>
        <w:t xml:space="preserve"> </w:t>
      </w:r>
      <w:r>
        <w:t xml:space="preserve">ever having contacted a person of influence, yet community leader</w:t>
      </w:r>
      <w:r>
        <w:t xml:space="preserve"> </w:t>
      </w:r>
      <w:r>
        <w:t xml:space="preserve">contact averaged just 1.53 on a five-point frequency scale.</w:t>
      </w:r>
      <w:r>
        <w:rPr>
          <w:rStyle w:val="FootnoteReference"/>
        </w:rPr>
        <w:footnoteReference w:id="27"/>
      </w:r>
    </w:p>
    <w:p>
      <w:pPr>
        <w:pStyle w:val="BodyText"/>
      </w:pPr>
      <w:r>
        <w:t xml:space="preserve">The authoritarian attitude measures are telling. Single-party rule was</w:t>
      </w:r>
      <w:r>
        <w:t xml:space="preserve"> </w:t>
      </w:r>
      <w:r>
        <w:t xml:space="preserve">rated at 1.79 on a four-point scale, strongman rule at 1.6, and military</w:t>
      </w:r>
      <w:r>
        <w:t xml:space="preserve"> </w:t>
      </w:r>
      <w:r>
        <w:t xml:space="preserve">rule at 2.19—not numbers of a population that embraces</w:t>
      </w:r>
      <w:r>
        <w:t xml:space="preserve"> </w:t>
      </w:r>
      <w:r>
        <w:t xml:space="preserve">authoritarianism as an ideal, but of one that has learned to live within</w:t>
      </w:r>
      <w:r>
        <w:t xml:space="preserve"> </w:t>
      </w:r>
      <w:r>
        <w:t xml:space="preserve">it. On the forced-choice democracy preference, 61.2 percent selected</w:t>
      </w:r>
      <w:r>
        <w:t xml:space="preserve"> </w:t>
      </w:r>
      <w:r>
        <w:t xml:space="preserve">“democracy is always preferable”</w:t>
      </w:r>
      <w:r>
        <w:t xml:space="preserve"> </w:t>
      </w:r>
      <w:r>
        <w:t xml:space="preserve">while 30.5 percent chose</w:t>
      </w:r>
      <w:r>
        <w:t xml:space="preserve"> </w:t>
      </w:r>
      <w:r>
        <w:t xml:space="preserve">“it doesn’t</w:t>
      </w:r>
      <w:r>
        <w:t xml:space="preserve"> </w:t>
      </w:r>
      <w:r>
        <w:t xml:space="preserve">matter”</w:t>
      </w:r>
      <w:r>
        <w:t xml:space="preserve">—a plurality endorsement without intensity. Cambodia in 2008</w:t>
      </w:r>
      <w:r>
        <w:t xml:space="preserve"> </w:t>
      </w:r>
      <w:r>
        <w:t xml:space="preserve">was a country in political equilibrium. No dramatic spikes, no anomalous</w:t>
      </w:r>
      <w:r>
        <w:t xml:space="preserve"> </w:t>
      </w:r>
      <w:r>
        <w:t xml:space="preserve">values, no signs of the upheaval to come. The question that the next</w:t>
      </w:r>
      <w:r>
        <w:t xml:space="preserve"> </w:t>
      </w:r>
      <w:r>
        <w:t xml:space="preserve">four years would pose, with startling force, was what would happen when</w:t>
      </w:r>
      <w:r>
        <w:t xml:space="preserve"> </w:t>
      </w:r>
      <w:r>
        <w:t xml:space="preserve">that arrangement was briefly and dramatically disrupted.</w:t>
      </w:r>
    </w:p>
    <w:bookmarkEnd w:id="28"/>
    <w:bookmarkStart w:id="32" w:name="the-awakening-cambodia-in-2012"/>
    <w:p>
      <w:pPr>
        <w:pStyle w:val="Heading1"/>
      </w:pPr>
      <w:r>
        <w:t xml:space="preserve">The Awakening: Cambodia in</w:t>
      </w:r>
      <w:r>
        <w:t xml:space="preserve"> </w:t>
      </w:r>
      <w:r>
        <w:t xml:space="preserve">2012</w:t>
      </w:r>
    </w:p>
    <w:p>
      <w:pPr>
        <w:pStyle w:val="FirstParagraph"/>
      </w:pPr>
      <w:r>
        <w:t xml:space="preserve">Something extraordinary happened in Cambodia between 2008 and 2012, and</w:t>
      </w:r>
      <w:r>
        <w:t xml:space="preserve"> </w:t>
      </w:r>
      <w:r>
        <w:t xml:space="preserve">the Wave 3 Asian Barometer data capture its imprint with unusual</w:t>
      </w:r>
      <w:r>
        <w:t xml:space="preserve"> </w:t>
      </w:r>
      <w:r>
        <w:t xml:space="preserve">clarity.</w:t>
      </w:r>
      <w:r>
        <w:rPr>
          <w:rStyle w:val="FootnoteReference"/>
        </w:rPr>
        <w:footnoteReference w:id="29"/>
      </w:r>
    </w:p>
    <w:p>
      <w:pPr>
        <w:pStyle w:val="BodyText"/>
      </w:pPr>
      <w:r>
        <w:t xml:space="preserve">Across nearly every measure of civic engagement and political</w:t>
      </w:r>
      <w:r>
        <w:t xml:space="preserve"> </w:t>
      </w:r>
      <w:r>
        <w:t xml:space="preserve">aspiration, Cambodian respondents in 2012 registered at or near the</w:t>
      </w:r>
      <w:r>
        <w:t xml:space="preserve"> </w:t>
      </w:r>
      <w:r>
        <w:t xml:space="preserve">highest values in the dataset’s history. Contact with influential</w:t>
      </w:r>
      <w:r>
        <w:t xml:space="preserve"> </w:t>
      </w:r>
      <w:r>
        <w:t xml:space="preserve">persons rose from 43 percent in 2008 to 52.6 percent. Community leader</w:t>
      </w:r>
      <w:r>
        <w:t xml:space="preserve"> </w:t>
      </w:r>
      <w:r>
        <w:t xml:space="preserve">contact averaged 1.9 on a five-point frequency scale, up from 1.53. The</w:t>
      </w:r>
      <w:r>
        <w:t xml:space="preserve"> </w:t>
      </w:r>
      <w:r>
        <w:t xml:space="preserve">political activities newly tracked in Wave 3—attending demonstrations</w:t>
      </w:r>
      <w:r>
        <w:t xml:space="preserve"> </w:t>
      </w:r>
      <w:r>
        <w:t xml:space="preserve">(2.6 percent ever) and signing petitions (10.5 percent ever)—debuted</w:t>
      </w:r>
      <w:r>
        <w:t xml:space="preserve"> </w:t>
      </w:r>
      <w:r>
        <w:t xml:space="preserve">at levels consistent with a population in active political motion.</w:t>
      </w:r>
    </w:p>
    <w:p>
      <w:pPr>
        <w:pStyle w:val="BodyText"/>
      </w:pPr>
      <w:r>
        <w:t xml:space="preserve">The catalyst was the formation of the Cambodia National Rescue Party in</w:t>
      </w:r>
      <w:r>
        <w:t xml:space="preserve"> </w:t>
      </w:r>
      <w:r>
        <w:t xml:space="preserve">2012, a merger of the Sam Rainsy Party and the Human Rights Party. The</w:t>
      </w:r>
      <w:r>
        <w:t xml:space="preserve"> </w:t>
      </w:r>
      <w:r>
        <w:t xml:space="preserve">CNRP unified the fragmented non-CPP political space into a single,</w:t>
      </w:r>
      <w:r>
        <w:t xml:space="preserve"> </w:t>
      </w:r>
      <w:r>
        <w:t xml:space="preserve">credible alternative with a coherent message of democratic reform,</w:t>
      </w:r>
      <w:r>
        <w:t xml:space="preserve"> </w:t>
      </w:r>
      <w:r>
        <w:t xml:space="preserve">anti-corruption, and economic justice, drawing its energy from an urban</w:t>
      </w:r>
      <w:r>
        <w:t xml:space="preserve"> </w:t>
      </w:r>
      <w:r>
        <w:t xml:space="preserve">youth demographic—the first generation born after the Khmer Rouge,</w:t>
      </w:r>
      <w:r>
        <w:t xml:space="preserve"> </w:t>
      </w:r>
      <w:r>
        <w:t xml:space="preserve">connected to the wider world through social media, and impatient with</w:t>
      </w:r>
      <w:r>
        <w:t xml:space="preserve"> </w:t>
      </w:r>
      <w:r>
        <w:t xml:space="preserve">the political settlement their parents had accepted. The July 2013</w:t>
      </w:r>
      <w:r>
        <w:t xml:space="preserve"> </w:t>
      </w:r>
      <w:r>
        <w:t xml:space="preserve">national election became the most competitive in Cambodia’s post-UNTAC</w:t>
      </w:r>
      <w:r>
        <w:t xml:space="preserve"> </w:t>
      </w:r>
      <w:r>
        <w:t xml:space="preserve">history. The CNRP won 55 of 123 National Assembly seats; allegations of</w:t>
      </w:r>
      <w:r>
        <w:t xml:space="preserve"> </w:t>
      </w:r>
      <w:r>
        <w:t xml:space="preserve">electoral fraud triggered months of mass protest. For observers and</w:t>
      </w:r>
      <w:r>
        <w:t xml:space="preserve"> </w:t>
      </w:r>
      <w:r>
        <w:t xml:space="preserve">participants alike, the political settlement that had governed Cambodia</w:t>
      </w:r>
      <w:r>
        <w:t xml:space="preserve"> </w:t>
      </w:r>
      <w:r>
        <w:t xml:space="preserve">since the late 1990s appeared to be unraveling (Strangio 2014;</w:t>
      </w:r>
      <w:r>
        <w:t xml:space="preserve"> </w:t>
      </w:r>
      <w:r>
        <w:t xml:space="preserve">Morgenbesser 2017; Norén-Nilsson 2021).</w:t>
      </w:r>
    </w:p>
    <w:p>
      <w:pPr>
        <w:pStyle w:val="BodyText"/>
      </w:pPr>
      <w:r>
        <w:t xml:space="preserve">The democratic expectations data tell the same story from a different</w:t>
      </w:r>
      <w:r>
        <w:t xml:space="preserve"> </w:t>
      </w:r>
      <w:r>
        <w:t xml:space="preserve">angle. Cambodian respondents in 2012 produced a mean of 9.58 on the</w:t>
      </w:r>
      <w:r>
        <w:t xml:space="preserve"> </w:t>
      </w:r>
      <w:r>
        <w:t xml:space="preserve">ten-point democratic future scale—near-universal optimism, suggesting</w:t>
      </w:r>
      <w:r>
        <w:t xml:space="preserve"> </w:t>
      </w:r>
      <w:r>
        <w:t xml:space="preserve">a population that had collectively decided democratic change was not</w:t>
      </w:r>
      <w:r>
        <w:t xml:space="preserve"> </w:t>
      </w:r>
      <w:r>
        <w:t xml:space="preserve">merely desirable but imminent. The past-present-future structure (low</w:t>
      </w:r>
      <w:r>
        <w:t xml:space="preserve"> </w:t>
      </w:r>
      <w:r>
        <w:t xml:space="preserve">past: 3.97; middling present: 5.85; exceptionally high future: 9.58) is</w:t>
      </w:r>
      <w:r>
        <w:t xml:space="preserve"> </w:t>
      </w:r>
      <w:r>
        <w:t xml:space="preserve">not the signature of a population evaluating its institutions on the</w:t>
      </w:r>
      <w:r>
        <w:t xml:space="preserve"> </w:t>
      </w:r>
      <w:r>
        <w:t xml:space="preserve">basis of lived experience—it is a hope-driven orientation, grounded in</w:t>
      </w:r>
      <w:r>
        <w:t xml:space="preserve"> </w:t>
      </w:r>
      <w:r>
        <w:t xml:space="preserve">expectation rather than experience, and therefore extraordinarily</w:t>
      </w:r>
      <w:r>
        <w:t xml:space="preserve"> </w:t>
      </w:r>
      <w:r>
        <w:t xml:space="preserve">sensitive to political events. The 2012 moment was not a peak of</w:t>
      </w:r>
      <w:r>
        <w:t xml:space="preserve"> </w:t>
      </w:r>
      <w:r>
        <w:t xml:space="preserve">abstract democratic commitment: the forced-choice democracy preference</w:t>
      </w:r>
      <w:r>
        <w:t xml:space="preserve"> </w:t>
      </w:r>
      <w:r>
        <w:t xml:space="preserve">(56.9 percent choosing</w:t>
      </w:r>
      <w:r>
        <w:t xml:space="preserve"> </w:t>
      </w:r>
      <w:r>
        <w:t xml:space="preserve">“always preferable”</w:t>
      </w:r>
      <w:r>
        <w:t xml:space="preserve">) actually ran</w:t>
      </w:r>
      <w:r>
        <w:t xml:space="preserve"> </w:t>
      </w:r>
      <w:r>
        <w:rPr>
          <w:i/>
          <w:iCs/>
        </w:rPr>
        <w:t xml:space="preserve">lower</w:t>
      </w:r>
      <w:r>
        <w:t xml:space="preserve"> </w:t>
      </w:r>
      <w:r>
        <w:t xml:space="preserve">than in 2008. It was a peak of democratic</w:t>
      </w:r>
      <w:r>
        <w:t xml:space="preserve"> </w:t>
      </w:r>
      <w:r>
        <w:rPr>
          <w:i/>
          <w:iCs/>
        </w:rPr>
        <w:t xml:space="preserve">expectation</w:t>
      </w:r>
      <w:r>
        <w:t xml:space="preserve"> </w:t>
      </w:r>
      <w:r>
        <w:t xml:space="preserve">and</w:t>
      </w:r>
      <w:r>
        <w:t xml:space="preserve"> </w:t>
      </w:r>
      <w:r>
        <w:rPr>
          <w:i/>
          <w:iCs/>
        </w:rPr>
        <w:t xml:space="preserve">prioritization</w:t>
      </w:r>
      <w:r>
        <w:t xml:space="preserve">. Nearly half of respondents (47.1 percent)</w:t>
      </w:r>
      <w:r>
        <w:t xml:space="preserve"> </w:t>
      </w:r>
      <w:r>
        <w:t xml:space="preserve">prioritized political freedom over economic equality—a level that</w:t>
      </w:r>
      <w:r>
        <w:t xml:space="preserve"> </w:t>
      </w:r>
      <w:r>
        <w:t xml:space="preserve">would not be observed again. Witnessed corruption, at 49 percent,</w:t>
      </w:r>
      <w:r>
        <w:t xml:space="preserve"> </w:t>
      </w:r>
      <w:r>
        <w:t xml:space="preserve">reflected not an increase in actual corruption but a population more</w:t>
      </w:r>
      <w:r>
        <w:t xml:space="preserve"> </w:t>
      </w:r>
      <w:r>
        <w:t xml:space="preserve">willing to name it, emboldened by opposition messaging and expanded</w:t>
      </w:r>
      <w:r>
        <w:t xml:space="preserve"> </w:t>
      </w:r>
      <w:r>
        <w:t xml:space="preserve">civic space. Political interest (2.57) and news following (3.07) stood</w:t>
      </w:r>
      <w:r>
        <w:t xml:space="preserve"> </w:t>
      </w:r>
      <w:r>
        <w:t xml:space="preserve">at the highest values in the Cambodian series.</w:t>
      </w:r>
      <w:r>
        <w:rPr>
          <w:rStyle w:val="FootnoteReference"/>
        </w:rPr>
        <w:footnoteReference w:id="30"/>
      </w:r>
      <w:r>
        <w:rPr>
          <w:rStyle w:val="FootnoteReference"/>
        </w:rPr>
        <w:footnoteReference w:id="31"/>
      </w:r>
    </w:p>
    <w:p>
      <w:pPr>
        <w:pStyle w:val="BodyText"/>
      </w:pPr>
      <w:r>
        <w:t xml:space="preserve">The 2012 data capture the approximate moment at which a population</w:t>
      </w:r>
      <w:r>
        <w:t xml:space="preserve"> </w:t>
      </w:r>
      <w:r>
        <w:t xml:space="preserve">collectively updated its beliefs about what was politically possible,</w:t>
      </w:r>
      <w:r>
        <w:t xml:space="preserve"> </w:t>
      </w:r>
      <w:r>
        <w:t xml:space="preserve">right before the regime demonstrated, with devastating effectiveness,</w:t>
      </w:r>
      <w:r>
        <w:t xml:space="preserve"> </w:t>
      </w:r>
      <w:r>
        <w:t xml:space="preserve">that those beliefs were wrong.</w:t>
      </w:r>
    </w:p>
    <w:bookmarkEnd w:id="32"/>
    <w:bookmarkStart w:id="34" w:name="the-reckoning-cambodia-in-2015"/>
    <w:p>
      <w:pPr>
        <w:pStyle w:val="Heading1"/>
      </w:pPr>
      <w:r>
        <w:t xml:space="preserve">The Reckoning: Cambodia in</w:t>
      </w:r>
      <w:r>
        <w:t xml:space="preserve"> </w:t>
      </w:r>
      <w:r>
        <w:t xml:space="preserve">2015</w:t>
      </w:r>
    </w:p>
    <w:p>
      <w:pPr>
        <w:pStyle w:val="FirstParagraph"/>
      </w:pPr>
      <w:r>
        <w:t xml:space="preserve">The 2013 election confirmed the CNRP’s mobilization power—55 seats to</w:t>
      </w:r>
      <w:r>
        <w:t xml:space="preserve"> </w:t>
      </w:r>
      <w:r>
        <w:t xml:space="preserve">the CPP’s 68, the narrowest margin in Cambodia’s modern history—but</w:t>
      </w:r>
      <w:r>
        <w:t xml:space="preserve"> </w:t>
      </w:r>
      <w:r>
        <w:t xml:space="preserve">the structural ceiling held.</w:t>
      </w:r>
      <w:r>
        <w:rPr>
          <w:rStyle w:val="FootnoteReference"/>
        </w:rPr>
        <w:footnoteReference w:id="33"/>
      </w:r>
      <w:r>
        <w:t xml:space="preserve"> </w:t>
      </w:r>
      <w:r>
        <w:t xml:space="preserve">Fraud allegations</w:t>
      </w:r>
      <w:r>
        <w:t xml:space="preserve"> </w:t>
      </w:r>
      <w:r>
        <w:t xml:space="preserve">triggered mass protest; a January 2014 crackdown and subsequent</w:t>
      </w:r>
      <w:r>
        <w:t xml:space="preserve"> </w:t>
      </w:r>
      <w:r>
        <w:t xml:space="preserve">compromise coaxed the CNRP into parliament under a fragile</w:t>
      </w:r>
      <w:r>
        <w:t xml:space="preserve"> </w:t>
      </w:r>
      <w:r>
        <w:t xml:space="preserve">“Culture of</w:t>
      </w:r>
      <w:r>
        <w:t xml:space="preserve"> </w:t>
      </w:r>
      <w:r>
        <w:t xml:space="preserve">Dialogue”</w:t>
      </w:r>
      <w:r>
        <w:t xml:space="preserve"> </w:t>
      </w:r>
      <w:r>
        <w:t xml:space="preserve">that was less a genuine opening than a controlled</w:t>
      </w:r>
      <w:r>
        <w:t xml:space="preserve"> </w:t>
      </w:r>
      <w:r>
        <w:t xml:space="preserve">decompression: the CPP retained the security forces, the judiciary, and</w:t>
      </w:r>
      <w:r>
        <w:t xml:space="preserve"> </w:t>
      </w:r>
      <w:r>
        <w:t xml:space="preserve">the National Election Committee while progressively constraining the</w:t>
      </w:r>
      <w:r>
        <w:t xml:space="preserve"> </w:t>
      </w:r>
      <w:r>
        <w:t xml:space="preserve">CNRP through legal harassment and restrictions on assembly (Morgenbesser</w:t>
      </w:r>
      <w:r>
        <w:t xml:space="preserve"> </w:t>
      </w:r>
      <w:r>
        <w:t xml:space="preserve">2017; Norén-Nilsson 2019). By 2015 the dialogue had stalled, and the</w:t>
      </w:r>
      <w:r>
        <w:t xml:space="preserve"> </w:t>
      </w:r>
      <w:r>
        <w:t xml:space="preserve">Wave 4 survey entered the field in an atmosphere that had shifted from</w:t>
      </w:r>
      <w:r>
        <w:t xml:space="preserve"> </w:t>
      </w:r>
      <w:r>
        <w:t xml:space="preserve">the hopeful energy of 2013 to something more wary.</w:t>
      </w:r>
    </w:p>
    <w:p>
      <w:pPr>
        <w:pStyle w:val="BodyText"/>
      </w:pPr>
      <w:r>
        <w:t xml:space="preserve">The Wave 4 data capture a population no longer at the peak of</w:t>
      </w:r>
      <w:r>
        <w:t xml:space="preserve"> </w:t>
      </w:r>
      <w:r>
        <w:t xml:space="preserve">mobilization but not yet in the trough of withdrawal. Contact with</w:t>
      </w:r>
      <w:r>
        <w:t xml:space="preserve"> </w:t>
      </w:r>
      <w:r>
        <w:t xml:space="preserve">influential persons held essentially steady at 55.9 percent (the</w:t>
      </w:r>
      <w:r>
        <w:t xml:space="preserve"> </w:t>
      </w:r>
      <w:r>
        <w:t xml:space="preserve">3.3-point increase from Wave 3 is not statistically significant;</w:t>
      </w:r>
      <w:r>
        <w:t xml:space="preserve"> </w:t>
      </w:r>
      <w:r>
        <w:rPr>
          <w:i/>
          <w:iCs/>
        </w:rPr>
        <w:t xml:space="preserve">p</w:t>
      </w:r>
      <w:r>
        <w:t xml:space="preserve"> </w:t>
      </w:r>
      <w:r>
        <w:t xml:space="preserve">= 0.11), and demonstration attendance, petition-signing, and</w:t>
      </w:r>
      <w:r>
        <w:t xml:space="preserve"> </w:t>
      </w:r>
      <w:r>
        <w:t xml:space="preserve">civil servant contact all edged slightly upward. The</w:t>
      </w:r>
      <w:r>
        <w:t xml:space="preserve"> </w:t>
      </w:r>
      <w:r>
        <w:t xml:space="preserve">“selective</w:t>
      </w:r>
      <w:r>
        <w:t xml:space="preserve"> </w:t>
      </w:r>
      <w:r>
        <w:t xml:space="preserve">retreat”</w:t>
      </w:r>
      <w:r>
        <w:t xml:space="preserve"> </w:t>
      </w:r>
      <w:r>
        <w:t xml:space="preserve">of 2015 is not written primarily in the behavioral data. It is</w:t>
      </w:r>
      <w:r>
        <w:t xml:space="preserve"> </w:t>
      </w:r>
      <w:r>
        <w:t xml:space="preserve">written in the attitudinal record.</w:t>
      </w:r>
    </w:p>
    <w:p>
      <w:pPr>
        <w:pStyle w:val="BodyText"/>
      </w:pPr>
      <w:r>
        <w:t xml:space="preserve">Table </w:t>
      </w:r>
      <w:hyperlink w:anchor="tbl-wave3to4">
        <w:r>
          <w:rPr>
            <w:rStyle w:val="Hyperlink"/>
          </w:rPr>
          <w:t xml:space="preserve">[tbl-wave3to4]</w:t>
        </w:r>
      </w:hyperlink>
      <w:r>
        <w:t xml:space="preserve"> </w:t>
      </w:r>
      <w:r>
        <w:t xml:space="preserve">shows the W3→W4 shifts. The attitudinal retreat</w:t>
      </w:r>
      <w:r>
        <w:t xml:space="preserve"> </w:t>
      </w:r>
      <w:r>
        <w:t xml:space="preserve">is not accompanied by a corresponding rise in authoritarian</w:t>
      </w:r>
      <w:r>
        <w:t xml:space="preserve"> </w:t>
      </w:r>
      <w:r>
        <w:t xml:space="preserve">acceptance—single-party rule dipped, military rule fell, and all four</w:t>
      </w:r>
      <w:r>
        <w:t xml:space="preserve"> </w:t>
      </w:r>
      <w:r>
        <w:t xml:space="preserve">measures remained below 2.0. The 2015 demobilization was driven by</w:t>
      </w:r>
      <w:r>
        <w:t xml:space="preserve"> </w:t>
      </w:r>
      <w:r>
        <w:t xml:space="preserve">disillusionment and tactical withdrawal, not reorientation toward</w:t>
      </w:r>
      <w:r>
        <w:t xml:space="preserve"> </w:t>
      </w:r>
      <w:r>
        <w:t xml:space="preserve">authoritarian preferences.</w:t>
      </w:r>
    </w:p>
    <w:p>
      <w:pPr>
        <w:pStyle w:val="BodyText"/>
      </w:pPr>
      <w:r>
        <w:t xml:space="preserve">The democratic orientation data reveal the first signs of a decoupling</w:t>
      </w:r>
      <w:r>
        <w:t xml:space="preserve"> </w:t>
      </w:r>
      <w:r>
        <w:t xml:space="preserve">that would define the Cambodian trajectory. Abstract democratic</w:t>
      </w:r>
      <w:r>
        <w:t xml:space="preserve"> </w:t>
      </w:r>
      <w:r>
        <w:t xml:space="preserve">commitment paradoxically surged: 74.9 percent selected</w:t>
      </w:r>
      <w:r>
        <w:t xml:space="preserve"> </w:t>
      </w:r>
      <w:r>
        <w:t xml:space="preserve">“democracy is</w:t>
      </w:r>
      <w:r>
        <w:t xml:space="preserve"> </w:t>
      </w:r>
      <w:r>
        <w:t xml:space="preserve">always preferable”</w:t>
      </w:r>
      <w:r>
        <w:t xml:space="preserve">—the highest proportion across all four waves, up</w:t>
      </w:r>
      <w:r>
        <w:t xml:space="preserve"> </w:t>
      </w:r>
      <w:r>
        <w:t xml:space="preserve">from 56.9 percent in 2012. The crackdown of 2013–2014 had made the</w:t>
      </w:r>
      <w:r>
        <w:t xml:space="preserve"> </w:t>
      </w:r>
      <w:r>
        <w:t xml:space="preserve">ideal visible and contested, and citizens chose sides. But</w:t>
      </w:r>
      <w:r>
        <w:t xml:space="preserve"> </w:t>
      </w:r>
      <w:r>
        <w:t xml:space="preserve">prioritization began its descent simultaneously: the</w:t>
      </w:r>
      <w:r>
        <w:t xml:space="preserve"> </w:t>
      </w:r>
      <w:r>
        <w:t xml:space="preserve">pro-political-freedom share of the democracy-versus-equality trade-off</w:t>
      </w:r>
      <w:r>
        <w:t xml:space="preserve"> </w:t>
      </w:r>
      <w:r>
        <w:t xml:space="preserve">contracted from 47.1 to 34.6 percent (mean: 2.91 → 2.58,</w:t>
      </w:r>
      <w:r>
        <w:t xml:space="preserve"> </w:t>
      </w:r>
      <w:r>
        <w:rPr>
          <w:i/>
          <w:iCs/>
        </w:rPr>
        <w:t xml:space="preserve">p</w:t>
      </w:r>
      <w:r>
        <w:t xml:space="preserve"> </w:t>
      </w:r>
      <w:r>
        <w:t xml:space="preserve">&lt; 0.001). Citizens were affirming the ideal while becoming</w:t>
      </w:r>
      <w:r>
        <w:t xml:space="preserve"> </w:t>
      </w:r>
      <w:r>
        <w:t xml:space="preserve">less willing to bear its costs. Democratic future expectations fell</w:t>
      </w:r>
      <w:r>
        <w:t xml:space="preserve"> </w:t>
      </w:r>
      <w:r>
        <w:t xml:space="preserve">nearly two points (</w:t>
      </w:r>
      <w:r>
        <w:rPr>
          <w:i/>
          <w:iCs/>
        </w:rPr>
        <w:t xml:space="preserve">p</w:t>
      </w:r>
      <w:r>
        <w:t xml:space="preserve"> </w:t>
      </w:r>
      <w:r>
        <w:t xml:space="preserve">&lt; 0.001); democracy satisfaction</w:t>
      </w:r>
      <w:r>
        <w:t xml:space="preserve"> </w:t>
      </w:r>
      <w:r>
        <w:t xml:space="preserve">dropped to 2.71—its lowest value—as the gap between elevated</w:t>
      </w:r>
      <w:r>
        <w:t xml:space="preserve"> </w:t>
      </w:r>
      <w:r>
        <w:t xml:space="preserve">expectations and deteriorating reality widened. That gap would close by</w:t>
      </w:r>
      <w:r>
        <w:t xml:space="preserve"> </w:t>
      </w:r>
      <w:r>
        <w:t xml:space="preserve">2021, producing the satisfaction paradox documented in</w:t>
      </w:r>
      <w:r>
        <w:t xml:space="preserve"> </w:t>
      </w:r>
      <w:r>
        <w:t xml:space="preserve">Figure </w:t>
      </w:r>
      <w:hyperlink w:anchor="fig-paradox">
        <w:r>
          <w:rPr>
            <w:rStyle w:val="Hyperlink"/>
          </w:rPr>
          <w:t xml:space="preserve">3</w:t>
        </w:r>
      </w:hyperlink>
      <w:r>
        <w:t xml:space="preserve">.</w:t>
      </w:r>
    </w:p>
    <w:p>
      <w:pPr>
        <w:pStyle w:val="BodyText"/>
      </w:pPr>
      <w:r>
        <w:t xml:space="preserve">Witnessed corruption surged to 63 percent—its dataset peak. The</w:t>
      </w:r>
      <w:r>
        <w:t xml:space="preserve"> </w:t>
      </w:r>
      <w:r>
        <w:t xml:space="preserve">post-2013 period, with its institutional jockeying and expanded CNRP</w:t>
      </w:r>
      <w:r>
        <w:t xml:space="preserve"> </w:t>
      </w:r>
      <w:r>
        <w:t xml:space="preserve">parliamentary presence, created more visible sites of corruption, not</w:t>
      </w:r>
      <w:r>
        <w:t xml:space="preserve"> </w:t>
      </w:r>
      <w:r>
        <w:t xml:space="preserve">more corruption per se. Political interest and news following registered</w:t>
      </w:r>
      <w:r>
        <w:t xml:space="preserve"> </w:t>
      </w:r>
      <w:r>
        <w:t xml:space="preserve">modest declines, the leading edge of a trend that would deepen sharply.</w:t>
      </w:r>
      <w:r>
        <w:t xml:space="preserve"> </w:t>
      </w:r>
      <w:r>
        <w:t xml:space="preserve">The 2015 wave is the hinge: democratic hope falling but not yet crashed,</w:t>
      </w:r>
      <w:r>
        <w:t xml:space="preserve"> </w:t>
      </w:r>
      <w:r>
        <w:t xml:space="preserve">behavior intact but attitudes already retreating, authoritarian</w:t>
      </w:r>
      <w:r>
        <w:t xml:space="preserve"> </w:t>
      </w:r>
      <w:r>
        <w:t xml:space="preserve">acceptance still low. Unstable equilibrium, poised between the</w:t>
      </w:r>
      <w:r>
        <w:t xml:space="preserve"> </w:t>
      </w:r>
      <w:r>
        <w:t xml:space="preserve">aspiration of 2012 and the normalization that was about to descend.</w:t>
      </w:r>
    </w:p>
    <w:bookmarkEnd w:id="34"/>
    <w:bookmarkStart w:id="39" w:name="the-silence-cambodia-in-2021"/>
    <w:p>
      <w:pPr>
        <w:pStyle w:val="Heading1"/>
      </w:pPr>
      <w:r>
        <w:t xml:space="preserve">The Silence: Cambodia in</w:t>
      </w:r>
      <w:r>
        <w:t xml:space="preserve"> </w:t>
      </w:r>
      <w:r>
        <w:t xml:space="preserve">2021</w:t>
      </w:r>
    </w:p>
    <w:p>
      <w:pPr>
        <w:pStyle w:val="FirstParagraph"/>
      </w:pPr>
      <w:r>
        <w:t xml:space="preserve">On November 16, 2017, the Supreme Court of Cambodia dissolved the</w:t>
      </w:r>
      <w:r>
        <w:t xml:space="preserve"> </w:t>
      </w:r>
      <w:r>
        <w:t xml:space="preserve">Cambodia National Rescue Party, citing a vaguely defined conspiracy to</w:t>
      </w:r>
      <w:r>
        <w:t xml:space="preserve"> </w:t>
      </w:r>
      <w:r>
        <w:t xml:space="preserve">overthrow the government; 118 CNRP officials were banned from political</w:t>
      </w:r>
      <w:r>
        <w:t xml:space="preserve"> </w:t>
      </w:r>
      <w:r>
        <w:t xml:space="preserve">activity, and the party’s seats redistributed to CPP-aligned</w:t>
      </w:r>
      <w:r>
        <w:t xml:space="preserve"> </w:t>
      </w:r>
      <w:r>
        <w:t xml:space="preserve">formations.</w:t>
      </w:r>
      <w:r>
        <w:rPr>
          <w:rStyle w:val="FootnoteReference"/>
        </w:rPr>
        <w:footnoteReference w:id="35"/>
      </w:r>
      <w:r>
        <w:t xml:space="preserve"> </w:t>
      </w:r>
      <w:r>
        <w:t xml:space="preserve">Kem Sokha had already been arrested</w:t>
      </w:r>
      <w:r>
        <w:t xml:space="preserve"> </w:t>
      </w:r>
      <w:r>
        <w:t xml:space="preserve">in September; Sam Rainsy remained in exile. The dissolution did not</w:t>
      </w:r>
      <w:r>
        <w:t xml:space="preserve"> </w:t>
      </w:r>
      <w:r>
        <w:t xml:space="preserve">occur in isolation. Within weeks, the</w:t>
      </w:r>
      <w:r>
        <w:t xml:space="preserve"> </w:t>
      </w:r>
      <w:r>
        <w:rPr>
          <w:i/>
          <w:iCs/>
        </w:rPr>
        <w:t xml:space="preserve">Cambodia Daily</w:t>
      </w:r>
      <w:r>
        <w:t xml:space="preserve"> </w:t>
      </w:r>
      <w:r>
        <w:t xml:space="preserve">was forced</w:t>
      </w:r>
      <w:r>
        <w:t xml:space="preserve"> </w:t>
      </w:r>
      <w:r>
        <w:t xml:space="preserve">to close after receiving a disputed $6.3 million tax bill; Radio Free</w:t>
      </w:r>
      <w:r>
        <w:t xml:space="preserve"> </w:t>
      </w:r>
      <w:r>
        <w:t xml:space="preserve">Asia’s Cambodian bureau was shuttered; independent radio stations were</w:t>
      </w:r>
      <w:r>
        <w:t xml:space="preserve"> </w:t>
      </w:r>
      <w:r>
        <w:t xml:space="preserve">pressured into pro-government programming; and civil society</w:t>
      </w:r>
      <w:r>
        <w:t xml:space="preserve"> </w:t>
      </w:r>
      <w:r>
        <w:t xml:space="preserve">organizations faced intensified scrutiny under the 2015 LANGO law</w:t>
      </w:r>
      <w:r>
        <w:t xml:space="preserve"> </w:t>
      </w:r>
      <w:r>
        <w:t xml:space="preserve">(Norén-Nilsson 2021; Norén-Nilsson and Eng 2020). The July 2018</w:t>
      </w:r>
      <w:r>
        <w:t xml:space="preserve"> </w:t>
      </w:r>
      <w:r>
        <w:t xml:space="preserve">election, conducted without the CNRP, produced a CPP sweep of all 125</w:t>
      </w:r>
      <w:r>
        <w:t xml:space="preserve"> </w:t>
      </w:r>
      <w:r>
        <w:t xml:space="preserve">National Assembly seats—completing the transition, in Levitsky and</w:t>
      </w:r>
      <w:r>
        <w:t xml:space="preserve"> </w:t>
      </w:r>
      <w:r>
        <w:t xml:space="preserve">Way’s typology, from competitive to hegemonic authoritarianism (Levitsky</w:t>
      </w:r>
      <w:r>
        <w:t xml:space="preserve"> </w:t>
      </w:r>
      <w:r>
        <w:t xml:space="preserve">and Way 2010; Schedler 2002).</w:t>
      </w:r>
    </w:p>
    <w:p>
      <w:pPr>
        <w:pStyle w:val="BodyText"/>
      </w:pPr>
      <w:r>
        <w:t xml:space="preserve">The Wave 6 data from 2021 record the consequences.</w:t>
      </w:r>
    </w:p>
    <w:p>
      <w:pPr>
        <w:pStyle w:val="BodyText"/>
      </w:pPr>
      <w:r>
        <w:t xml:space="preserve">The participation data from 2021 present a more differentiated picture</w:t>
      </w:r>
      <w:r>
        <w:t xml:space="preserve"> </w:t>
      </w:r>
      <w:r>
        <w:t xml:space="preserve">than a simple collapse narrative would suggest. Contact with influential</w:t>
      </w:r>
      <w:r>
        <w:t xml:space="preserve"> </w:t>
      </w:r>
      <w:r>
        <w:t xml:space="preserve">persons—the item most directly measuring independent civic</w:t>
      </w:r>
      <w:r>
        <w:t xml:space="preserve"> </w:t>
      </w:r>
      <w:r>
        <w:t xml:space="preserve">engagement—fell sharply, from 55.9 percent in 2015 to 23.3 percent</w:t>
      </w:r>
      <w:r>
        <w:t xml:space="preserve"> </w:t>
      </w:r>
      <w:r>
        <w:t xml:space="preserve">(</w:t>
      </w:r>
      <w:r>
        <w:rPr>
          <w:i/>
          <w:iCs/>
        </w:rPr>
        <w:t xml:space="preserve">p</w:t>
      </w:r>
      <w:r>
        <w:t xml:space="preserve"> </w:t>
      </w:r>
      <w:r>
        <w:t xml:space="preserve">&lt; 0.001), a 33 percentage-point decline that</w:t>
      </w:r>
      <w:r>
        <w:t xml:space="preserve"> </w:t>
      </w:r>
      <w:r>
        <w:t xml:space="preserve">represents one of the steepest single-item shifts in the dataset.</w:t>
      </w:r>
      <w:r>
        <w:t xml:space="preserve"> </w:t>
      </w:r>
      <w:r>
        <w:t xml:space="preserve">Community leader contact fell to a mean of 1.39 on the frequency scale,</w:t>
      </w:r>
      <w:r>
        <w:t xml:space="preserve"> </w:t>
      </w:r>
      <w:r>
        <w:t xml:space="preserve">and political discussion dropped to 1.26 on a four-point scale—a</w:t>
      </w:r>
      <w:r>
        <w:t xml:space="preserve"> </w:t>
      </w:r>
      <w:r>
        <w:t xml:space="preserve">population that had largely stopped talking about politics with one</w:t>
      </w:r>
      <w:r>
        <w:t xml:space="preserve"> </w:t>
      </w:r>
      <w:r>
        <w:t xml:space="preserve">another. Demonstration attendance held near its 2015 level at 3.3</w:t>
      </w:r>
      <w:r>
        <w:t xml:space="preserve"> </w:t>
      </w:r>
      <w:r>
        <w:t xml:space="preserve">percent.</w:t>
      </w:r>
    </w:p>
    <w:p>
      <w:pPr>
        <w:pStyle w:val="BodyText"/>
      </w:pPr>
      <w:r>
        <w:t xml:space="preserve">What complicates any uniform</w:t>
      </w:r>
      <w:r>
        <w:t xml:space="preserve"> </w:t>
      </w:r>
      <w:r>
        <w:t xml:space="preserve">“participation collapse”</w:t>
      </w:r>
      <w:r>
        <w:t xml:space="preserve"> </w:t>
      </w:r>
      <w:r>
        <w:t xml:space="preserve">characterization</w:t>
      </w:r>
      <w:r>
        <w:t xml:space="preserve"> </w:t>
      </w:r>
      <w:r>
        <w:t xml:space="preserve">is that several formal channel indicators actually rose substantially by</w:t>
      </w:r>
      <w:r>
        <w:t xml:space="preserve"> </w:t>
      </w:r>
      <w:r>
        <w:t xml:space="preserve">2021: petition-signing reached 30.5 percent, civil servant contact</w:t>
      </w:r>
      <w:r>
        <w:t xml:space="preserve"> </w:t>
      </w:r>
      <w:r>
        <w:t xml:space="preserve">climbed to 37.2 percent, and media contact rose to 12.2 percent. These</w:t>
      </w:r>
      <w:r>
        <w:t xml:space="preserve"> </w:t>
      </w:r>
      <w:r>
        <w:t xml:space="preserve">increases likely reflect the rapid expansion of internet access enabling</w:t>
      </w:r>
      <w:r>
        <w:t xml:space="preserve"> </w:t>
      </w:r>
      <w:r>
        <w:t xml:space="preserve">digital petitions and online contact, combined with the transformation</w:t>
      </w:r>
      <w:r>
        <w:t xml:space="preserve"> </w:t>
      </w:r>
      <w:r>
        <w:t xml:space="preserve">of formal institutional channels into vehicles for routine patronage</w:t>
      </w:r>
      <w:r>
        <w:t xml:space="preserve"> </w:t>
      </w:r>
      <w:r>
        <w:t xml:space="preserve">interaction under a now-uncontested regime. The divergence is itself</w:t>
      </w:r>
      <w:r>
        <w:t xml:space="preserve"> </w:t>
      </w:r>
      <w:r>
        <w:t xml:space="preserve">evidence of demobilization by subtraction—but it also preserves a</w:t>
      </w:r>
      <w:r>
        <w:t xml:space="preserve"> </w:t>
      </w:r>
      <w:r>
        <w:t xml:space="preserve">degree of citizen agency within the normalization framework. In an</w:t>
      </w:r>
      <w:r>
        <w:t xml:space="preserve"> </w:t>
      </w:r>
      <w:r>
        <w:t xml:space="preserve">environment where opposition parties, independent media, and civil</w:t>
      </w:r>
      <w:r>
        <w:t xml:space="preserve"> </w:t>
      </w:r>
      <w:r>
        <w:t xml:space="preserve">society organizations have been dismantled, citizens learn which levers</w:t>
      </w:r>
      <w:r>
        <w:t xml:space="preserve"> </w:t>
      </w:r>
      <w:r>
        <w:t xml:space="preserve">still function and redirect their efforts accordingly. The result is</w:t>
      </w:r>
      <w:r>
        <w:t xml:space="preserve"> </w:t>
      </w:r>
      <w:r>
        <w:t xml:space="preserve">engagement that is simultaneously rational at the individual level and</w:t>
      </w:r>
      <w:r>
        <w:t xml:space="preserve"> </w:t>
      </w:r>
      <w:r>
        <w:t xml:space="preserve">depoliticizing at the collective level: participation through officially</w:t>
      </w:r>
      <w:r>
        <w:t xml:space="preserve"> </w:t>
      </w:r>
      <w:r>
        <w:t xml:space="preserve">sanctioned channels rises precisely as independent civic action</w:t>
      </w:r>
      <w:r>
        <w:t xml:space="preserve"> </w:t>
      </w:r>
      <w:r>
        <w:t xml:space="preserve">collapses.</w:t>
      </w:r>
    </w:p>
    <w:p>
      <w:pPr>
        <w:pStyle w:val="CaptionedFigure"/>
      </w:pPr>
      <w:r>
        <w:drawing>
          <wp:inline>
            <wp:extent cx="5334000" cy="4849090"/>
            <wp:effectExtent b="0" l="0" r="0" t="0"/>
            <wp:docPr descr="" title="" id="37" name="Picture"/>
            <a:graphic>
              <a:graphicData uri="http://schemas.openxmlformats.org/drawingml/2006/picture">
                <pic:pic>
                  <pic:nvPicPr>
                    <pic:cNvPr descr="../analysis/reviewer_response/fig1_with_uncertainty.pdf" id="38" name="Picture"/>
                    <pic:cNvPicPr>
                      <a:picLocks noChangeArrowheads="1" noChangeAspect="1"/>
                    </pic:cNvPicPr>
                  </pic:nvPicPr>
                  <pic:blipFill>
                    <a:blip r:embed="rId36"/>
                    <a:stretch>
                      <a:fillRect/>
                    </a:stretch>
                  </pic:blipFill>
                  <pic:spPr bwMode="auto">
                    <a:xfrm>
                      <a:off x="0" y="0"/>
                      <a:ext cx="5334000" cy="4849090"/>
                    </a:xfrm>
                    <a:prstGeom prst="rect">
                      <a:avLst/>
                    </a:prstGeom>
                    <a:noFill/>
                    <a:ln w="9525">
                      <a:noFill/>
                      <a:headEnd/>
                      <a:tailEnd/>
                    </a:ln>
                  </pic:spPr>
                </pic:pic>
              </a:graphicData>
            </a:graphic>
          </wp:inline>
        </w:drawing>
      </w:r>
    </w:p>
    <w:p>
      <w:pPr>
        <w:pStyle w:val="ImageCaption"/>
      </w:pPr>
      <w:r>
        <w:t xml:space="preserve">Political Orientations in Cambodia by Domain, 2008–2021. Point</w:t>
      </w:r>
      <w:r>
        <w:t xml:space="preserve"> </w:t>
      </w:r>
      <w:r>
        <w:t xml:space="preserve">estimates with 95% confidence intervals (Wilson intervals for</w:t>
      </w:r>
      <w:r>
        <w:t xml:space="preserve"> </w:t>
      </w:r>
      <w:r>
        <w:t xml:space="preserve">proportions; t-based for means) across six thematic domains. Dashed</w:t>
      </w:r>
      <w:r>
        <w:t xml:space="preserve"> </w:t>
      </w:r>
      <w:r>
        <w:t xml:space="preserve">vertical line marks 2017 CNRP dissolution. Y-axes are free-scaled; each</w:t>
      </w:r>
      <w:r>
        <w:t xml:space="preserve"> </w:t>
      </w:r>
      <w:r>
        <w:t xml:space="preserve">panel uses its own metric range. Participation panel reports gate</w:t>
      </w:r>
      <w:r>
        <w:t xml:space="preserve"> </w:t>
      </w:r>
      <w:r>
        <w:t xml:space="preserve">proportions (% ever engaged). Democratic Expectations panel: 0–10</w:t>
      </w:r>
      <w:r>
        <w:t xml:space="preserve"> </w:t>
      </w:r>
      <w:r>
        <w:t xml:space="preserve">scale. Democratic Commitment panel: dem_best_form (1–4 mean) and</w:t>
      </w:r>
      <w:r>
        <w:t xml:space="preserve"> </w:t>
      </w:r>
      <w:r>
        <w:t xml:space="preserve">dem_vs_equality (1–5 mean), showing stable abstract democratic</w:t>
      </w:r>
      <w:r>
        <w:t xml:space="preserve"> </w:t>
      </w:r>
      <w:r>
        <w:t xml:space="preserve">commitment diverging from declining expectations. Source: Asian</w:t>
      </w:r>
      <w:r>
        <w:t xml:space="preserve"> </w:t>
      </w:r>
      <w:r>
        <w:t xml:space="preserve">Barometer Survey, Waves 2, 3, 4, 6.</w:t>
      </w:r>
    </w:p>
    <w:bookmarkEnd w:id="39"/>
    <w:bookmarkStart w:id="43" w:name="democratic-orientations-in-2021"/>
    <w:p>
      <w:pPr>
        <w:pStyle w:val="Heading1"/>
      </w:pPr>
      <w:r>
        <w:t xml:space="preserve">Democratic Orientations in</w:t>
      </w:r>
      <w:r>
        <w:t xml:space="preserve"> </w:t>
      </w:r>
      <w:r>
        <w:t xml:space="preserve">2021</w:t>
      </w:r>
    </w:p>
    <w:p>
      <w:pPr>
        <w:pStyle w:val="FirstParagraph"/>
      </w:pPr>
      <w:r>
        <w:t xml:space="preserve">The democratic orientation data from Wave 6 complete the divergence</w:t>
      </w:r>
      <w:r>
        <w:t xml:space="preserve"> </w:t>
      </w:r>
      <w:r>
        <w:t xml:space="preserve">pattern that first appeared in 2015, now with the full force of the</w:t>
      </w:r>
      <w:r>
        <w:t xml:space="preserve"> </w:t>
      </w:r>
      <w:r>
        <w:t xml:space="preserve">post-dissolution political closure behind it.</w:t>
      </w:r>
    </w:p>
    <w:p>
      <w:pPr>
        <w:pStyle w:val="BodyText"/>
      </w:pPr>
      <w:r>
        <w:t xml:space="preserve">Abstract democratic commitment, remarkably, survived the dissolution</w:t>
      </w:r>
      <w:r>
        <w:t xml:space="preserve"> </w:t>
      </w:r>
      <w:r>
        <w:t xml:space="preserve">largely intact.</w:t>
      </w:r>
      <w:r>
        <w:t xml:space="preserve"> </w:t>
      </w:r>
      <w:r>
        <w:t xml:space="preserve">“Democracy may have its problems but it is still the</w:t>
      </w:r>
      <w:r>
        <w:t xml:space="preserve"> </w:t>
      </w:r>
      <w:r>
        <w:t xml:space="preserve">best form of government”</w:t>
      </w:r>
      <w:r>
        <w:t xml:space="preserve"> </w:t>
      </w:r>
      <w:r>
        <w:t xml:space="preserve">registered a mean of 3.20 in Wave 6—between</w:t>
      </w:r>
      <w:r>
        <w:t xml:space="preserve"> </w:t>
      </w:r>
      <w:r>
        <w:t xml:space="preserve">“agree”</w:t>
      </w:r>
      <w:r>
        <w:t xml:space="preserve"> </w:t>
      </w:r>
      <w:r>
        <w:t xml:space="preserve">and</w:t>
      </w:r>
      <w:r>
        <w:t xml:space="preserve"> </w:t>
      </w:r>
      <w:r>
        <w:t xml:space="preserve">“strongly agree,”</w:t>
      </w:r>
      <w:r>
        <w:t xml:space="preserve"> </w:t>
      </w:r>
      <w:r>
        <w:t xml:space="preserve">statistically indistinguishable from</w:t>
      </w:r>
      <w:r>
        <w:t xml:space="preserve"> </w:t>
      </w:r>
      <w:r>
        <w:t xml:space="preserve">its Wave 4 value (3.15;</w:t>
      </w:r>
      <w:r>
        <w:t xml:space="preserve"> </w:t>
      </w:r>
      <w:r>
        <w:rPr>
          <w:i/>
          <w:iCs/>
        </w:rPr>
        <w:t xml:space="preserve">p</w:t>
      </w:r>
      <w:r>
        <w:t xml:space="preserve"> </w:t>
      </w:r>
      <w:r>
        <w:t xml:space="preserve">= 0.080) and only marginally below the</w:t>
      </w:r>
      <w:r>
        <w:t xml:space="preserve"> </w:t>
      </w:r>
      <w:r>
        <w:t xml:space="preserve">Wave 3 peak of 3.26 (</w:t>
      </w:r>
      <w:r>
        <w:rPr>
          <w:i/>
          <w:iCs/>
        </w:rPr>
        <w:t xml:space="preserve">p</w:t>
      </w:r>
      <w:r>
        <w:t xml:space="preserve"> </w:t>
      </w:r>
      <w:r>
        <w:t xml:space="preserve">= 0.014). The stability of this item</w:t>
      </w:r>
      <w:r>
        <w:t xml:space="preserve"> </w:t>
      </w:r>
      <w:r>
        <w:t xml:space="preserve">across a period in which every other democratic indicator declined</w:t>
      </w:r>
      <w:r>
        <w:t xml:space="preserve"> </w:t>
      </w:r>
      <w:r>
        <w:t xml:space="preserve">sharply is among the most important findings in the dataset. Cambodians</w:t>
      </w:r>
      <w:r>
        <w:t xml:space="preserve"> </w:t>
      </w:r>
      <w:r>
        <w:t xml:space="preserve">in 2021 continued to endorse democracy as an ideal at rates essentially</w:t>
      </w:r>
      <w:r>
        <w:t xml:space="preserve"> </w:t>
      </w:r>
      <w:r>
        <w:t xml:space="preserve">unchanged from the peak mobilization of 2012. Whatever the dissolution</w:t>
      </w:r>
      <w:r>
        <w:t xml:space="preserve"> </w:t>
      </w:r>
      <w:r>
        <w:t xml:space="preserve">accomplished, it did not produce ideological conversion.</w:t>
      </w:r>
    </w:p>
    <w:p>
      <w:pPr>
        <w:pStyle w:val="BodyText"/>
      </w:pPr>
      <w:r>
        <w:t xml:space="preserve">The forced-choice democracy preference declined from its Wave 4 peak of</w:t>
      </w:r>
      <w:r>
        <w:t xml:space="preserve"> </w:t>
      </w:r>
      <w:r>
        <w:t xml:space="preserve">74.9 percent to 66.5 percent—still a clear majority. The critical</w:t>
      </w:r>
      <w:r>
        <w:t xml:space="preserve"> </w:t>
      </w:r>
      <w:r>
        <w:t xml:space="preserve">diagnostic is where the movement went: the</w:t>
      </w:r>
      <w:r>
        <w:t xml:space="preserve"> </w:t>
      </w:r>
      <w:r>
        <w:t xml:space="preserve">“doesn’t matter”</w:t>
      </w:r>
      <w:r>
        <w:t xml:space="preserve"> </w:t>
      </w:r>
      <w:r>
        <w:t xml:space="preserve">category</w:t>
      </w:r>
      <w:r>
        <w:t xml:space="preserve"> </w:t>
      </w:r>
      <w:r>
        <w:t xml:space="preserve">continued to decline to 17.5 percent, its lowest level across all four</w:t>
      </w:r>
      <w:r>
        <w:t xml:space="preserve"> </w:t>
      </w:r>
      <w:r>
        <w:t xml:space="preserve">waves, while</w:t>
      </w:r>
      <w:r>
        <w:t xml:space="preserve"> </w:t>
      </w:r>
      <w:r>
        <w:t xml:space="preserve">“authoritarian government can sometimes be preferable”</w:t>
      </w:r>
      <w:r>
        <w:t xml:space="preserve"> </w:t>
      </w:r>
      <w:r>
        <w:t xml:space="preserve">more than doubled from 6.1 to 16.0 percent. This distribution is</w:t>
      </w:r>
      <w:r>
        <w:t xml:space="preserve"> </w:t>
      </w:r>
      <w:r>
        <w:t xml:space="preserve">inconsistent with generalized apathy and inconsistent with fear-driven</w:t>
      </w:r>
      <w:r>
        <w:t xml:space="preserve"> </w:t>
      </w:r>
      <w:r>
        <w:t xml:space="preserve">acquiescence; it is consistent with a specific pragmatic recalculation</w:t>
      </w:r>
      <w:r>
        <w:t xml:space="preserve"> </w:t>
      </w:r>
      <w:r>
        <w:t xml:space="preserve">by citizens who reassessed their democratic commitment in light of a</w:t>
      </w:r>
      <w:r>
        <w:t xml:space="preserve"> </w:t>
      </w:r>
      <w:r>
        <w:t xml:space="preserve">political reality in which the democratic alternative no longer existed.</w:t>
      </w:r>
    </w:p>
    <w:p>
      <w:pPr>
        <w:pStyle w:val="BodyText"/>
      </w:pPr>
      <w:r>
        <w:t xml:space="preserve">Democratic prioritization reached its lowest recorded level. The</w:t>
      </w:r>
      <w:r>
        <w:t xml:space="preserve"> </w:t>
      </w:r>
      <w:r>
        <w:t xml:space="preserve">pro-political-freedom share of the democracy-versus-equality trade-off</w:t>
      </w:r>
      <w:r>
        <w:t xml:space="preserve"> </w:t>
      </w:r>
      <w:r>
        <w:t xml:space="preserve">contracted from 47.1 percent in 2012 to 21.7 percent in 2021—a</w:t>
      </w:r>
      <w:r>
        <w:t xml:space="preserve"> </w:t>
      </w:r>
      <w:r>
        <w:t xml:space="preserve">collapse of more than half. The</w:t>
      </w:r>
      <w:r>
        <w:t xml:space="preserve"> </w:t>
      </w:r>
      <w:r>
        <w:t xml:space="preserve">“both equally important”</w:t>
      </w:r>
      <w:r>
        <w:t xml:space="preserve"> </w:t>
      </w:r>
      <w:r>
        <w:t xml:space="preserve">midpoint</w:t>
      </w:r>
      <w:r>
        <w:t xml:space="preserve"> </w:t>
      </w:r>
      <w:r>
        <w:t xml:space="preserve">expanded from 2.5 to 15.1 percent, while</w:t>
      </w:r>
      <w:r>
        <w:t xml:space="preserve"> </w:t>
      </w:r>
      <w:r>
        <w:t xml:space="preserve">“authoritarian sometimes</w:t>
      </w:r>
      <w:r>
        <w:t xml:space="preserve"> </w:t>
      </w:r>
      <w:r>
        <w:t xml:space="preserve">preferable”</w:t>
      </w:r>
      <w:r>
        <w:t xml:space="preserve"> </w:t>
      </w:r>
      <w:r>
        <w:t xml:space="preserve">grew modestly. The citizens most susceptible to</w:t>
      </w:r>
      <w:r>
        <w:t xml:space="preserve"> </w:t>
      </w:r>
      <w:r>
        <w:t xml:space="preserve">deprioritization were those whose commitment to political freedom had</w:t>
      </w:r>
      <w:r>
        <w:t xml:space="preserve"> </w:t>
      </w:r>
      <w:r>
        <w:t xml:space="preserve">been moderate and conditional—the pragmatic middle that the</w:t>
      </w:r>
      <w:r>
        <w:t xml:space="preserve"> </w:t>
      </w:r>
      <w:r>
        <w:t xml:space="preserve">normalization framework predicts would be most responsive to the closure</w:t>
      </w:r>
      <w:r>
        <w:t xml:space="preserve"> </w:t>
      </w:r>
      <w:r>
        <w:t xml:space="preserve">of democratic possibility.</w:t>
      </w:r>
    </w:p>
    <w:p>
      <w:pPr>
        <w:pStyle w:val="BodyText"/>
      </w:pPr>
      <w:r>
        <w:t xml:space="preserve">The democratic expectation items continued their descent, though the 63</w:t>
      </w:r>
      <w:r>
        <w:t xml:space="preserve"> </w:t>
      </w:r>
      <w:r>
        <w:t xml:space="preserve">percent nonresponse on the democratic future item and 43 percent on the</w:t>
      </w:r>
      <w:r>
        <w:t xml:space="preserve"> </w:t>
      </w:r>
      <w:r>
        <w:t xml:space="preserve">democratic present mean these estimates describe only the minority of</w:t>
      </w:r>
      <w:r>
        <w:t xml:space="preserve"> </w:t>
      </w:r>
      <w:r>
        <w:t xml:space="preserve">respondents who retained enough political engagement to formulate a</w:t>
      </w:r>
      <w:r>
        <w:t xml:space="preserve"> </w:t>
      </w:r>
      <w:r>
        <w:t xml:space="preserve">numerical judgment. Treated as supporting evidence rather than</w:t>
      </w:r>
      <w:r>
        <w:t xml:space="preserve"> </w:t>
      </w:r>
      <w:r>
        <w:t xml:space="preserve">independent findings, the democratic future rating fell from 7.72 in</w:t>
      </w:r>
      <w:r>
        <w:t xml:space="preserve"> </w:t>
      </w:r>
      <w:r>
        <w:t xml:space="preserve">2015 to 6.67 in 2021 (</w:t>
      </w:r>
      <w:r>
        <w:rPr>
          <w:i/>
          <w:iCs/>
        </w:rPr>
        <w:t xml:space="preserve">p</w:t>
      </w:r>
      <w:r>
        <w:t xml:space="preserve"> </w:t>
      </w:r>
      <w:r>
        <w:t xml:space="preserve">&lt; 0.001)—a drop of nearly</w:t>
      </w:r>
      <w:r>
        <w:t xml:space="preserve"> </w:t>
      </w:r>
      <w:r>
        <w:t xml:space="preserve">three points from the extraordinary 9.58 recorded in 2012.</w:t>
      </w:r>
    </w:p>
    <w:p>
      <w:pPr>
        <w:pStyle w:val="BodyText"/>
      </w:pPr>
      <w:r>
        <w:t xml:space="preserve">The most robust single finding from the Wave 6 democratic orientation</w:t>
      </w:r>
      <w:r>
        <w:t xml:space="preserve"> </w:t>
      </w:r>
      <w:r>
        <w:t xml:space="preserve">battery is the satisfaction paradox (Linde and Ekman 2003; Valgarðsson</w:t>
      </w:r>
      <w:r>
        <w:t xml:space="preserve"> </w:t>
      </w:r>
      <w:r>
        <w:t xml:space="preserve">and Devine 2022): democracy satisfaction rose to 3.10—its highest</w:t>
      </w:r>
      <w:r>
        <w:t xml:space="preserve"> </w:t>
      </w:r>
      <w:r>
        <w:t xml:space="preserve">value across all four waves, on an item with only 6.4 percent</w:t>
      </w:r>
      <w:r>
        <w:t xml:space="preserve"> </w:t>
      </w:r>
      <w:r>
        <w:t xml:space="preserve">nonresponse—in the least democratic moment in the country’s modern</w:t>
      </w:r>
      <w:r>
        <w:t xml:space="preserve"> </w:t>
      </w:r>
      <w:r>
        <w:t xml:space="preserve">history. Figure </w:t>
      </w:r>
      <w:hyperlink w:anchor="fig-paradox">
        <w:r>
          <w:rPr>
            <w:rStyle w:val="Hyperlink"/>
          </w:rPr>
          <w:t xml:space="preserve">3</w:t>
        </w:r>
      </w:hyperlink>
      <w:r>
        <w:t xml:space="preserve"> </w:t>
      </w:r>
      <w:r>
        <w:t xml:space="preserve">shows why. Satisfaction is a function</w:t>
      </w:r>
      <w:r>
        <w:t xml:space="preserve"> </w:t>
      </w:r>
      <w:r>
        <w:t xml:space="preserve">of the gap between expectations and perceived reality; by 2021 that gap</w:t>
      </w:r>
      <w:r>
        <w:t xml:space="preserve"> </w:t>
      </w:r>
      <w:r>
        <w:t xml:space="preserve">had closed from below, as expectations collapsed while the regime</w:t>
      </w:r>
      <w:r>
        <w:t xml:space="preserve"> </w:t>
      </w:r>
      <w:r>
        <w:t xml:space="preserve">delivered stability through its patronage infrastructure. The</w:t>
      </w:r>
      <w:r>
        <w:t xml:space="preserve"> </w:t>
      </w:r>
      <w:r>
        <w:t xml:space="preserve">satisfaction recovery is the clearest single indicator of adaptive</w:t>
      </w:r>
      <w:r>
        <w:t xml:space="preserve"> </w:t>
      </w:r>
      <w:r>
        <w:t xml:space="preserve">preference formation in the dataset.</w:t>
      </w:r>
    </w:p>
    <w:bookmarkStart w:id="41" w:name="fig-paradox"/>
    <w:tbl>
      <w:tblPr>
        <w:tblStyle w:val="FigureTable"/>
        <w:tblW w:type="auto" w:w="0"/>
        <w:jc w:val="center"/>
        <w:tblLook w:firstRow="0" w:lastRow="0" w:firstColumn="0" w:lastColumn="0"/>
      </w:tblPr>
      <w:tblGrid/>
    </w:tbl>
    <w:p>
      <w:pPr>
        <w:pStyle w:val="ImageCaption"/>
      </w:pPr>
      <w:bookmarkStart w:id="40" w:name="fig-paradox"/>
      <w:bookmarkEnd w:id="40"/>
      <w:r>
        <w:rPr>
          <w:b/>
          <w:bCs/>
        </w:rPr>
        <w:t xml:space="preserve">The satisfaction paradox, 2012–2021.</w:t>
      </w:r>
      <w:r>
        <w:t xml:space="preserve"> </w:t>
      </w:r>
      <w:r>
        <w:t xml:space="preserve">Democratic future expectations (0–10 scale) and democracy satisfaction</w:t>
      </w:r>
      <w:r>
        <w:t xml:space="preserve"> </w:t>
      </w:r>
      <w:r>
        <w:t xml:space="preserve">rescaled to the same range (original 1–4 scale shown on right axis).</w:t>
      </w:r>
      <w:r>
        <w:t xml:space="preserve"> </w:t>
      </w:r>
      <w:r>
        <w:t xml:space="preserve">Shaded region marks the expectation–reality gap. The gap closes by 2021</w:t>
      </w:r>
      <w:r>
        <w:t xml:space="preserve"> </w:t>
      </w:r>
      <w:r>
        <w:t xml:space="preserve">as expectations collapse while satisfaction rises—the empirical</w:t>
      </w:r>
      <w:r>
        <w:t xml:space="preserve"> </w:t>
      </w:r>
      <w:r>
        <w:t xml:space="preserve">signature of authoritarian normalization. Dashed vertical line marks the</w:t>
      </w:r>
      <w:r>
        <w:t xml:space="preserve"> </w:t>
      </w:r>
      <w:r>
        <w:t xml:space="preserve">2017 CNRP dissolution. Source: Asian Barometer Survey, Waves 3, 4, 6.</w:t>
      </w:r>
    </w:p>
    <w:bookmarkEnd w:id="41"/>
    <w:p>
      <w:pPr>
        <w:pStyle w:val="BodyText"/>
      </w:pPr>
      <w:r>
        <w:t xml:space="preserve">The authoritarian acceptance measures moved in mirror image. All four</w:t>
      </w:r>
      <w:r>
        <w:t xml:space="preserve"> </w:t>
      </w:r>
      <w:r>
        <w:t xml:space="preserve">alternative governance indicators rose to their highest levels: expert</w:t>
      </w:r>
      <w:r>
        <w:t xml:space="preserve"> </w:t>
      </w:r>
      <w:r>
        <w:t xml:space="preserve">rule to 2.11, single-party rule to 2.21, strongman rule to 2.17, and</w:t>
      </w:r>
      <w:r>
        <w:t xml:space="preserve"> </w:t>
      </w:r>
      <w:r>
        <w:t xml:space="preserve">military rule to 2.21. The jump was concentrated entirely in the</w:t>
      </w:r>
      <w:r>
        <w:t xml:space="preserve"> </w:t>
      </w:r>
      <w:r>
        <w:t xml:space="preserve">W4-to-W6 period—the six years that encompassed the CNRP’s destruction</w:t>
      </w:r>
      <w:r>
        <w:t xml:space="preserve"> </w:t>
      </w:r>
      <w:r>
        <w:t xml:space="preserve">and the subsequent one-party election. What had been stable or declining</w:t>
      </w:r>
      <w:r>
        <w:t xml:space="preserve"> </w:t>
      </w:r>
      <w:r>
        <w:t xml:space="preserve">through 2015 now surged.</w:t>
      </w:r>
    </w:p>
    <w:p>
      <w:pPr>
        <w:pStyle w:val="BodyText"/>
      </w:pPr>
      <w:r>
        <w:t xml:space="preserve">The authoritarian acceptance measures remain around 2.2 on a four-point</w:t>
      </w:r>
      <w:r>
        <w:t xml:space="preserve"> </w:t>
      </w:r>
      <w:r>
        <w:t xml:space="preserve">scale—below the midpoint. Cambodians are not rating authoritarianism</w:t>
      </w:r>
      <w:r>
        <w:t xml:space="preserve"> </w:t>
      </w:r>
      <w:r>
        <w:t xml:space="preserve">as</w:t>
      </w:r>
      <w:r>
        <w:t xml:space="preserve"> </w:t>
      </w:r>
      <w:r>
        <w:t xml:space="preserve">“good”</w:t>
      </w:r>
      <w:r>
        <w:t xml:space="preserve">; they are rating it as slightly less bad than before. The</w:t>
      </w:r>
      <w:r>
        <w:t xml:space="preserve"> </w:t>
      </w:r>
      <w:r>
        <w:t xml:space="preserve">timing—concentrated after the removal of the democratic alternative,</w:t>
      </w:r>
      <w:r>
        <w:t xml:space="preserve"> </w:t>
      </w:r>
      <w:r>
        <w:t xml:space="preserve">not during earlier repressive tightening—points toward adaptive</w:t>
      </w:r>
      <w:r>
        <w:t xml:space="preserve"> </w:t>
      </w:r>
      <w:r>
        <w:t xml:space="preserve">preference formation rather than genuine conversion. This is not a</w:t>
      </w:r>
      <w:r>
        <w:t xml:space="preserve"> </w:t>
      </w:r>
      <w:r>
        <w:t xml:space="preserve">population that has found a new political faith. It is a population that</w:t>
      </w:r>
      <w:r>
        <w:t xml:space="preserve"> </w:t>
      </w:r>
      <w:r>
        <w:t xml:space="preserve">has stopped believing the old one was achievable.</w:t>
      </w:r>
    </w:p>
    <w:p>
      <w:pPr>
        <w:pStyle w:val="BodyText"/>
      </w:pPr>
      <w:r>
        <w:t xml:space="preserve">The article proposes the term authoritarian normalization to describe</w:t>
      </w:r>
      <w:r>
        <w:t xml:space="preserve"> </w:t>
      </w:r>
      <w:r>
        <w:t xml:space="preserve">this process, distinguishing it from authoritarian legitimation.</w:t>
      </w:r>
      <w:r>
        <w:t xml:space="preserve"> </w:t>
      </w:r>
      <w:r>
        <w:t xml:space="preserve">Legitimation implies that citizens have come to view the regime as</w:t>
      </w:r>
      <w:r>
        <w:t xml:space="preserve"> </w:t>
      </w:r>
      <w:r>
        <w:t xml:space="preserve">rightfully entitled to rule—on the basis of performance, ideology, or</w:t>
      </w:r>
      <w:r>
        <w:t xml:space="preserve"> </w:t>
      </w:r>
      <w:r>
        <w:t xml:space="preserve">tradition; normalization implies something weaker but potentially more</w:t>
      </w:r>
      <w:r>
        <w:t xml:space="preserve"> </w:t>
      </w:r>
      <w:r>
        <w:t xml:space="preserve">durable: citizens have adjusted their expressed preferences to align</w:t>
      </w:r>
      <w:r>
        <w:t xml:space="preserve"> </w:t>
      </w:r>
      <w:r>
        <w:t xml:space="preserve">with the only available reality. The vulnerabilities differ accordingly.</w:t>
      </w:r>
      <w:r>
        <w:t xml:space="preserve"> </w:t>
      </w:r>
      <w:r>
        <w:t xml:space="preserve">A regime sustained by legitimation is threatened when performance</w:t>
      </w:r>
      <w:r>
        <w:t xml:space="preserve"> </w:t>
      </w:r>
      <w:r>
        <w:t xml:space="preserve">falters; one sustained by normalization is threatened when alternatives</w:t>
      </w:r>
      <w:r>
        <w:t xml:space="preserve"> </w:t>
      </w:r>
      <w:r>
        <w:t xml:space="preserve">re-enter the political imagination.</w:t>
      </w:r>
    </w:p>
    <w:p>
      <w:pPr>
        <w:pStyle w:val="BodyText"/>
      </w:pPr>
      <w:r>
        <w:t xml:space="preserve">The Cambodian pattern is not performative compliance in Wedeen’s sense,</w:t>
      </w:r>
      <w:r>
        <w:t xml:space="preserve"> </w:t>
      </w:r>
      <w:r>
        <w:t xml:space="preserve">where citizens maintain private skepticism while publicly enacting</w:t>
      </w:r>
      <w:r>
        <w:t xml:space="preserve"> </w:t>
      </w:r>
      <w:r>
        <w:t xml:space="preserve">belief (Wedeen 1998). Survey responses are private, and the attitudinal</w:t>
      </w:r>
      <w:r>
        <w:t xml:space="preserve"> </w:t>
      </w:r>
      <w:r>
        <w:t xml:space="preserve">shifts reflect genuine reorientation: citizens moved into conditional</w:t>
      </w:r>
      <w:r>
        <w:t xml:space="preserve"> </w:t>
      </w:r>
      <w:r>
        <w:t xml:space="preserve">authoritarianism rather than noncommittal safe responses, and the shifts</w:t>
      </w:r>
      <w:r>
        <w:t xml:space="preserve"> </w:t>
      </w:r>
      <w:r>
        <w:t xml:space="preserve">cut uniformly across demographic subgroups. The</w:t>
      </w:r>
      <w:r>
        <w:t xml:space="preserve"> </w:t>
      </w:r>
      <w:r>
        <w:t xml:space="preserve">democracy-versus-equality trajectory—from near-parity in 2012 to a</w:t>
      </w:r>
      <w:r>
        <w:t xml:space="preserve"> </w:t>
      </w:r>
      <w:r>
        <w:t xml:space="preserve">two-to-one margin favoring equality by 2021—bears the hallmarks of</w:t>
      </w:r>
      <w:r>
        <w:t xml:space="preserve"> </w:t>
      </w:r>
      <w:r>
        <w:t xml:space="preserve">Elster’s adaptive preference formation (Elster 2016, orig. 1983;</w:t>
      </w:r>
      <w:r>
        <w:t xml:space="preserve"> </w:t>
      </w:r>
      <w:r>
        <w:t xml:space="preserve">Przeworski 2022), but the adaptation is partial. Abstract endorsement of</w:t>
      </w:r>
      <w:r>
        <w:t xml:space="preserve"> </w:t>
      </w:r>
      <w:r>
        <w:t xml:space="preserve">democracy proved resilient while the willingness to prioritize it</w:t>
      </w:r>
      <w:r>
        <w:t xml:space="preserve"> </w:t>
      </w:r>
      <w:r>
        <w:t xml:space="preserve">collapsed. A regime that eliminates alternatives need not change what</w:t>
      </w:r>
      <w:r>
        <w:t xml:space="preserve"> </w:t>
      </w:r>
      <w:r>
        <w:t xml:space="preserve">citizens believe in principle; it need only wait for the practical</w:t>
      </w:r>
      <w:r>
        <w:t xml:space="preserve"> </w:t>
      </w:r>
      <w:r>
        <w:t xml:space="preserve">implications of those beliefs to atrophy (Jones and Cowan 2025).</w:t>
      </w:r>
    </w:p>
    <w:p>
      <w:pPr>
        <w:pStyle w:val="BodyText"/>
      </w:pPr>
      <w:r>
        <w:t xml:space="preserve">The corruption data offer perhaps the most unsettling evidence of</w:t>
      </w:r>
      <w:r>
        <w:t xml:space="preserve"> </w:t>
      </w:r>
      <w:r>
        <w:t xml:space="preserve">normalization. Witnessed corruption collapsed from 63 percent in 2015 to</w:t>
      </w:r>
      <w:r>
        <w:t xml:space="preserve"> </w:t>
      </w:r>
      <w:r>
        <w:t xml:space="preserve">15 percent in 2021. Perceived national government corruption also</w:t>
      </w:r>
      <w:r>
        <w:t xml:space="preserve"> </w:t>
      </w:r>
      <w:r>
        <w:t xml:space="preserve">declined, from 2.9 to 2.33 on the four-point scale. On the surface,</w:t>
      </w:r>
      <w:r>
        <w:t xml:space="preserve"> </w:t>
      </w:r>
      <w:r>
        <w:t xml:space="preserve">these numbers might suggest genuine anti-corruption progress. The CPP</w:t>
      </w:r>
      <w:r>
        <w:t xml:space="preserve"> </w:t>
      </w:r>
      <w:r>
        <w:t xml:space="preserve">did conduct selective anti-corruption campaigns during this period,</w:t>
      </w:r>
      <w:r>
        <w:t xml:space="preserve"> </w:t>
      </w:r>
      <w:r>
        <w:t xml:space="preserve">targeting rivals and politically inconvenient officials. But the</w:t>
      </w:r>
      <w:r>
        <w:t xml:space="preserve"> </w:t>
      </w:r>
      <w:r>
        <w:t xml:space="preserve">magnitude of the witnessed-corruption decline—from nearly two-thirds</w:t>
      </w:r>
      <w:r>
        <w:t xml:space="preserve"> </w:t>
      </w:r>
      <w:r>
        <w:t xml:space="preserve">to one-seventh of the population—is too large to explain through</w:t>
      </w:r>
      <w:r>
        <w:t xml:space="preserve"> </w:t>
      </w:r>
      <w:r>
        <w:t xml:space="preserve">policy alone.</w:t>
      </w:r>
    </w:p>
    <w:p>
      <w:pPr>
        <w:pStyle w:val="BodyText"/>
      </w:pPr>
      <w:r>
        <w:t xml:space="preserve">The more parsimonious explanation is that the corruption decline</w:t>
      </w:r>
      <w:r>
        <w:t xml:space="preserve"> </w:t>
      </w:r>
      <w:r>
        <w:t xml:space="preserve">reflects the same demobilization process visible in the participation</w:t>
      </w:r>
      <w:r>
        <w:t xml:space="preserve"> </w:t>
      </w:r>
      <w:r>
        <w:t xml:space="preserve">data. When citizens withdraw from political life—when they stop</w:t>
      </w:r>
      <w:r>
        <w:t xml:space="preserve"> </w:t>
      </w:r>
      <w:r>
        <w:t xml:space="preserve">contacting officials, stop attending meetings, stop engaging with</w:t>
      </w:r>
      <w:r>
        <w:t xml:space="preserve"> </w:t>
      </w:r>
      <w:r>
        <w:t xml:space="preserve">governance institutions—they also reduce their exposure to the sites</w:t>
      </w:r>
      <w:r>
        <w:t xml:space="preserve"> </w:t>
      </w:r>
      <w:r>
        <w:t xml:space="preserve">where corruption is experienced and observed. A population that does not</w:t>
      </w:r>
      <w:r>
        <w:t xml:space="preserve"> </w:t>
      </w:r>
      <w:r>
        <w:t xml:space="preserve">petition, does not demonstrate, and does not contact civil servants is</w:t>
      </w:r>
      <w:r>
        <w:t xml:space="preserve"> </w:t>
      </w:r>
      <w:r>
        <w:t xml:space="preserve">also a population that has fewer occasions to witness a bribe demanded</w:t>
      </w:r>
      <w:r>
        <w:t xml:space="preserve"> </w:t>
      </w:r>
      <w:r>
        <w:t xml:space="preserve">or a favor exchanged. Demobilization, in this reading, does not merely</w:t>
      </w:r>
      <w:r>
        <w:t xml:space="preserve"> </w:t>
      </w:r>
      <w:r>
        <w:t xml:space="preserve">reduce political action; it reduces the perceptual evidence that</w:t>
      </w:r>
      <w:r>
        <w:t xml:space="preserve"> </w:t>
      </w:r>
      <w:r>
        <w:t xml:space="preserve">political action might address. The regime becomes less corrupt not</w:t>
      </w:r>
      <w:r>
        <w:t xml:space="preserve"> </w:t>
      </w:r>
      <w:r>
        <w:t xml:space="preserve">because it has reformed but because citizens have stopped looking.</w:t>
      </w:r>
    </w:p>
    <w:p>
      <w:pPr>
        <w:pStyle w:val="BodyText"/>
      </w:pPr>
      <w:r>
        <w:t xml:space="preserve">External assessments corroborate this interpretation: Cambodia’s</w:t>
      </w:r>
      <w:r>
        <w:t xml:space="preserve"> </w:t>
      </w:r>
      <w:r>
        <w:t xml:space="preserve">Transparency International CPI score moved from 21 to 23 over the study</w:t>
      </w:r>
      <w:r>
        <w:t xml:space="preserve"> </w:t>
      </w:r>
      <w:r>
        <w:t xml:space="preserve">period, registering no meaningful improvement even as survey-reported</w:t>
      </w:r>
      <w:r>
        <w:t xml:space="preserve"> </w:t>
      </w:r>
      <w:r>
        <w:t xml:space="preserve">witnessing of corruption collapsed fourfold (Transparency International</w:t>
      </w:r>
      <w:r>
        <w:t xml:space="preserve"> </w:t>
      </w:r>
      <w:r>
        <w:t xml:space="preserve">2023). An alternative and not mutually exclusive explanation invokes the</w:t>
      </w:r>
      <w:r>
        <w:t xml:space="preserve"> </w:t>
      </w:r>
      <w:r>
        <w:t xml:space="preserve">survey environment itself: in a political climate where the opposition</w:t>
      </w:r>
      <w:r>
        <w:t xml:space="preserve"> </w:t>
      </w:r>
      <w:r>
        <w:t xml:space="preserve">has been criminalized, respondents may calculate that acknowledging</w:t>
      </w:r>
      <w:r>
        <w:t xml:space="preserve"> </w:t>
      </w:r>
      <w:r>
        <w:t xml:space="preserve">witnessed corruption carries risks, and the social desirability bias</w:t>
      </w:r>
      <w:r>
        <w:t xml:space="preserve"> </w:t>
      </w:r>
      <w:r>
        <w:t xml:space="preserve">literature confirms that such effects intensify under political</w:t>
      </w:r>
      <w:r>
        <w:t xml:space="preserve"> </w:t>
      </w:r>
      <w:r>
        <w:t xml:space="preserve">constraint (Schedler and Sarsfield 2007; Frye et al. 2017). The two</w:t>
      </w:r>
      <w:r>
        <w:t xml:space="preserve"> </w:t>
      </w:r>
      <w:r>
        <w:t xml:space="preserve">mechanisms—reduced exposure through demobilization and increased</w:t>
      </w:r>
      <w:r>
        <w:t xml:space="preserve"> </w:t>
      </w:r>
      <w:r>
        <w:t xml:space="preserve">reticence through social desirability pressure—likely operate in</w:t>
      </w:r>
      <w:r>
        <w:t xml:space="preserve"> </w:t>
      </w:r>
      <w:r>
        <w:t xml:space="preserve">tandem.</w:t>
      </w:r>
    </w:p>
    <w:p>
      <w:pPr>
        <w:pStyle w:val="BodyText"/>
      </w:pPr>
      <w:r>
        <w:t xml:space="preserve">The voter turnout paradox completes the portrait. Self-reported voting</w:t>
      </w:r>
      <w:r>
        <w:t xml:space="preserve"> </w:t>
      </w:r>
      <w:r>
        <w:t xml:space="preserve">rose from 79 percent in 2012 to 88 percent in 2021, even as all other</w:t>
      </w:r>
      <w:r>
        <w:t xml:space="preserve"> </w:t>
      </w:r>
      <w:r>
        <w:t xml:space="preserve">forms of political engagement collapsed. The 2018 election made the</w:t>
      </w:r>
      <w:r>
        <w:t xml:space="preserve"> </w:t>
      </w:r>
      <w:r>
        <w:t xml:space="preserve">ritual character of Cambodian voting unusually visible: the</w:t>
      </w:r>
      <w:r>
        <w:t xml:space="preserve"> </w:t>
      </w:r>
      <w:r>
        <w:t xml:space="preserve">CNRP-in-exile’s</w:t>
      </w:r>
      <w:r>
        <w:t xml:space="preserve"> </w:t>
      </w:r>
      <w:r>
        <w:t xml:space="preserve">“clean finger”</w:t>
      </w:r>
      <w:r>
        <w:t xml:space="preserve"> </w:t>
      </w:r>
      <w:r>
        <w:t xml:space="preserve">campaign transformed polling-station</w:t>
      </w:r>
      <w:r>
        <w:t xml:space="preserve"> </w:t>
      </w:r>
      <w:r>
        <w:t xml:space="preserve">ink from an anti-fraud measure into a tool of social surveillance, with</w:t>
      </w:r>
      <w:r>
        <w:t xml:space="preserve"> </w:t>
      </w:r>
      <w:r>
        <w:t xml:space="preserve">factory workers warned of wage deductions for returning without inked</w:t>
      </w:r>
      <w:r>
        <w:t xml:space="preserve"> </w:t>
      </w:r>
      <w:r>
        <w:t xml:space="preserve">fingers (McCargo 2018). Voting in a one-party election is not a</w:t>
      </w:r>
      <w:r>
        <w:t xml:space="preserve"> </w:t>
      </w:r>
      <w:r>
        <w:t xml:space="preserve">political act in the same sense as voting in a competitive one; it is a</w:t>
      </w:r>
      <w:r>
        <w:t xml:space="preserve"> </w:t>
      </w:r>
      <w:r>
        <w:t xml:space="preserve">demonstration of compliance. The fact that turnout rises precisely as</w:t>
      </w:r>
      <w:r>
        <w:t xml:space="preserve"> </w:t>
      </w:r>
      <w:r>
        <w:t xml:space="preserve">meaningful engagement collapses suggests that Cambodians understand the</w:t>
      </w:r>
      <w:r>
        <w:t xml:space="preserve"> </w:t>
      </w:r>
      <w:r>
        <w:t xml:space="preserve">distinction even as they perform the ritual.</w:t>
      </w:r>
      <w:r>
        <w:rPr>
          <w:rStyle w:val="FootnoteReference"/>
        </w:rPr>
        <w:footnoteReference w:id="42"/>
      </w:r>
    </w:p>
    <w:p>
      <w:pPr>
        <w:pStyle w:val="BodyText"/>
      </w:pPr>
      <w:r>
        <w:t xml:space="preserve">Political news following fell to 2.04, political interest to 2.06, and</w:t>
      </w:r>
      <w:r>
        <w:t xml:space="preserve"> </w:t>
      </w:r>
      <w:r>
        <w:t xml:space="preserve">political discussion to 1.26—the lowest values across all four waves.</w:t>
      </w:r>
      <w:r>
        <w:t xml:space="preserve"> </w:t>
      </w:r>
      <w:r>
        <w:t xml:space="preserve">The internet news variable throws this withdrawal into sharp relief:</w:t>
      </w:r>
      <w:r>
        <w:t xml:space="preserve"> </w:t>
      </w:r>
      <w:r>
        <w:t xml:space="preserve">harmonized consumption rose to 4.66 by Wave 6, reflecting rapid</w:t>
      </w:r>
      <w:r>
        <w:t xml:space="preserve"> </w:t>
      </w:r>
      <w:r>
        <w:t xml:space="preserve">expansion of internet infrastructure. Cambodians in 2021 had far greater</w:t>
      </w:r>
      <w:r>
        <w:t xml:space="preserve"> </w:t>
      </w:r>
      <w:r>
        <w:t xml:space="preserve">access to online information than at any previous wave, yet their</w:t>
      </w:r>
      <w:r>
        <w:t xml:space="preserve"> </w:t>
      </w:r>
      <w:r>
        <w:t xml:space="preserve">political interest and news following fell to historic lows. The</w:t>
      </w:r>
      <w:r>
        <w:t xml:space="preserve"> </w:t>
      </w:r>
      <w:r>
        <w:t xml:space="preserve">infrastructure for engagement had expanded; the will to use it for</w:t>
      </w:r>
      <w:r>
        <w:t xml:space="preserve"> </w:t>
      </w:r>
      <w:r>
        <w:t xml:space="preserve">political purposes had collapsed. Demobilization, once initiated through</w:t>
      </w:r>
      <w:r>
        <w:t xml:space="preserve"> </w:t>
      </w:r>
      <w:r>
        <w:t xml:space="preserve">the removal of the political alternative, generates its own sustaining</w:t>
      </w:r>
      <w:r>
        <w:t xml:space="preserve"> </w:t>
      </w:r>
      <w:r>
        <w:t xml:space="preserve">momentum through this informational feedback loop.</w:t>
      </w:r>
    </w:p>
    <w:p>
      <w:pPr>
        <w:pStyle w:val="BodyText"/>
      </w:pPr>
      <w:r>
        <w:t xml:space="preserve">The Cambodia of 2021 is, in a sense, the inverse of the Cambodia of</w:t>
      </w:r>
      <w:r>
        <w:t xml:space="preserve"> </w:t>
      </w:r>
      <w:r>
        <w:t xml:space="preserve">2012. Where the earlier moment was characterized by activation across</w:t>
      </w:r>
      <w:r>
        <w:t xml:space="preserve"> </w:t>
      </w:r>
      <w:r>
        <w:t xml:space="preserve">all dimensions—participation, aspiration, attention, even the</w:t>
      </w:r>
      <w:r>
        <w:t xml:space="preserve"> </w:t>
      </w:r>
      <w:r>
        <w:t xml:space="preserve">willingness to name corruption—the later moment is characterized by</w:t>
      </w:r>
      <w:r>
        <w:t xml:space="preserve"> </w:t>
      </w:r>
      <w:r>
        <w:t xml:space="preserve">withdrawal across all the same dimensions. The symmetry is striking and,</w:t>
      </w:r>
      <w:r>
        <w:t xml:space="preserve"> </w:t>
      </w:r>
      <w:r>
        <w:t xml:space="preserve">for the theoretical argument, essential. It suggests that what changed</w:t>
      </w:r>
      <w:r>
        <w:t xml:space="preserve"> </w:t>
      </w:r>
      <w:r>
        <w:t xml:space="preserve">between the two moments was not any single attitude or behavior but the</w:t>
      </w:r>
      <w:r>
        <w:t xml:space="preserve"> </w:t>
      </w:r>
      <w:r>
        <w:t xml:space="preserve">underlying orientation from which attitudes and behaviors derive—what</w:t>
      </w:r>
      <w:r>
        <w:t xml:space="preserve"> </w:t>
      </w:r>
      <w:r>
        <w:t xml:space="preserve">might be called the perceived horizon of political possibility. When</w:t>
      </w:r>
      <w:r>
        <w:t xml:space="preserve"> </w:t>
      </w:r>
      <w:r>
        <w:t xml:space="preserve">that horizon expanded, everything expanded with it. When it contracted,</w:t>
      </w:r>
      <w:r>
        <w:t xml:space="preserve"> </w:t>
      </w:r>
      <w:r>
        <w:t xml:space="preserve">everything contracted.</w:t>
      </w:r>
    </w:p>
    <w:bookmarkEnd w:id="43"/>
    <w:bookmarkStart w:id="45" w:name="alternative-mechanisms-and-adjudication"/>
    <w:p>
      <w:pPr>
        <w:pStyle w:val="Heading1"/>
      </w:pPr>
      <w:r>
        <w:t xml:space="preserve">Alternative Mechanisms and</w:t>
      </w:r>
      <w:r>
        <w:t xml:space="preserve"> </w:t>
      </w:r>
      <w:r>
        <w:t xml:space="preserve">Adjudication</w:t>
      </w:r>
    </w:p>
    <w:p>
      <w:pPr>
        <w:pStyle w:val="FirstParagraph"/>
      </w:pPr>
      <w:r>
        <w:t xml:space="preserve">The preceding narrative has interpreted the synchronized attitudinal and</w:t>
      </w:r>
      <w:r>
        <w:t xml:space="preserve"> </w:t>
      </w:r>
      <w:r>
        <w:t xml:space="preserve">behavioral shifts across ABS waves as evidence of demobilization by</w:t>
      </w:r>
      <w:r>
        <w:t xml:space="preserve"> </w:t>
      </w:r>
      <w:r>
        <w:t xml:space="preserve">subtraction. Before drawing theoretical implications, it is necessary to</w:t>
      </w:r>
      <w:r>
        <w:t xml:space="preserve"> </w:t>
      </w:r>
      <w:r>
        <w:t xml:space="preserve">adjudicate this interpretation against four competing explanations:</w:t>
      </w:r>
      <w:r>
        <w:t xml:space="preserve"> </w:t>
      </w:r>
      <w:r>
        <w:t xml:space="preserve">preference falsification under intensified repression, pandemic-era</w:t>
      </w:r>
      <w:r>
        <w:t xml:space="preserve"> </w:t>
      </w:r>
      <w:r>
        <w:t xml:space="preserve">behavioral disruption, technological channel substitution, and</w:t>
      </w:r>
      <w:r>
        <w:t xml:space="preserve"> </w:t>
      </w:r>
      <w:r>
        <w:t xml:space="preserve">generational replacement. Each generates distinct observable predictions</w:t>
      </w:r>
      <w:r>
        <w:t xml:space="preserve"> </w:t>
      </w:r>
      <w:r>
        <w:t xml:space="preserve">that can be evaluated against the available data.</w:t>
      </w:r>
    </w:p>
    <w:p>
      <w:pPr>
        <w:pStyle w:val="BodyText"/>
      </w:pPr>
      <w:r>
        <w:rPr>
          <w:i/>
          <w:iCs/>
        </w:rPr>
        <w:t xml:space="preserve">Preference falsification.</w:t>
      </w:r>
      <w:r>
        <w:t xml:space="preserve"> </w:t>
      </w:r>
      <w:r>
        <w:t xml:space="preserve">The most direct challenge holds that</w:t>
      </w:r>
      <w:r>
        <w:t xml:space="preserve"> </w:t>
      </w:r>
      <w:r>
        <w:t xml:space="preserve">the observed shifts reflect increased survey reticence under harsher</w:t>
      </w:r>
      <w:r>
        <w:t xml:space="preserve"> </w:t>
      </w:r>
      <w:r>
        <w:t xml:space="preserve">post-2017 conditions rather than genuine attitude change. Item</w:t>
      </w:r>
      <w:r>
        <w:t xml:space="preserve"> </w:t>
      </w:r>
      <w:r>
        <w:t xml:space="preserve">nonresponse on democratic expectations rose substantially—from 24 to</w:t>
      </w:r>
      <w:r>
        <w:t xml:space="preserve"> </w:t>
      </w:r>
      <w:r>
        <w:t xml:space="preserve">63 percent on the democratic future item—consistent with an</w:t>
      </w:r>
      <w:r>
        <w:t xml:space="preserve"> </w:t>
      </w:r>
      <w:r>
        <w:t xml:space="preserve">environment in which some respondents feel uncomfortable evaluating</w:t>
      </w:r>
      <w:r>
        <w:t xml:space="preserve"> </w:t>
      </w:r>
      <w:r>
        <w:t xml:space="preserve">their country’s democratic trajectory.</w:t>
      </w:r>
      <w:r>
        <w:rPr>
          <w:rStyle w:val="FootnoteReference"/>
        </w:rPr>
        <w:footnoteReference w:id="44"/>
      </w:r>
    </w:p>
    <w:p>
      <w:pPr>
        <w:pStyle w:val="BodyText"/>
      </w:pPr>
      <w:r>
        <w:t xml:space="preserve">Three considerations limit the scope of this alternative. First, if</w:t>
      </w:r>
      <w:r>
        <w:t xml:space="preserve"> </w:t>
      </w:r>
      <w:r>
        <w:t xml:space="preserve">survey reticence were the primary driver, it should manifest</w:t>
      </w:r>
      <w:r>
        <w:t xml:space="preserve"> </w:t>
      </w:r>
      <w:r>
        <w:t xml:space="preserve">broadly—but straightlining rates on the authoritarian preferences</w:t>
      </w:r>
      <w:r>
        <w:t xml:space="preserve"> </w:t>
      </w:r>
      <w:r>
        <w:t xml:space="preserve">battery actually</w:t>
      </w:r>
      <w:r>
        <w:t xml:space="preserve"> </w:t>
      </w:r>
      <w:r>
        <w:rPr>
          <w:i/>
          <w:iCs/>
        </w:rPr>
        <w:t xml:space="preserve">declined</w:t>
      </w:r>
      <w:r>
        <w:t xml:space="preserve"> </w:t>
      </w:r>
      <w:r>
        <w:t xml:space="preserve">from Wave 4 (38 percent) to Wave 6 (35</w:t>
      </w:r>
      <w:r>
        <w:t xml:space="preserve"> </w:t>
      </w:r>
      <w:r>
        <w:t xml:space="preserve">percent), and acquiescence rates remained low and stable. Second, the</w:t>
      </w:r>
      <w:r>
        <w:t xml:space="preserve"> </w:t>
      </w:r>
      <w:r>
        <w:t xml:space="preserve">demobilization pattern began before the most intensive period of</w:t>
      </w:r>
      <w:r>
        <w:t xml:space="preserve"> </w:t>
      </w:r>
      <w:r>
        <w:t xml:space="preserve">political closure: democratic future expectations fell nearly two points</w:t>
      </w:r>
      <w:r>
        <w:t xml:space="preserve"> </w:t>
      </w:r>
      <w:r>
        <w:t xml:space="preserve">between Waves 3 and 4, and political interest declined, well before the</w:t>
      </w:r>
      <w:r>
        <w:t xml:space="preserve"> </w:t>
      </w:r>
      <w:r>
        <w:t xml:space="preserve">CNRP dissolution. Third, non-political placebo items—national pride,</w:t>
      </w:r>
      <w:r>
        <w:t xml:space="preserve"> </w:t>
      </w:r>
      <w:r>
        <w:t xml:space="preserve">family economic situation, perceived economic change—show no</w:t>
      </w:r>
      <w:r>
        <w:t xml:space="preserve"> </w:t>
      </w:r>
      <w:r>
        <w:t xml:space="preserve">systematic decline across waves; generalized reticence would be expected</w:t>
      </w:r>
      <w:r>
        <w:t xml:space="preserve"> </w:t>
      </w:r>
      <w:r>
        <w:t xml:space="preserve">to suppress these as well.</w:t>
      </w:r>
    </w:p>
    <w:p>
      <w:pPr>
        <w:pStyle w:val="BodyText"/>
      </w:pPr>
      <w:r>
        <w:t xml:space="preserve">The most direct empirical test draws on ABS items measuring perceived</w:t>
      </w:r>
      <w:r>
        <w:t xml:space="preserve"> </w:t>
      </w:r>
      <w:r>
        <w:t xml:space="preserve">freedom of speech and freedom to organize. Adding both as covariates in</w:t>
      </w:r>
      <w:r>
        <w:t xml:space="preserve"> </w:t>
      </w:r>
      <w:r>
        <w:t xml:space="preserve">OLS models predicting democratic future expectations, satisfaction, and</w:t>
      </w:r>
      <w:r>
        <w:t xml:space="preserve"> </w:t>
      </w:r>
      <w:r>
        <w:t xml:space="preserve">preference produces virtually no attenuation: the Wave 6 coefficient on</w:t>
      </w:r>
      <w:r>
        <w:t xml:space="preserve"> </w:t>
      </w:r>
      <w:r>
        <w:t xml:space="preserve">democratic future expectations changes by 0.4 percent. The moderation</w:t>
      </w:r>
      <w:r>
        <w:t xml:space="preserve"> </w:t>
      </w:r>
      <w:r>
        <w:t xml:space="preserve">pattern runs opposite to the preference-falsification prediction:</w:t>
      </w:r>
      <w:r>
        <w:t xml:space="preserve"> </w:t>
      </w:r>
      <w:r>
        <w:t xml:space="preserve">declines in democratic future expectations are concentrated among</w:t>
      </w:r>
      <w:r>
        <w:t xml:space="preserve"> </w:t>
      </w:r>
      <w:r>
        <w:t xml:space="preserve">respondents who perceive</w:t>
      </w:r>
      <w:r>
        <w:t xml:space="preserve"> </w:t>
      </w:r>
      <w:r>
        <w:rPr>
          <w:i/>
          <w:iCs/>
        </w:rPr>
        <w:t xml:space="preserve">more</w:t>
      </w:r>
      <w:r>
        <w:t xml:space="preserve"> </w:t>
      </w:r>
      <w:r>
        <w:t xml:space="preserve">freedom of speech, not less (Wave 4</w:t>
      </w:r>
      <w:r>
        <w:t xml:space="preserve"> </w:t>
      </w:r>
      <w:r>
        <w:t xml:space="preserve">interaction:</w:t>
      </w:r>
      <w:r>
        <w:t xml:space="preserve"> </w:t>
      </w:r>
      <m:oMath>
        <m:r>
          <m:t>β</m:t>
        </m:r>
      </m:oMath>
      <w:r>
        <w:t xml:space="preserve"> </w:t>
      </w:r>
      <w:r>
        <w:t xml:space="preserve">= -1.88,</w:t>
      </w:r>
      <w:r>
        <w:t xml:space="preserve"> </w:t>
      </w:r>
      <w:r>
        <w:rPr>
          <w:i/>
          <w:iCs/>
        </w:rPr>
        <w:t xml:space="preserve">p</w:t>
      </w:r>
      <w:r>
        <w:t xml:space="preserve"> </w:t>
      </w:r>
      <w:r>
        <w:t xml:space="preserve">&lt; .001; Wave 6:</w:t>
      </w:r>
      <w:r>
        <w:t xml:space="preserve"> </w:t>
      </w:r>
      <m:oMath>
        <m:r>
          <m:t>β</m:t>
        </m:r>
      </m:oMath>
      <w:r>
        <w:t xml:space="preserve"> </w:t>
      </w:r>
      <w:r>
        <w:t xml:space="preserve">= -1.18,</w:t>
      </w:r>
      <w:r>
        <w:t xml:space="preserve"> </w:t>
      </w:r>
      <w:r>
        <w:rPr>
          <w:i/>
          <w:iCs/>
        </w:rPr>
        <w:t xml:space="preserve">p</w:t>
      </w:r>
      <w:r>
        <w:t xml:space="preserve"> </w:t>
      </w:r>
      <w:r>
        <w:t xml:space="preserve">&lt; .001). The deepest</w:t>
      </w:r>
      <w:r>
        <w:t xml:space="preserve"> </w:t>
      </w:r>
      <w:r>
        <w:t xml:space="preserve">disillusionment runs through precisely those who feel most free to</w:t>
      </w:r>
      <w:r>
        <w:t xml:space="preserve"> </w:t>
      </w:r>
      <w:r>
        <w:t xml:space="preserve">express it—a pattern consistent with genuine preference revision</w:t>
      </w:r>
      <w:r>
        <w:t xml:space="preserve"> </w:t>
      </w:r>
      <w:r>
        <w:t xml:space="preserve">rather than strategic concealment.</w:t>
      </w:r>
    </w:p>
    <w:p>
      <w:pPr>
        <w:pStyle w:val="BodyText"/>
      </w:pPr>
      <w:r>
        <w:t xml:space="preserve">The nonresponse gradient across the democratic orientation battery is</w:t>
      </w:r>
      <w:r>
        <w:t xml:space="preserve"> </w:t>
      </w:r>
      <w:r>
        <w:t xml:space="preserve">itself analytically informative. Items with the lowest nonresponse—the</w:t>
      </w:r>
      <w:r>
        <w:t xml:space="preserve"> </w:t>
      </w:r>
      <w:r>
        <w:t xml:space="preserve">forced-choice democracy preference (13.4 percent), the</w:t>
      </w:r>
      <w:r>
        <w:t xml:space="preserve"> </w:t>
      </w:r>
      <w:r>
        <w:t xml:space="preserve">democracy–equality trade-off (8.1 percent)—are those requiring</w:t>
      </w:r>
      <w:r>
        <w:t xml:space="preserve"> </w:t>
      </w:r>
      <w:r>
        <w:t xml:space="preserve">respondents to select among pre-defined positions. Items with the</w:t>
      </w:r>
      <w:r>
        <w:t xml:space="preserve"> </w:t>
      </w:r>
      <w:r>
        <w:t xml:space="preserve">highest nonresponse—democratic future (63 percent), democratic present</w:t>
      </w:r>
      <w:r>
        <w:t xml:space="preserve"> </w:t>
      </w:r>
      <w:r>
        <w:t xml:space="preserve">(42.5 percent)—require generating a numerical judgment about</w:t>
      </w:r>
      <w:r>
        <w:t xml:space="preserve"> </w:t>
      </w:r>
      <w:r>
        <w:t xml:space="preserve">Cambodia’s democratic trajectory. Citizens can still answer whether</w:t>
      </w:r>
      <w:r>
        <w:t xml:space="preserve"> </w:t>
      </w:r>
      <w:r>
        <w:t xml:space="preserve">democracy is desirable in the abstract, but increasingly decline to</w:t>
      </w:r>
      <w:r>
        <w:t xml:space="preserve"> </w:t>
      </w:r>
      <w:r>
        <w:t xml:space="preserve">evaluate where their country sits on a democratic continuum. The 63</w:t>
      </w:r>
      <w:r>
        <w:t xml:space="preserve"> </w:t>
      </w:r>
      <w:r>
        <w:t xml:space="preserve">percent who did not answer the democratic future item and the 37 percent</w:t>
      </w:r>
      <w:r>
        <w:t xml:space="preserve"> </w:t>
      </w:r>
      <w:r>
        <w:t xml:space="preserve">who answered with diminished expectations are complementary expressions</w:t>
      </w:r>
      <w:r>
        <w:t xml:space="preserve"> </w:t>
      </w:r>
      <w:r>
        <w:t xml:space="preserve">of the same process.</w:t>
      </w:r>
    </w:p>
    <w:bookmarkEnd w:id="45"/>
    <w:bookmarkStart w:id="46" w:name="X1922ebb86d0e302670c9a7f072f2e43c0fc4eb4"/>
    <w:p>
      <w:pPr>
        <w:pStyle w:val="Heading1"/>
      </w:pPr>
      <w:r>
        <w:t xml:space="preserve">Partisan Heterogeneity and the Scope of</w:t>
      </w:r>
      <w:r>
        <w:t xml:space="preserve"> </w:t>
      </w:r>
      <w:r>
        <w:t xml:space="preserve">Demobilization</w:t>
      </w:r>
    </w:p>
    <w:p>
      <w:pPr>
        <w:pStyle w:val="FirstParagraph"/>
      </w:pPr>
      <w:r>
        <w:t xml:space="preserve">If subtraction operates through removal of the opposition specifically,</w:t>
      </w:r>
      <w:r>
        <w:t xml:space="preserve"> </w:t>
      </w:r>
      <w:r>
        <w:t xml:space="preserve">attitudinal shifts should concentrate among former CNRP supporters, who</w:t>
      </w:r>
      <w:r>
        <w:t xml:space="preserve"> </w:t>
      </w:r>
      <w:r>
        <w:t xml:space="preserve">lost their vehicle for political expression, rather than among CPP</w:t>
      </w:r>
      <w:r>
        <w:t xml:space="preserve"> </w:t>
      </w:r>
      <w:r>
        <w:t xml:space="preserve">supporters, whose political home remained intact. The ABS vote choice</w:t>
      </w:r>
      <w:r>
        <w:t xml:space="preserve"> </w:t>
      </w:r>
      <w:r>
        <w:t xml:space="preserve">items permit a direct test.</w:t>
      </w:r>
    </w:p>
    <w:p>
      <w:pPr>
        <w:pStyle w:val="BodyText"/>
      </w:pPr>
      <w:r>
        <w:t xml:space="preserve">The partisan distribution across waves is itself the first piece of</w:t>
      </w:r>
      <w:r>
        <w:t xml:space="preserve"> </w:t>
      </w:r>
      <w:r>
        <w:t xml:space="preserve">evidence. In Wave 4 (2015), CNRP voters constituted 21.3 percent of the</w:t>
      </w:r>
      <w:r>
        <w:t xml:space="preserve"> </w:t>
      </w:r>
      <w:r>
        <w:t xml:space="preserve">sample and CPP voters 50.8 percent, with 17.2 percent nonvoters and 7.2</w:t>
      </w:r>
      <w:r>
        <w:t xml:space="preserve"> </w:t>
      </w:r>
      <w:r>
        <w:t xml:space="preserve">percent declining to answer. By Wave 6 (2021), the CNRP share had</w:t>
      </w:r>
      <w:r>
        <w:t xml:space="preserve"> </w:t>
      </w:r>
      <w:r>
        <w:t xml:space="preserve">collapsed to 2.7 percent—34 respondents, a residual so small it is</w:t>
      </w:r>
      <w:r>
        <w:t xml:space="preserve"> </w:t>
      </w:r>
      <w:r>
        <w:t xml:space="preserve">analytically uninformative except as a marker of the dissolution’s</w:t>
      </w:r>
      <w:r>
        <w:t xml:space="preserve"> </w:t>
      </w:r>
      <w:r>
        <w:t xml:space="preserve">completeness. The CPP share returned to 60.1 percent, absorbing an</w:t>
      </w:r>
      <w:r>
        <w:t xml:space="preserve"> </w:t>
      </w:r>
      <w:r>
        <w:t xml:space="preserve">unknown proportion of former CNRP supporters who reported voting CPP in</w:t>
      </w:r>
      <w:r>
        <w:t xml:space="preserve"> </w:t>
      </w:r>
      <w:r>
        <w:t xml:space="preserve">the uncontested 2018 election. The DK/Refuse category nearly tripled,</w:t>
      </w:r>
      <w:r>
        <w:t xml:space="preserve"> </w:t>
      </w:r>
      <w:r>
        <w:t xml:space="preserve">from 7.2 to 18.8 percent. The redistribution of the CNRP’s former</w:t>
      </w:r>
      <w:r>
        <w:t xml:space="preserve"> </w:t>
      </w:r>
      <w:r>
        <w:t xml:space="preserve">constituency—into CPP voting, nonvoting, or refusal to</w:t>
      </w:r>
      <w:r>
        <w:t xml:space="preserve"> </w:t>
      </w:r>
      <w:r>
        <w:t xml:space="preserve">answer—</w:t>
      </w:r>
      <w:r>
        <w:rPr>
          <w:i/>
          <w:iCs/>
        </w:rPr>
        <w:t xml:space="preserve">is</w:t>
      </w:r>
      <w:r>
        <w:t xml:space="preserve"> </w:t>
      </w:r>
      <w:r>
        <w:t xml:space="preserve">the subtraction documented at the level of individual</w:t>
      </w:r>
      <w:r>
        <w:t xml:space="preserve"> </w:t>
      </w:r>
      <w:r>
        <w:t xml:space="preserve">survey responses.</w:t>
      </w:r>
    </w:p>
    <w:p>
      <w:pPr>
        <w:pStyle w:val="BodyText"/>
      </w:pPr>
      <w:r>
        <w:t xml:space="preserve">The W4-to-W6 decomposition of key outcomes by partisan group yields a</w:t>
      </w:r>
      <w:r>
        <w:t xml:space="preserve"> </w:t>
      </w:r>
      <w:r>
        <w:t xml:space="preserve">finding that initially appears to cut against the subtraction-specific</w:t>
      </w:r>
      <w:r>
        <w:t xml:space="preserve"> </w:t>
      </w:r>
      <w:r>
        <w:t xml:space="preserve">mechanism: the shifts are broadly uniform. Contact with influential</w:t>
      </w:r>
      <w:r>
        <w:t xml:space="preserve"> </w:t>
      </w:r>
      <w:r>
        <w:t xml:space="preserve">persons—the clearest measure of independent civic engagement—dropped</w:t>
      </w:r>
      <w:r>
        <w:t xml:space="preserve"> </w:t>
      </w:r>
      <w:r>
        <w:t xml:space="preserve">by approximately 30 percentage points across all groups: 35.1 points</w:t>
      </w:r>
      <w:r>
        <w:t xml:space="preserve"> </w:t>
      </w:r>
      <w:r>
        <w:t xml:space="preserve">among CPP voters, 30.9 among CNRP voters, 29.9 among nonvoters, and 25.6</w:t>
      </w:r>
      <w:r>
        <w:t xml:space="preserve"> </w:t>
      </w:r>
      <w:r>
        <w:t xml:space="preserve">among those declining to answer. Democratic future expectations declined</w:t>
      </w:r>
      <w:r>
        <w:t xml:space="preserve"> </w:t>
      </w:r>
      <w:r>
        <w:t xml:space="preserve">by 1.27 to 1.39 points across groups. Single-party rule acceptance rose</w:t>
      </w:r>
      <w:r>
        <w:t xml:space="preserve"> </w:t>
      </w:r>
      <w:r>
        <w:t xml:space="preserve">by 0.29 to 0.47 points. The absence of partisan heterogeneity is robust:</w:t>
      </w:r>
      <w:r>
        <w:t xml:space="preserve"> </w:t>
      </w:r>
      <w:r>
        <w:t xml:space="preserve">no group was spared the demobilization, and no group experienced it with</w:t>
      </w:r>
      <w:r>
        <w:t xml:space="preserve"> </w:t>
      </w:r>
      <w:r>
        <w:t xml:space="preserve">distinctive severity.</w:t>
      </w:r>
    </w:p>
    <w:p>
      <w:pPr>
        <w:pStyle w:val="BodyText"/>
      </w:pPr>
      <w:r>
        <w:t xml:space="preserve">Two considerations complicate the interpretation of this uniformity as</w:t>
      </w:r>
      <w:r>
        <w:t xml:space="preserve"> </w:t>
      </w:r>
      <w:r>
        <w:t xml:space="preserve">evidence against the subtraction mechanism. The first is methodological.</w:t>
      </w:r>
      <w:r>
        <w:t xml:space="preserve"> </w:t>
      </w:r>
      <w:r>
        <w:t xml:space="preserve">The W6 partisan categories are themselves</w:t>
      </w:r>
      <w:r>
        <w:t xml:space="preserve"> </w:t>
      </w:r>
      <w:r>
        <w:rPr>
          <w:i/>
          <w:iCs/>
        </w:rPr>
        <w:t xml:space="preserve">products</w:t>
      </w:r>
      <w:r>
        <w:t xml:space="preserve"> </w:t>
      </w:r>
      <w:r>
        <w:t xml:space="preserve">of the</w:t>
      </w:r>
      <w:r>
        <w:t xml:space="preserve"> </w:t>
      </w:r>
      <w:r>
        <w:t xml:space="preserve">dissolution. The 746 respondents classified as</w:t>
      </w:r>
      <w:r>
        <w:t xml:space="preserve"> </w:t>
      </w:r>
      <w:r>
        <w:t xml:space="preserve">“CPP voters”</w:t>
      </w:r>
      <w:r>
        <w:t xml:space="preserve"> </w:t>
      </w:r>
      <w:r>
        <w:t xml:space="preserve">in Wave 6</w:t>
      </w:r>
      <w:r>
        <w:t xml:space="preserve"> </w:t>
      </w:r>
      <w:r>
        <w:t xml:space="preserve">include an unknown number of former CNRP sympathizers who voted CPP in a</w:t>
      </w:r>
      <w:r>
        <w:t xml:space="preserve"> </w:t>
      </w:r>
      <w:r>
        <w:t xml:space="preserve">one-party election—citizens for whom</w:t>
      </w:r>
      <w:r>
        <w:t xml:space="preserve"> </w:t>
      </w:r>
      <w:r>
        <w:t xml:space="preserve">“CPP voter”</w:t>
      </w:r>
      <w:r>
        <w:t xml:space="preserve"> </w:t>
      </w:r>
      <w:r>
        <w:t xml:space="preserve">is a</w:t>
      </w:r>
      <w:r>
        <w:t xml:space="preserve"> </w:t>
      </w:r>
      <w:r>
        <w:t xml:space="preserve">post-dissolution category imposed by the absence of alternatives rather</w:t>
      </w:r>
      <w:r>
        <w:t xml:space="preserve"> </w:t>
      </w:r>
      <w:r>
        <w:t xml:space="preserve">than a stable partisan identity. The DK/Refuse category, which tripled</w:t>
      </w:r>
      <w:r>
        <w:t xml:space="preserve"> </w:t>
      </w:r>
      <w:r>
        <w:t xml:space="preserve">to 18.8 percent, likely contains the most resistant former CNRP</w:t>
      </w:r>
      <w:r>
        <w:t xml:space="preserve"> </w:t>
      </w:r>
      <w:r>
        <w:t xml:space="preserve">supporters—those who could neither bring themselves to report voting</w:t>
      </w:r>
      <w:r>
        <w:t xml:space="preserve"> </w:t>
      </w:r>
      <w:r>
        <w:t xml:space="preserve">CPP nor risk identifying with a criminalized party. Their democratic</w:t>
      </w:r>
      <w:r>
        <w:t xml:space="preserve"> </w:t>
      </w:r>
      <w:r>
        <w:t xml:space="preserve">orientation profile in Wave 6 is consistent with this reading: they</w:t>
      </w:r>
      <w:r>
        <w:t xml:space="preserve"> </w:t>
      </w:r>
      <w:r>
        <w:t xml:space="preserve">registered the lowest proportion selecting</w:t>
      </w:r>
      <w:r>
        <w:t xml:space="preserve"> </w:t>
      </w:r>
      <w:r>
        <w:t xml:space="preserve">“democracy always</w:t>
      </w:r>
      <w:r>
        <w:t xml:space="preserve"> </w:t>
      </w:r>
      <w:r>
        <w:t xml:space="preserve">preferable”</w:t>
      </w:r>
      <w:r>
        <w:t xml:space="preserve"> </w:t>
      </w:r>
      <w:r>
        <w:t xml:space="preserve">(61.1 percent) and the highest rate of conditional</w:t>
      </w:r>
      <w:r>
        <w:t xml:space="preserve"> </w:t>
      </w:r>
      <w:r>
        <w:t xml:space="preserve">authoritarianism (18.1 percent) of any group—a pattern more consistent</w:t>
      </w:r>
      <w:r>
        <w:t xml:space="preserve"> </w:t>
      </w:r>
      <w:r>
        <w:t xml:space="preserve">with suppressed democratic preferences under duress than with genuine</w:t>
      </w:r>
      <w:r>
        <w:t xml:space="preserve"> </w:t>
      </w:r>
      <w:r>
        <w:t xml:space="preserve">authoritarian conversion. The dissolution did not merely change</w:t>
      </w:r>
      <w:r>
        <w:t xml:space="preserve"> </w:t>
      </w:r>
      <w:r>
        <w:t xml:space="preserve">attitudes; it destroyed the partisan categories through which</w:t>
      </w:r>
      <w:r>
        <w:t xml:space="preserve"> </w:t>
      </w:r>
      <w:r>
        <w:t xml:space="preserve">differential effects could be measured.</w:t>
      </w:r>
    </w:p>
    <w:p>
      <w:pPr>
        <w:pStyle w:val="BodyText"/>
      </w:pPr>
      <w:r>
        <w:t xml:space="preserve">The second consideration is theoretical. The prediction that CNRP</w:t>
      </w:r>
      <w:r>
        <w:t xml:space="preserve"> </w:t>
      </w:r>
      <w:r>
        <w:t xml:space="preserve">supporters should be differentially affected assumes subtraction</w:t>
      </w:r>
      <w:r>
        <w:t xml:space="preserve"> </w:t>
      </w:r>
      <w:r>
        <w:t xml:space="preserve">operates like losing one’s team. The framework advanced here operates at</w:t>
      </w:r>
      <w:r>
        <w:t xml:space="preserve"> </w:t>
      </w:r>
      <w:r>
        <w:t xml:space="preserve">a different level: the removal of the credible alternative restructures</w:t>
      </w:r>
      <w:r>
        <w:t xml:space="preserve"> </w:t>
      </w:r>
      <w:r>
        <w:t xml:space="preserve">the political field itself, not merely the partisan calculus of</w:t>
      </w:r>
      <w:r>
        <w:t xml:space="preserve"> </w:t>
      </w:r>
      <w:r>
        <w:t xml:space="preserve">opposition supporters. CPP voters in 2015 inhabited a competitive system</w:t>
      </w:r>
      <w:r>
        <w:t xml:space="preserve"> </w:t>
      </w:r>
      <w:r>
        <w:t xml:space="preserve">in which political information served a decision-making function and</w:t>
      </w:r>
      <w:r>
        <w:t xml:space="preserve"> </w:t>
      </w:r>
      <w:r>
        <w:t xml:space="preserve">contacting persons outside the party apparatus had strategic rationale;</w:t>
      </w:r>
      <w:r>
        <w:t xml:space="preserve"> </w:t>
      </w:r>
      <w:r>
        <w:t xml:space="preserve">CPP voters in 2021 inhabited a one-party state in which neither</w:t>
      </w:r>
      <w:r>
        <w:t xml:space="preserve"> </w:t>
      </w:r>
      <w:r>
        <w:t xml:space="preserve">condition obtained. The uniformity of the observed shifts is precisely</w:t>
      </w:r>
      <w:r>
        <w:t xml:space="preserve"> </w:t>
      </w:r>
      <w:r>
        <w:t xml:space="preserve">what a field-level mechanism predicts—and what a party-level mechanism</w:t>
      </w:r>
      <w:r>
        <w:t xml:space="preserve"> </w:t>
      </w:r>
      <w:r>
        <w:t xml:space="preserve">does not.</w:t>
      </w:r>
    </w:p>
    <w:bookmarkEnd w:id="46"/>
    <w:bookmarkStart w:id="49" w:name="X635ef043be29776fd30c08e83b3443bef66a450"/>
    <w:p>
      <w:pPr>
        <w:pStyle w:val="Heading1"/>
      </w:pPr>
      <w:r>
        <w:t xml:space="preserve">Supplementary Evidence from the 2017 Socio-Economic</w:t>
      </w:r>
      <w:r>
        <w:t xml:space="preserve"> </w:t>
      </w:r>
      <w:r>
        <w:t xml:space="preserve">Survey</w:t>
      </w:r>
    </w:p>
    <w:p>
      <w:pPr>
        <w:pStyle w:val="FirstParagraph"/>
      </w:pPr>
      <w:r>
        <w:t xml:space="preserve">The 2017 Cambodia Socio-Economic Survey provides a second-instrument</w:t>
      </w:r>
      <w:r>
        <w:t xml:space="preserve"> </w:t>
      </w:r>
      <w:r>
        <w:t xml:space="preserve">snapshot of civic orientations in the final months before the CNRP</w:t>
      </w:r>
      <w:r>
        <w:t xml:space="preserve"> </w:t>
      </w:r>
      <w:r>
        <w:t xml:space="preserve">dissolution, partially addressing the temporal gap between ABS Waves 4</w:t>
      </w:r>
      <w:r>
        <w:t xml:space="preserve"> </w:t>
      </w:r>
      <w:r>
        <w:t xml:space="preserve">(2015) and 6 (2021). The SES data are not directly comparable to the ABS</w:t>
      </w:r>
      <w:r>
        <w:t xml:space="preserve"> </w:t>
      </w:r>
      <w:r>
        <w:t xml:space="preserve">in scale or design, but the directional evidence is informative.</w:t>
      </w:r>
    </w:p>
    <w:p>
      <w:pPr>
        <w:pStyle w:val="BodyText"/>
      </w:pPr>
      <w:r>
        <w:t xml:space="preserve">In early-to-mid 2017, 86.1 percent of SES respondents reported freedom</w:t>
      </w:r>
      <w:r>
        <w:t xml:space="preserve"> </w:t>
      </w:r>
      <w:r>
        <w:t xml:space="preserve">to speak without fear, 87.9 percent reported freedom to join</w:t>
      </w:r>
      <w:r>
        <w:t xml:space="preserve"> </w:t>
      </w:r>
      <w:r>
        <w:t xml:space="preserve">organizations without fear, and 94.0 percent reported freedom to vote</w:t>
      </w:r>
      <w:r>
        <w:t xml:space="preserve"> </w:t>
      </w:r>
      <w:r>
        <w:t xml:space="preserve">for any party without fear—near-universal agreement, recorded in the</w:t>
      </w:r>
      <w:r>
        <w:t xml:space="preserve"> </w:t>
      </w:r>
      <w:r>
        <w:t xml:space="preserve">final months before the elimination of the only meaningful alternative</w:t>
      </w:r>
      <w:r>
        <w:t xml:space="preserve"> </w:t>
      </w:r>
      <w:r>
        <w:t xml:space="preserve">party. The political closure that followed was not acting on a</w:t>
      </w:r>
      <w:r>
        <w:t xml:space="preserve"> </w:t>
      </w:r>
      <w:r>
        <w:t xml:space="preserve">population that already felt constrained. These figures establish the</w:t>
      </w:r>
      <w:r>
        <w:t xml:space="preserve"> </w:t>
      </w:r>
      <w:r>
        <w:t xml:space="preserve">subjective distance between the pre-dissolution civic environment and</w:t>
      </w:r>
      <w:r>
        <w:t xml:space="preserve"> </w:t>
      </w:r>
      <w:r>
        <w:t xml:space="preserve">the post-dissolution environment documented in Wave 6.</w:t>
      </w:r>
    </w:p>
    <w:p>
      <w:pPr>
        <w:pStyle w:val="BodyText"/>
      </w:pPr>
      <w:r>
        <w:t xml:space="preserve">The SES tea money item corroborates the corruption trajectory from a</w:t>
      </w:r>
      <w:r>
        <w:t xml:space="preserve"> </w:t>
      </w:r>
      <w:r>
        <w:t xml:space="preserve">more behaviorally concrete instrument: 34.9 percent of respondents</w:t>
      </w:r>
      <w:r>
        <w:t xml:space="preserve"> </w:t>
      </w:r>
      <w:r>
        <w:t xml:space="preserve">reported paying additional money to officials in 2016 to get things</w:t>
      </w:r>
      <w:r>
        <w:t xml:space="preserve"> </w:t>
      </w:r>
      <w:r>
        <w:t xml:space="preserve">done. This direct bribery measure confirms that petty corruption</w:t>
      </w:r>
      <w:r>
        <w:t xml:space="preserve"> </w:t>
      </w:r>
      <w:r>
        <w:t xml:space="preserve">remained widespread in the immediate pre-dissolution period. With the</w:t>
      </w:r>
      <w:r>
        <w:t xml:space="preserve"> </w:t>
      </w:r>
      <w:r>
        <w:t xml:space="preserve">ABS witnessed-corruption item registering 63 percent in 2015 and 15</w:t>
      </w:r>
      <w:r>
        <w:t xml:space="preserve"> </w:t>
      </w:r>
      <w:r>
        <w:t xml:space="preserve">percent in 2021, the SES rate of 34.9 percent for 2016 falls precisely</w:t>
      </w:r>
      <w:r>
        <w:t xml:space="preserve"> </w:t>
      </w:r>
      <w:r>
        <w:t xml:space="preserve">between these values on a narrower measure, making it more difficult to</w:t>
      </w:r>
      <w:r>
        <w:t xml:space="preserve"> </w:t>
      </w:r>
      <w:r>
        <w:t xml:space="preserve">attribute the subsequent ABS collapse to genuine anti-corruption</w:t>
      </w:r>
      <w:r>
        <w:t xml:space="preserve"> </w:t>
      </w:r>
      <w:r>
        <w:t xml:space="preserve">progress.</w:t>
      </w:r>
    </w:p>
    <w:p>
      <w:pPr>
        <w:pStyle w:val="BodyText"/>
      </w:pPr>
      <w:r>
        <w:t xml:space="preserve">Satisfaction with local governance was high: 88.2 percent agreed that</w:t>
      </w:r>
      <w:r>
        <w:t xml:space="preserve"> </w:t>
      </w:r>
      <w:r>
        <w:t xml:space="preserve">commune councillors are</w:t>
      </w:r>
      <w:r>
        <w:t xml:space="preserve"> </w:t>
      </w:r>
      <w:r>
        <w:t xml:space="preserve">“helpful and responsive at solving problems,”</w:t>
      </w:r>
      <w:r>
        <w:t xml:space="preserve"> </w:t>
      </w:r>
      <w:r>
        <w:t xml:space="preserve">and 89.4 percent agreed that the village chief</w:t>
      </w:r>
      <w:r>
        <w:t xml:space="preserve"> </w:t>
      </w:r>
      <w:r>
        <w:t xml:space="preserve">“generally works for the</w:t>
      </w:r>
      <w:r>
        <w:t xml:space="preserve"> </w:t>
      </w:r>
      <w:r>
        <w:t xml:space="preserve">benefit of citizens.”</w:t>
      </w:r>
      <w:r>
        <w:t xml:space="preserve"> </w:t>
      </w:r>
      <w:r>
        <w:t xml:space="preserve">These figures are consistent with the CPP’s</w:t>
      </w:r>
      <w:r>
        <w:t xml:space="preserve"> </w:t>
      </w:r>
      <w:r>
        <w:t xml:space="preserve">patronage infrastructure functioning effectively at the commune</w:t>
      </w:r>
      <w:r>
        <w:t xml:space="preserve"> </w:t>
      </w:r>
      <w:r>
        <w:t xml:space="preserve">level—the same infrastructure into which, the article argues, citizens</w:t>
      </w:r>
      <w:r>
        <w:t xml:space="preserve"> </w:t>
      </w:r>
      <w:r>
        <w:t xml:space="preserve">redirected their engagement after the dissolution foreclosed independent</w:t>
      </w:r>
      <w:r>
        <w:t xml:space="preserve"> </w:t>
      </w:r>
      <w:r>
        <w:t xml:space="preserve">channels. The post-dissolution rise in civil servant contact (from 11</w:t>
      </w:r>
      <w:r>
        <w:t xml:space="preserve"> </w:t>
      </w:r>
      <w:r>
        <w:t xml:space="preserve">percent in Wave 4 to 37 percent in Wave 6) landed on institutional</w:t>
      </w:r>
      <w:r>
        <w:t xml:space="preserve"> </w:t>
      </w:r>
      <w:r>
        <w:t xml:space="preserve">ground that citizens already found functional.</w:t>
      </w:r>
    </w:p>
    <w:p>
      <w:pPr>
        <w:pStyle w:val="BodyText"/>
      </w:pPr>
      <w:r>
        <w:t xml:space="preserve">Detailed SES governance modules were not publicly released for</w:t>
      </w:r>
      <w:r>
        <w:t xml:space="preserve"> </w:t>
      </w:r>
      <w:r>
        <w:t xml:space="preserve">2018–2020; the data gap mirrors the ABS Wave 5 absence discussed</w:t>
      </w:r>
      <w:r>
        <w:t xml:space="preserve"> </w:t>
      </w:r>
      <w:r>
        <w:t xml:space="preserve">above.</w:t>
      </w:r>
      <w:r>
        <w:rPr>
          <w:rStyle w:val="FootnoteReference"/>
        </w:rPr>
        <w:footnoteReference w:id="47"/>
      </w:r>
    </w:p>
    <w:p>
      <w:pPr>
        <w:pStyle w:val="BodyText"/>
      </w:pPr>
      <w:r>
        <w:rPr>
          <w:i/>
          <w:iCs/>
        </w:rPr>
        <w:t xml:space="preserve">Pandemic-era behavioral disruption.</w:t>
      </w:r>
      <w:r>
        <w:t xml:space="preserve"> </w:t>
      </w:r>
      <w:r>
        <w:t xml:space="preserve">Wave 6 was collected during</w:t>
      </w:r>
      <w:r>
        <w:t xml:space="preserve"> </w:t>
      </w:r>
      <w:r>
        <w:t xml:space="preserve">the COVID-19 pandemic, and public health restrictions could</w:t>
      </w:r>
      <w:r>
        <w:t xml:space="preserve"> </w:t>
      </w:r>
      <w:r>
        <w:t xml:space="preserve">independently depress physical participation measures. The concern is</w:t>
      </w:r>
      <w:r>
        <w:t xml:space="preserve"> </w:t>
      </w:r>
      <w:r>
        <w:t xml:space="preserve">legitimate but bounded. The key attitudinal shifts—the decline in</w:t>
      </w:r>
      <w:r>
        <w:t xml:space="preserve"> </w:t>
      </w:r>
      <w:r>
        <w:t xml:space="preserve">democratic future expectations, the rise in authoritarian governance</w:t>
      </w:r>
      <w:r>
        <w:t xml:space="preserve"> </w:t>
      </w:r>
      <w:r>
        <w:t xml:space="preserve">acceptance—are not plausibly explained by pandemic restrictions, which</w:t>
      </w:r>
      <w:r>
        <w:t xml:space="preserve"> </w:t>
      </w:r>
      <w:r>
        <w:t xml:space="preserve">constrain behavior but have no direct mechanism for altering governance</w:t>
      </w:r>
      <w:r>
        <w:t xml:space="preserve"> </w:t>
      </w:r>
      <w:r>
        <w:t xml:space="preserve">preferences. The decline in democratic expectations began in Wave 4</w:t>
      </w:r>
      <w:r>
        <w:t xml:space="preserve"> </w:t>
      </w:r>
      <w:r>
        <w:t xml:space="preserve">(2015), six years before the pandemic. Demonstration attendance held</w:t>
      </w:r>
      <w:r>
        <w:t xml:space="preserve"> </w:t>
      </w:r>
      <w:r>
        <w:t xml:space="preserve">essentially constant between Wave 4 and Wave 6 (4.5 to 3.3 percent),</w:t>
      </w:r>
      <w:r>
        <w:t xml:space="preserve"> </w:t>
      </w:r>
      <w:r>
        <w:t xml:space="preserve">while the sharpest participation decline occurred in contacting</w:t>
      </w:r>
      <w:r>
        <w:t xml:space="preserve"> </w:t>
      </w:r>
      <w:r>
        <w:t xml:space="preserve">influential persons, an activity requiring no face-to-face contact. The</w:t>
      </w:r>
      <w:r>
        <w:t xml:space="preserve"> </w:t>
      </w:r>
      <w:r>
        <w:t xml:space="preserve">pandemic may have amplified certain behavioral measures; it cannot</w:t>
      </w:r>
      <w:r>
        <w:t xml:space="preserve"> </w:t>
      </w:r>
      <w:r>
        <w:t xml:space="preserve">account for the pattern’s breadth, direction, or temporal</w:t>
      </w:r>
      <w:r>
        <w:t xml:space="preserve"> </w:t>
      </w:r>
      <w:r>
        <w:t xml:space="preserve">onset.</w:t>
      </w:r>
      <w:r>
        <w:rPr>
          <w:rStyle w:val="FootnoteReference"/>
        </w:rPr>
        <w:footnoteReference w:id="48"/>
      </w:r>
    </w:p>
    <w:p>
      <w:pPr>
        <w:pStyle w:val="BodyText"/>
      </w:pPr>
      <w:r>
        <w:rPr>
          <w:i/>
          <w:iCs/>
        </w:rPr>
        <w:t xml:space="preserve">Temporal resolution and the dissolution-as-keystone</w:t>
      </w:r>
      <w:r>
        <w:rPr>
          <w:i/>
          <w:iCs/>
        </w:rPr>
        <w:t xml:space="preserve"> </w:t>
      </w:r>
      <w:r>
        <w:rPr>
          <w:i/>
          <w:iCs/>
        </w:rPr>
        <w:t xml:space="preserve">interpretation.</w:t>
      </w:r>
      <w:r>
        <w:t xml:space="preserve"> </w:t>
      </w:r>
      <w:r>
        <w:t xml:space="preserve">The six-year gap between Wave 4 (2015) and Wave 6</w:t>
      </w:r>
      <w:r>
        <w:t xml:space="preserve"> </w:t>
      </w:r>
      <w:r>
        <w:t xml:space="preserve">(2021) means the analysis cannot determine whether the sharpest</w:t>
      </w:r>
      <w:r>
        <w:t xml:space="preserve"> </w:t>
      </w:r>
      <w:r>
        <w:t xml:space="preserve">attitudinal changes occurred as an acute shock immediately following the</w:t>
      </w:r>
      <w:r>
        <w:t xml:space="preserve"> </w:t>
      </w:r>
      <w:r>
        <w:t xml:space="preserve">dissolution, accumulated gradually through 2021, or reflect primarily</w:t>
      </w:r>
      <w:r>
        <w:t xml:space="preserve"> </w:t>
      </w:r>
      <w:r>
        <w:t xml:space="preserve">the cumulative repressive apparatus that accompanied it. Elements of all</w:t>
      </w:r>
      <w:r>
        <w:t xml:space="preserve"> </w:t>
      </w:r>
      <w:r>
        <w:t xml:space="preserve">three models likely operated simultaneously. Two considerations favor</w:t>
      </w:r>
      <w:r>
        <w:t xml:space="preserve"> </w:t>
      </w:r>
      <w:r>
        <w:t xml:space="preserve">the subtraction-centered interpretation over the repression-centered</w:t>
      </w:r>
      <w:r>
        <w:t xml:space="preserve"> </w:t>
      </w:r>
      <w:r>
        <w:t xml:space="preserve">alternative. First, the attitudinal trajectory began before the most</w:t>
      </w:r>
      <w:r>
        <w:t xml:space="preserve"> </w:t>
      </w:r>
      <w:r>
        <w:t xml:space="preserve">intensive period of repression: democratic future expectations fell</w:t>
      </w:r>
      <w:r>
        <w:t xml:space="preserve"> </w:t>
      </w:r>
      <w:r>
        <w:t xml:space="preserve">nearly two points and political interest declined between Waves 3 and 4,</w:t>
      </w:r>
      <w:r>
        <w:t xml:space="preserve"> </w:t>
      </w:r>
      <w:r>
        <w:t xml:space="preserve">when the CNRP was under selective pressure but still functionally</w:t>
      </w:r>
      <w:r>
        <w:t xml:space="preserve"> </w:t>
      </w:r>
      <w:r>
        <w:t xml:space="preserve">intact. If cumulative repression were the primary driver, onset should</w:t>
      </w:r>
      <w:r>
        <w:t xml:space="preserve"> </w:t>
      </w:r>
      <w:r>
        <w:t xml:space="preserve">concentrate post-2017. Second, the domain-specificity of the shifts is</w:t>
      </w:r>
      <w:r>
        <w:t xml:space="preserve"> </w:t>
      </w:r>
      <w:r>
        <w:t xml:space="preserve">more consistent with a mechanism operating through the structure of</w:t>
      </w:r>
      <w:r>
        <w:t xml:space="preserve"> </w:t>
      </w:r>
      <w:r>
        <w:t xml:space="preserve">political alternatives than with generalized intimidation, which would</w:t>
      </w:r>
      <w:r>
        <w:t xml:space="preserve"> </w:t>
      </w:r>
      <w:r>
        <w:t xml:space="preserve">be expected to depress expressed attitudes across domains. The</w:t>
      </w:r>
      <w:r>
        <w:t xml:space="preserve"> </w:t>
      </w:r>
      <w:r>
        <w:t xml:space="preserve">dissolution is treated here as the keystone of the closure process—the</w:t>
      </w:r>
      <w:r>
        <w:t xml:space="preserve"> </w:t>
      </w:r>
      <w:r>
        <w:t xml:space="preserve">act that restructured the political field—even as the accompanying</w:t>
      </w:r>
      <w:r>
        <w:t xml:space="preserve"> </w:t>
      </w:r>
      <w:r>
        <w:t xml:space="preserve">repressive measures amplified and accelerated those adjustments.</w:t>
      </w:r>
    </w:p>
    <w:p>
      <w:pPr>
        <w:pStyle w:val="BodyText"/>
      </w:pPr>
      <w:r>
        <w:t xml:space="preserve">The domain-specificity pattern constitutes the strongest evidence</w:t>
      </w:r>
      <w:r>
        <w:t xml:space="preserve"> </w:t>
      </w:r>
      <w:r>
        <w:t xml:space="preserve">against a fear-centered interpretation. National pride, family economic</w:t>
      </w:r>
      <w:r>
        <w:t xml:space="preserve"> </w:t>
      </w:r>
      <w:r>
        <w:t xml:space="preserve">assessment, and perceived economic change are all statistically stable</w:t>
      </w:r>
      <w:r>
        <w:t xml:space="preserve"> </w:t>
      </w:r>
      <w:r>
        <w:t xml:space="preserve">between Wave 4 and Wave 6, while large directional shifts are</w:t>
      </w:r>
      <w:r>
        <w:t xml:space="preserve"> </w:t>
      </w:r>
      <w:r>
        <w:t xml:space="preserve">concentrated in political aspiration, civic engagement, and democratic</w:t>
      </w:r>
      <w:r>
        <w:t xml:space="preserve"> </w:t>
      </w:r>
      <w:r>
        <w:t xml:space="preserve">prioritization—precisely the domain the dissolution restructured.</w:t>
      </w:r>
      <w:r>
        <w:t xml:space="preserve"> </w:t>
      </w:r>
      <w:r>
        <w:t xml:space="preserve">Generalized fear produces broad-spectrum attenuation (see</w:t>
      </w:r>
      <w:r>
        <w:t xml:space="preserve"> </w:t>
      </w:r>
      <w:r>
        <w:t xml:space="preserve">Figure </w:t>
      </w:r>
      <w:hyperlink w:anchor="fig:mechanisms">
        <w:r>
          <w:rPr>
            <w:rStyle w:val="Hyperlink"/>
          </w:rPr>
          <w:t xml:space="preserve">1</w:t>
        </w:r>
      </w:hyperlink>
      <w:r>
        <w:t xml:space="preserve">); the Cambodian data show selectivity. Full</w:t>
      </w:r>
      <w:r>
        <w:t xml:space="preserve"> </w:t>
      </w:r>
      <w:r>
        <w:t xml:space="preserve">placebo battery results are in Appendix Table A3.</w:t>
      </w:r>
    </w:p>
    <w:p>
      <w:pPr>
        <w:pStyle w:val="BodyText"/>
      </w:pPr>
      <w:r>
        <w:rPr>
          <w:i/>
          <w:iCs/>
        </w:rPr>
        <w:t xml:space="preserve">Technological channel substitution.</w:t>
      </w:r>
      <w:r>
        <w:t xml:space="preserve"> </w:t>
      </w:r>
      <w:r>
        <w:t xml:space="preserve">The finding that</w:t>
      </w:r>
      <w:r>
        <w:t xml:space="preserve"> </w:t>
      </w:r>
      <w:r>
        <w:t xml:space="preserve">participation through formal channels rose between Wave 4 and Wave</w:t>
      </w:r>
      <w:r>
        <w:t xml:space="preserve"> </w:t>
      </w:r>
      <w:r>
        <w:t xml:space="preserve">6—petition-signing, civil servant contact, and media contact all</w:t>
      </w:r>
      <w:r>
        <w:t xml:space="preserve"> </w:t>
      </w:r>
      <w:r>
        <w:t xml:space="preserve">increased—while contact with influential persons outside the state</w:t>
      </w:r>
      <w:r>
        <w:t xml:space="preserve"> </w:t>
      </w:r>
      <w:r>
        <w:t xml:space="preserve">apparatus declined, could reflect a shift in participation modalities</w:t>
      </w:r>
      <w:r>
        <w:t xml:space="preserve"> </w:t>
      </w:r>
      <w:r>
        <w:t xml:space="preserve">driven by smartphone and internet penetration rather than political</w:t>
      </w:r>
      <w:r>
        <w:t xml:space="preserve"> </w:t>
      </w:r>
      <w:r>
        <w:t xml:space="preserve">demobilization. If citizens simply migrated from informal, face-to-face</w:t>
      </w:r>
      <w:r>
        <w:t xml:space="preserve"> </w:t>
      </w:r>
      <w:r>
        <w:t xml:space="preserve">civic engagement to digitally mediated formal channels, the resulting</w:t>
      </w:r>
      <w:r>
        <w:t xml:space="preserve"> </w:t>
      </w:r>
      <w:r>
        <w:t xml:space="preserve">pattern would resemble demobilization even if total civic engagement</w:t>
      </w:r>
      <w:r>
        <w:t xml:space="preserve"> </w:t>
      </w:r>
      <w:r>
        <w:t xml:space="preserve">were unchanged or increasing.</w:t>
      </w:r>
    </w:p>
    <w:p>
      <w:pPr>
        <w:pStyle w:val="BodyText"/>
      </w:pPr>
      <w:r>
        <w:t xml:space="preserve">This interpretation is difficult to sustain for two reasons. First, it</w:t>
      </w:r>
      <w:r>
        <w:t xml:space="preserve"> </w:t>
      </w:r>
      <w:r>
        <w:t xml:space="preserve">cannot explain the concurrent attitudinal shifts: channel substitution</w:t>
      </w:r>
      <w:r>
        <w:t xml:space="preserve"> </w:t>
      </w:r>
      <w:r>
        <w:t xml:space="preserve">might redistribute participation across modes but provides no mechanism</w:t>
      </w:r>
      <w:r>
        <w:t xml:space="preserve"> </w:t>
      </w:r>
      <w:r>
        <w:t xml:space="preserve">for the simultaneous decline in democratic expectations, rise in</w:t>
      </w:r>
      <w:r>
        <w:t xml:space="preserve"> </w:t>
      </w:r>
      <w:r>
        <w:t xml:space="preserve">authoritarian acceptance, and collapse of political interest. If</w:t>
      </w:r>
      <w:r>
        <w:t xml:space="preserve"> </w:t>
      </w:r>
      <w:r>
        <w:t xml:space="preserve">citizens were merely engaging through different channels, their</w:t>
      </w:r>
      <w:r>
        <w:t xml:space="preserve"> </w:t>
      </w:r>
      <w:r>
        <w:t xml:space="preserve">attitudes toward democracy and authoritarianism should remain stable.</w:t>
      </w:r>
      <w:r>
        <w:t xml:space="preserve"> </w:t>
      </w:r>
      <w:r>
        <w:t xml:space="preserve">They did not. Second, the formal channels that expanded—petitioning,</w:t>
      </w:r>
      <w:r>
        <w:t xml:space="preserve"> </w:t>
      </w:r>
      <w:r>
        <w:t xml:space="preserve">contacting civil servants, contacting media—are precisely those most</w:t>
      </w:r>
      <w:r>
        <w:t xml:space="preserve"> </w:t>
      </w:r>
      <w:r>
        <w:t xml:space="preserve">compatible with regime-managed participation under hegemonic</w:t>
      </w:r>
      <w:r>
        <w:t xml:space="preserve"> </w:t>
      </w:r>
      <w:r>
        <w:t xml:space="preserve">authoritarianism. The rise of these channels alongside the collapse of</w:t>
      </w:r>
      <w:r>
        <w:t xml:space="preserve"> </w:t>
      </w:r>
      <w:r>
        <w:t xml:space="preserve">independent engagement is more consistent with the substitution of</w:t>
      </w:r>
      <w:r>
        <w:t xml:space="preserve"> </w:t>
      </w:r>
      <w:r>
        <w:t xml:space="preserve">participatory form for participatory substance than with genuine channel</w:t>
      </w:r>
      <w:r>
        <w:t xml:space="preserve"> </w:t>
      </w:r>
      <w:r>
        <w:t xml:space="preserve">migration.</w:t>
      </w:r>
    </w:p>
    <w:p>
      <w:pPr>
        <w:pStyle w:val="BodyText"/>
      </w:pPr>
      <w:r>
        <w:rPr>
          <w:i/>
          <w:iCs/>
        </w:rPr>
        <w:t xml:space="preserve">Generational replacement.</w:t>
      </w:r>
      <w:r>
        <w:t xml:space="preserve"> </w:t>
      </w:r>
      <w:r>
        <w:t xml:space="preserve">Cambodia’s young population and rapid</w:t>
      </w:r>
      <w:r>
        <w:t xml:space="preserve"> </w:t>
      </w:r>
      <w:r>
        <w:t xml:space="preserve">demographic change raise the possibility that apparent attitudinal</w:t>
      </w:r>
      <w:r>
        <w:t xml:space="preserve"> </w:t>
      </w:r>
      <w:r>
        <w:t xml:space="preserve">shifts across waves reflect cohort replacement rather than</w:t>
      </w:r>
      <w:r>
        <w:t xml:space="preserve"> </w:t>
      </w:r>
      <w:r>
        <w:t xml:space="preserve">within-individual attitude change: the politically activated youth of</w:t>
      </w:r>
      <w:r>
        <w:t xml:space="preserve"> </w:t>
      </w:r>
      <w:r>
        <w:t xml:space="preserve">2012 aged into their thirties by 2021, while a new cohort with no memory</w:t>
      </w:r>
      <w:r>
        <w:t xml:space="preserve"> </w:t>
      </w:r>
      <w:r>
        <w:t xml:space="preserve">of the CNRP mobilization entered the survey frame. If the post-2017</w:t>
      </w:r>
      <w:r>
        <w:t xml:space="preserve"> </w:t>
      </w:r>
      <w:r>
        <w:t xml:space="preserve">shifts are concentrated among younger respondents, compositional change</w:t>
      </w:r>
      <w:r>
        <w:t xml:space="preserve"> </w:t>
      </w:r>
      <w:r>
        <w:t xml:space="preserve">rather than demobilization could be driving the aggregate pattern.</w:t>
      </w:r>
    </w:p>
    <w:p>
      <w:pPr>
        <w:pStyle w:val="BodyText"/>
      </w:pPr>
      <w:r>
        <w:t xml:space="preserve">The subgroup decompositions do not support this interpretation. The key</w:t>
      </w:r>
      <w:r>
        <w:t xml:space="preserve"> </w:t>
      </w:r>
      <w:r>
        <w:t xml:space="preserve">shifts between Wave 4 and Wave 6 are broad-based across age groups,</w:t>
      </w:r>
      <w:r>
        <w:t xml:space="preserve"> </w:t>
      </w:r>
      <w:r>
        <w:t xml:space="preserve">education levels, and urban/rural residence. Contact with influential</w:t>
      </w:r>
      <w:r>
        <w:t xml:space="preserve"> </w:t>
      </w:r>
      <w:r>
        <w:t xml:space="preserve">persons declined among under-30s (51.5 to 22.5 percent), 30–49</w:t>
      </w:r>
      <w:r>
        <w:t xml:space="preserve"> </w:t>
      </w:r>
      <w:r>
        <w:t xml:space="preserve">year-olds (55.8 to 24.8 percent), and over-50s (59.9 to 21.5 percent)</w:t>
      </w:r>
      <w:r>
        <w:t xml:space="preserve"> </w:t>
      </w:r>
      <w:r>
        <w:t xml:space="preserve">alike. Single-party rule acceptance rose across all three age groups.</w:t>
      </w:r>
      <w:r>
        <w:t xml:space="preserve"> </w:t>
      </w:r>
      <w:r>
        <w:t xml:space="preserve">Political interest fell uniformly regardless of age, education, or</w:t>
      </w:r>
      <w:r>
        <w:t xml:space="preserve"> </w:t>
      </w:r>
      <w:r>
        <w:t xml:space="preserve">urbanicity. If generational replacement were the primary mechanism, the</w:t>
      </w:r>
      <w:r>
        <w:t xml:space="preserve"> </w:t>
      </w:r>
      <w:r>
        <w:t xml:space="preserve">shifts should concentrate in the youngest cohort or attenuate among</w:t>
      </w:r>
      <w:r>
        <w:t xml:space="preserve"> </w:t>
      </w:r>
      <w:r>
        <w:t xml:space="preserve">older respondents who experienced the CNRP period directly; instead, the</w:t>
      </w:r>
      <w:r>
        <w:t xml:space="preserve"> </w:t>
      </w:r>
      <w:r>
        <w:t xml:space="preserve">pattern is strikingly uniform. This breadth is consistent with a</w:t>
      </w:r>
      <w:r>
        <w:t xml:space="preserve"> </w:t>
      </w:r>
      <w:r>
        <w:t xml:space="preserve">population-wide reorientation rather than a compositional artifact.</w:t>
      </w:r>
    </w:p>
    <w:p>
      <w:pPr>
        <w:pStyle w:val="BodyText"/>
      </w:pPr>
      <w:r>
        <w:t xml:space="preserve">Taken together, the adjudication tests support the</w:t>
      </w:r>
      <w:r>
        <w:t xml:space="preserve"> </w:t>
      </w:r>
      <w:r>
        <w:t xml:space="preserve">demobilization-by-subtraction interpretation while acknowledging that</w:t>
      </w:r>
      <w:r>
        <w:t xml:space="preserve"> </w:t>
      </w:r>
      <w:r>
        <w:t xml:space="preserve">the 2021 data likely reflect some degree of pandemic amplification and</w:t>
      </w:r>
      <w:r>
        <w:t xml:space="preserve"> </w:t>
      </w:r>
      <w:r>
        <w:t xml:space="preserve">elevated survey reticence on the most politically sensitive items. The</w:t>
      </w:r>
      <w:r>
        <w:t xml:space="preserve"> </w:t>
      </w:r>
      <w:r>
        <w:t xml:space="preserve">core finding—synchronized, domain-specific shifts in political</w:t>
      </w:r>
      <w:r>
        <w:t xml:space="preserve"> </w:t>
      </w:r>
      <w:r>
        <w:t xml:space="preserve">orientations that began before the pandemic, cut across all demographic</w:t>
      </w:r>
      <w:r>
        <w:t xml:space="preserve"> </w:t>
      </w:r>
      <w:r>
        <w:t xml:space="preserve">subgroups, and leave non-political attitudes largely untouched—is more</w:t>
      </w:r>
      <w:r>
        <w:t xml:space="preserve"> </w:t>
      </w:r>
      <w:r>
        <w:t xml:space="preserve">consistent with genuine attitudinal adjustment to political closure than</w:t>
      </w:r>
      <w:r>
        <w:t xml:space="preserve"> </w:t>
      </w:r>
      <w:r>
        <w:t xml:space="preserve">with any single alternative mechanism.</w:t>
      </w:r>
    </w:p>
    <w:bookmarkEnd w:id="49"/>
    <w:bookmarkStart w:id="52" w:name="conclusion"/>
    <w:p>
      <w:pPr>
        <w:pStyle w:val="Heading1"/>
      </w:pPr>
      <w:r>
        <w:t xml:space="preserve">Conclusion</w:t>
      </w:r>
    </w:p>
    <w:p>
      <w:pPr>
        <w:pStyle w:val="FirstParagraph"/>
      </w:pPr>
      <w:r>
        <w:t xml:space="preserve">The mechanism identified here—the restructuring of citizen</w:t>
      </w:r>
      <w:r>
        <w:t xml:space="preserve"> </w:t>
      </w:r>
      <w:r>
        <w:t xml:space="preserve">orientations through the removal of political alternatives—operates</w:t>
      </w:r>
      <w:r>
        <w:t xml:space="preserve"> </w:t>
      </w:r>
      <w:r>
        <w:t xml:space="preserve">wherever dominant-party regimes consolidate power. Four theoretical</w:t>
      </w:r>
      <w:r>
        <w:t xml:space="preserve"> </w:t>
      </w:r>
      <w:r>
        <w:t xml:space="preserve">implications bear emphasis.</w:t>
      </w:r>
    </w:p>
    <w:p>
      <w:pPr>
        <w:pStyle w:val="BodyText"/>
      </w:pPr>
      <w:r>
        <w:t xml:space="preserve">The first concerns the mechanism itself. Demobilization by subtraction</w:t>
      </w:r>
      <w:r>
        <w:t xml:space="preserve"> </w:t>
      </w:r>
      <w:r>
        <w:t xml:space="preserve">does not operate by eroding democratic values. Abstract democratic</w:t>
      </w:r>
      <w:r>
        <w:t xml:space="preserve"> </w:t>
      </w:r>
      <w:r>
        <w:t xml:space="preserve">commitment remained essentially stable across the Cambodian study</w:t>
      </w:r>
      <w:r>
        <w:t xml:space="preserve"> </w:t>
      </w:r>
      <w:r>
        <w:t xml:space="preserve">period; a clear majority of respondents in 2021 endorsed democracy as</w:t>
      </w:r>
      <w:r>
        <w:t xml:space="preserve"> </w:t>
      </w:r>
      <w:r>
        <w:t xml:space="preserve">the best form of government at rates statistically indistinguishable</w:t>
      </w:r>
      <w:r>
        <w:t xml:space="preserve"> </w:t>
      </w:r>
      <w:r>
        <w:t xml:space="preserve">from 2012. What collapsed was not the ideal but the willingness to</w:t>
      </w:r>
      <w:r>
        <w:t xml:space="preserve"> </w:t>
      </w:r>
      <w:r>
        <w:t xml:space="preserve">prioritize it against competing goods and, on the more tentatively</w:t>
      </w:r>
      <w:r>
        <w:t xml:space="preserve"> </w:t>
      </w:r>
      <w:r>
        <w:t xml:space="preserve">measured expectation items, the perceived horizon within which the ideal</w:t>
      </w:r>
      <w:r>
        <w:t xml:space="preserve"> </w:t>
      </w:r>
      <w:r>
        <w:t xml:space="preserve">could be realized. The breadth of that collapse—uniform across CPP and</w:t>
      </w:r>
      <w:r>
        <w:t xml:space="preserve"> </w:t>
      </w:r>
      <w:r>
        <w:t xml:space="preserve">former CNRP voters alike—confirms that the mechanism operates at the</w:t>
      </w:r>
      <w:r>
        <w:t xml:space="preserve"> </w:t>
      </w:r>
      <w:r>
        <w:t xml:space="preserve">level of the political field rather than the partisan calculus of</w:t>
      </w:r>
      <w:r>
        <w:t xml:space="preserve"> </w:t>
      </w:r>
      <w:r>
        <w:t xml:space="preserve">individual supporters. CPP voters did not lose their party; they lost a</w:t>
      </w:r>
      <w:r>
        <w:t xml:space="preserve"> </w:t>
      </w:r>
      <w:r>
        <w:t xml:space="preserve">political system in which independent information and</w:t>
      </w:r>
      <w:r>
        <w:t xml:space="preserve"> </w:t>
      </w:r>
      <w:r>
        <w:t xml:space="preserve">outside-the-apparatus contact served any strategic purpose. The</w:t>
      </w:r>
      <w:r>
        <w:t xml:space="preserve"> </w:t>
      </w:r>
      <w:r>
        <w:t xml:space="preserve">pro-political-freedom share contracted from 47 to 22 percent; democracy</w:t>
      </w:r>
      <w:r>
        <w:t xml:space="preserve"> </w:t>
      </w:r>
      <w:r>
        <w:t xml:space="preserve">satisfaction paradoxically rose to its highest recorded level</w:t>
      </w:r>
      <w:r>
        <w:t xml:space="preserve"> </w:t>
      </w:r>
      <w:r>
        <w:t xml:space="preserve">(Figure </w:t>
      </w:r>
      <w:hyperlink w:anchor="fig-paradox">
        <w:r>
          <w:rPr>
            <w:rStyle w:val="Hyperlink"/>
          </w:rPr>
          <w:t xml:space="preserve">3</w:t>
        </w:r>
      </w:hyperlink>
      <w:r>
        <w:t xml:space="preserve">). The divergence between resilient ideals and</w:t>
      </w:r>
      <w:r>
        <w:t xml:space="preserve"> </w:t>
      </w:r>
      <w:r>
        <w:t xml:space="preserve">collapsing prioritization suggests that democratic attitudes in</w:t>
      </w:r>
      <w:r>
        <w:t xml:space="preserve"> </w:t>
      </w:r>
      <w:r>
        <w:t xml:space="preserve">authoritarian contexts have at least three partially independent</w:t>
      </w:r>
      <w:r>
        <w:t xml:space="preserve"> </w:t>
      </w:r>
      <w:r>
        <w:t xml:space="preserve">dimensions—ideal endorsement, practical prioritization, and</w:t>
      </w:r>
      <w:r>
        <w:t xml:space="preserve"> </w:t>
      </w:r>
      <w:r>
        <w:t xml:space="preserve">feasibility expectation—that respond to the structure of available</w:t>
      </w:r>
      <w:r>
        <w:t xml:space="preserve"> </w:t>
      </w:r>
      <w:r>
        <w:t xml:space="preserve">political alternatives in characteristically different ways (Jones and</w:t>
      </w:r>
      <w:r>
        <w:t xml:space="preserve"> </w:t>
      </w:r>
      <w:r>
        <w:t xml:space="preserve">Cowan 2025). Cross-national surveys that aggregate these dimensions into</w:t>
      </w:r>
      <w:r>
        <w:t xml:space="preserve"> </w:t>
      </w:r>
      <w:r>
        <w:t xml:space="preserve">a single</w:t>
      </w:r>
      <w:r>
        <w:t xml:space="preserve"> </w:t>
      </w:r>
      <w:r>
        <w:t xml:space="preserve">“democratic support”</w:t>
      </w:r>
      <w:r>
        <w:t xml:space="preserve"> </w:t>
      </w:r>
      <w:r>
        <w:t xml:space="preserve">index may be measuring a composite whose</w:t>
      </w:r>
      <w:r>
        <w:t xml:space="preserve"> </w:t>
      </w:r>
      <w:r>
        <w:t xml:space="preserve">components move in opposite directions under precisely the conditions of</w:t>
      </w:r>
      <w:r>
        <w:t xml:space="preserve"> </w:t>
      </w:r>
      <w:r>
        <w:t xml:space="preserve">greatest theoretical interest.</w:t>
      </w:r>
    </w:p>
    <w:p>
      <w:pPr>
        <w:pStyle w:val="BodyText"/>
      </w:pPr>
      <w:r>
        <w:t xml:space="preserve">The second implication concerns the relationship between hope and</w:t>
      </w:r>
      <w:r>
        <w:t xml:space="preserve"> </w:t>
      </w:r>
      <w:r>
        <w:t xml:space="preserve">democratic attitudes. The Wave 3 data suggest that the extraordinary</w:t>
      </w:r>
      <w:r>
        <w:t xml:space="preserve"> </w:t>
      </w:r>
      <w:r>
        <w:t xml:space="preserve">democratic optimism of 2012 was not accompanied by correspondingly</w:t>
      </w:r>
      <w:r>
        <w:t xml:space="preserve"> </w:t>
      </w:r>
      <w:r>
        <w:t xml:space="preserve">extraordinary democratic commitment—the forced-choice democracy</w:t>
      </w:r>
      <w:r>
        <w:t xml:space="preserve"> </w:t>
      </w:r>
      <w:r>
        <w:t xml:space="preserve">preference ran</w:t>
      </w:r>
      <w:r>
        <w:t xml:space="preserve"> </w:t>
      </w:r>
      <w:r>
        <w:rPr>
          <w:i/>
          <w:iCs/>
        </w:rPr>
        <w:t xml:space="preserve">lower</w:t>
      </w:r>
      <w:r>
        <w:t xml:space="preserve"> </w:t>
      </w:r>
      <w:r>
        <w:t xml:space="preserve">in 2012 than in 2015, when commitment surged</w:t>
      </w:r>
      <w:r>
        <w:t xml:space="preserve"> </w:t>
      </w:r>
      <w:r>
        <w:t xml:space="preserve">precisely as expectations were falling. This temporal decoupling</w:t>
      </w:r>
      <w:r>
        <w:t xml:space="preserve"> </w:t>
      </w:r>
      <w:r>
        <w:t xml:space="preserve">suggests that democratic support in authoritarian contexts is driven by</w:t>
      </w:r>
      <w:r>
        <w:t xml:space="preserve"> </w:t>
      </w:r>
      <w:r>
        <w:t xml:space="preserve">two distinct psychological mechanisms that peak at different moments:</w:t>
      </w:r>
      <w:r>
        <w:t xml:space="preserve"> </w:t>
      </w:r>
      <w:r>
        <w:t xml:space="preserve">feasibility perception, which peaked when the CNRP made democracy appear</w:t>
      </w:r>
      <w:r>
        <w:t xml:space="preserve"> </w:t>
      </w:r>
      <w:r>
        <w:t xml:space="preserve">imminent; and value crystallization, which peaked when the post-2013</w:t>
      </w:r>
      <w:r>
        <w:t xml:space="preserve"> </w:t>
      </w:r>
      <w:r>
        <w:t xml:space="preserve">crackdown placed democratic values under visible siege. The Cambodian</w:t>
      </w:r>
      <w:r>
        <w:t xml:space="preserve"> </w:t>
      </w:r>
      <w:r>
        <w:t xml:space="preserve">sequence—commitment lagging expectation on the upswing, then</w:t>
      </w:r>
      <w:r>
        <w:t xml:space="preserve"> </w:t>
      </w:r>
      <w:r>
        <w:t xml:space="preserve">outlasting it on the downswing—challenges the foundational assumption</w:t>
      </w:r>
      <w:r>
        <w:t xml:space="preserve"> </w:t>
      </w:r>
      <w:r>
        <w:t xml:space="preserve">of the political culture tradition that democratic values and democratic</w:t>
      </w:r>
      <w:r>
        <w:t xml:space="preserve"> </w:t>
      </w:r>
      <w:r>
        <w:t xml:space="preserve">expectations move in tandem.</w:t>
      </w:r>
      <w:r>
        <w:rPr>
          <w:rStyle w:val="FootnoteReference"/>
        </w:rPr>
        <w:footnoteReference w:id="50"/>
      </w:r>
    </w:p>
    <w:p>
      <w:pPr>
        <w:pStyle w:val="BodyText"/>
      </w:pPr>
      <w:r>
        <w:t xml:space="preserve">The third implication concerns corruption measurement. Survey-based</w:t>
      </w:r>
      <w:r>
        <w:t xml:space="preserve"> </w:t>
      </w:r>
      <w:r>
        <w:t xml:space="preserve">corruption indicators may systematically understate corruption in</w:t>
      </w:r>
      <w:r>
        <w:t xml:space="preserve"> </w:t>
      </w:r>
      <w:r>
        <w:t xml:space="preserve">demobilized populations: when citizens withdraw from engagement with</w:t>
      </w:r>
      <w:r>
        <w:t xml:space="preserve"> </w:t>
      </w:r>
      <w:r>
        <w:t xml:space="preserve">state institutions, they withdraw from the sites where corruption is</w:t>
      </w:r>
      <w:r>
        <w:t xml:space="preserve"> </w:t>
      </w:r>
      <w:r>
        <w:t xml:space="preserve">experienced and observed. The CPP’s anti-corruption efforts during this</w:t>
      </w:r>
      <w:r>
        <w:t xml:space="preserve"> </w:t>
      </w:r>
      <w:r>
        <w:t xml:space="preserve">period may have had some genuine effect, but the fourfold collapse in</w:t>
      </w:r>
      <w:r>
        <w:t xml:space="preserve"> </w:t>
      </w:r>
      <w:r>
        <w:t xml:space="preserve">witnessed corruption—from 49 percent to 15 percent—is more</w:t>
      </w:r>
      <w:r>
        <w:t xml:space="preserve"> </w:t>
      </w:r>
      <w:r>
        <w:t xml:space="preserve">parsimoniously explained by the withdrawal of citizens from</w:t>
      </w:r>
      <w:r>
        <w:t xml:space="preserve"> </w:t>
      </w:r>
      <w:r>
        <w:t xml:space="preserve">institutional encounters where corruption becomes visible. External</w:t>
      </w:r>
      <w:r>
        <w:t xml:space="preserve"> </w:t>
      </w:r>
      <w:r>
        <w:t xml:space="preserve">assessments corroborate this interpretation: Cambodia’s Transparency</w:t>
      </w:r>
      <w:r>
        <w:t xml:space="preserve"> </w:t>
      </w:r>
      <w:r>
        <w:t xml:space="preserve">International CPI score was essentially unchanged across the study</w:t>
      </w:r>
      <w:r>
        <w:t xml:space="preserve"> </w:t>
      </w:r>
      <w:r>
        <w:t xml:space="preserve">period. Instruments like the CPI may be particularly vulnerable to this</w:t>
      </w:r>
      <w:r>
        <w:t xml:space="preserve"> </w:t>
      </w:r>
      <w:r>
        <w:t xml:space="preserve">dynamic in consolidating authoritarian regimes.</w:t>
      </w:r>
    </w:p>
    <w:p>
      <w:pPr>
        <w:pStyle w:val="BodyText"/>
      </w:pPr>
      <w:r>
        <w:t xml:space="preserve">The fourth implication is diagnostic. The divergence between electoral</w:t>
      </w:r>
      <w:r>
        <w:t xml:space="preserve"> </w:t>
      </w:r>
      <w:r>
        <w:t xml:space="preserve">participation and civic participation—turnout rising to 88 percent</w:t>
      </w:r>
      <w:r>
        <w:t xml:space="preserve"> </w:t>
      </w:r>
      <w:r>
        <w:t xml:space="preserve">even as independent civic engagement collapsed—may serve as a</w:t>
      </w:r>
      <w:r>
        <w:t xml:space="preserve"> </w:t>
      </w:r>
      <w:r>
        <w:t xml:space="preserve">generalizable indicator of authoritarian normalization. Where elections</w:t>
      </w:r>
      <w:r>
        <w:t xml:space="preserve"> </w:t>
      </w:r>
      <w:r>
        <w:t xml:space="preserve">are maintained as regime rituals rather than competitive mechanisms,</w:t>
      </w:r>
      <w:r>
        <w:t xml:space="preserve"> </w:t>
      </w:r>
      <w:r>
        <w:t xml:space="preserve">rising turnout signals not democratic health but its opposite: the</w:t>
      </w:r>
      <w:r>
        <w:t xml:space="preserve"> </w:t>
      </w:r>
      <w:r>
        <w:t xml:space="preserve">transformation of voting from an act of political choice into an act of</w:t>
      </w:r>
      <w:r>
        <w:t xml:space="preserve"> </w:t>
      </w:r>
      <w:r>
        <w:t xml:space="preserve">political compliance (Schedler 2002; Magaloni and Kricheli 2010). The</w:t>
      </w:r>
      <w:r>
        <w:t xml:space="preserve"> </w:t>
      </w:r>
      <w:r>
        <w:t xml:space="preserve">Cambodian case suggests that this turnout-participation divergence</w:t>
      </w:r>
      <w:r>
        <w:t xml:space="preserve"> </w:t>
      </w:r>
      <w:r>
        <w:t xml:space="preserve">emerges specifically in the wake of opposition elimination, and that its</w:t>
      </w:r>
      <w:r>
        <w:t xml:space="preserve"> </w:t>
      </w:r>
      <w:r>
        <w:t xml:space="preserve">appearance in other contexts—wherever rising turnout coincides with</w:t>
      </w:r>
      <w:r>
        <w:t xml:space="preserve"> </w:t>
      </w:r>
      <w:r>
        <w:t xml:space="preserve">collapsing civic engagement—should be read as evidence that the</w:t>
      </w:r>
      <w:r>
        <w:t xml:space="preserve"> </w:t>
      </w:r>
      <w:r>
        <w:t xml:space="preserve">electoral arena has been substantively emptied even if it remains</w:t>
      </w:r>
      <w:r>
        <w:t xml:space="preserve"> </w:t>
      </w:r>
      <w:r>
        <w:t xml:space="preserve">formally intact.</w:t>
      </w:r>
    </w:p>
    <w:p>
      <w:pPr>
        <w:pStyle w:val="BodyText"/>
      </w:pPr>
      <w:r>
        <w:t xml:space="preserve">These findings carry inherent limitations. Four cross-sectional waves</w:t>
      </w:r>
      <w:r>
        <w:t xml:space="preserve"> </w:t>
      </w:r>
      <w:r>
        <w:t xml:space="preserve">across thirteen years provide suggestive but not definitive evidence;</w:t>
      </w:r>
      <w:r>
        <w:t xml:space="preserve"> </w:t>
      </w:r>
      <w:r>
        <w:t xml:space="preserve">the six-year gap between Wave 4 (2015) and Wave 6 (2021) means the</w:t>
      </w:r>
      <w:r>
        <w:t xml:space="preserve"> </w:t>
      </w:r>
      <w:r>
        <w:t xml:space="preserve">analysis cannot pinpoint whether the sharpest attitudinal shifts</w:t>
      </w:r>
      <w:r>
        <w:t xml:space="preserve"> </w:t>
      </w:r>
      <w:r>
        <w:t xml:space="preserve">occurred immediately following the CNRP dissolution or accumulated</w:t>
      </w:r>
      <w:r>
        <w:t xml:space="preserve"> </w:t>
      </w:r>
      <w:r>
        <w:t xml:space="preserve">gradually, nor can it isolate the dissolution’s contribution from the</w:t>
      </w:r>
      <w:r>
        <w:t xml:space="preserve"> </w:t>
      </w:r>
      <w:r>
        <w:t xml:space="preserve">accompanying media shutdowns, civil society restrictions, and electoral</w:t>
      </w:r>
      <w:r>
        <w:t xml:space="preserve"> </w:t>
      </w:r>
      <w:r>
        <w:t xml:space="preserve">manipulation. The elevated nonresponse on democratic expectation items</w:t>
      </w:r>
      <w:r>
        <w:t xml:space="preserve"> </w:t>
      </w:r>
      <w:r>
        <w:t xml:space="preserve">in Wave 6—reaching 63 percent on the democratic future measure—means</w:t>
      </w:r>
      <w:r>
        <w:t xml:space="preserve"> </w:t>
      </w:r>
      <w:r>
        <w:t xml:space="preserve">the attitudinal estimates from 2021 are based on the subset of</w:t>
      </w:r>
      <w:r>
        <w:t xml:space="preserve"> </w:t>
      </w:r>
      <w:r>
        <w:t xml:space="preserve">respondents willing to venture an opinion. A logistic regression</w:t>
      </w:r>
      <w:r>
        <w:t xml:space="preserve"> </w:t>
      </w:r>
      <w:r>
        <w:t xml:space="preserve">predicting nonresponse on the Wave 6 democratic future item finds that</w:t>
      </w:r>
      <w:r>
        <w:t xml:space="preserve"> </w:t>
      </w:r>
      <w:r>
        <w:t xml:space="preserve">neither perceived freedom of speech (OR = 1.01,</w:t>
      </w:r>
      <w:r>
        <w:t xml:space="preserve"> </w:t>
      </w:r>
      <w:r>
        <w:rPr>
          <w:i/>
          <w:iCs/>
        </w:rPr>
        <w:t xml:space="preserve">p</w:t>
      </w:r>
      <w:r>
        <w:t xml:space="preserve"> </w:t>
      </w:r>
      <w:r>
        <w:t xml:space="preserve">= 0.95) nor</w:t>
      </w:r>
      <w:r>
        <w:t xml:space="preserve"> </w:t>
      </w:r>
      <w:r>
        <w:t xml:space="preserve">freedom to organize (OR = 0.90,</w:t>
      </w:r>
      <w:r>
        <w:t xml:space="preserve"> </w:t>
      </w:r>
      <w:r>
        <w:rPr>
          <w:i/>
          <w:iCs/>
        </w:rPr>
        <w:t xml:space="preserve">p</w:t>
      </w:r>
      <w:r>
        <w:t xml:space="preserve"> </w:t>
      </w:r>
      <w:r>
        <w:t xml:space="preserve">= 0.36) predicts missingness.</w:t>
      </w:r>
      <w:r>
        <w:t xml:space="preserve"> </w:t>
      </w:r>
      <w:r>
        <w:t xml:space="preserve">The silence is withdrawal, not suppression.</w:t>
      </w:r>
    </w:p>
    <w:p>
      <w:pPr>
        <w:pStyle w:val="BodyText"/>
      </w:pPr>
      <w:r>
        <w:t xml:space="preserve">The 2021 democratic future mean is, in the strictest sense, a survivor</w:t>
      </w:r>
      <w:r>
        <w:t xml:space="preserve"> </w:t>
      </w:r>
      <w:r>
        <w:t xml:space="preserve">statistic. Bounds analysis addresses the concern directly. Assigning all</w:t>
      </w:r>
      <w:r>
        <w:t xml:space="preserve"> </w:t>
      </w:r>
      <w:r>
        <w:t xml:space="preserve">nonrespondents the scale maximum—the most conservative possible</w:t>
      </w:r>
      <w:r>
        <w:t xml:space="preserve"> </w:t>
      </w:r>
      <w:r>
        <w:t xml:space="preserve">assumption—raises the W6 mean to 8.77, narrowing but not eliminating</w:t>
      </w:r>
      <w:r>
        <w:t xml:space="preserve"> </w:t>
      </w:r>
      <w:r>
        <w:t xml:space="preserve">the decline from the 2012 peak (-0.81). Assigning nonrespondents the</w:t>
      </w:r>
      <w:r>
        <w:t xml:space="preserve"> </w:t>
      </w:r>
      <w:r>
        <w:t xml:space="preserve">scale midpoint produces a W6 mean of 5.62 and a cumulative decline of</w:t>
      </w:r>
      <w:r>
        <w:t xml:space="preserve"> </w:t>
      </w:r>
      <w:r>
        <w:t xml:space="preserve">-3.96 from Wave 3—comparable to the observed respondent-only estimate.</w:t>
      </w:r>
      <w:r>
        <w:t xml:space="preserve"> </w:t>
      </w:r>
      <w:r>
        <w:t xml:space="preserve">Only assigning all nonrespondents a score of zero could mechanically</w:t>
      </w:r>
      <w:r>
        <w:t xml:space="preserve"> </w:t>
      </w:r>
      <w:r>
        <w:t xml:space="preserve">reverse the trajectory, which requires believing the missing respondents</w:t>
      </w:r>
      <w:r>
        <w:t xml:space="preserve"> </w:t>
      </w:r>
      <w:r>
        <w:t xml:space="preserve">are, without exception, deeply anti-democratic. The full bounds table is</w:t>
      </w:r>
      <w:r>
        <w:t xml:space="preserve"> </w:t>
      </w:r>
      <w:r>
        <w:t xml:space="preserve">reported in Appendix Table A9. The question is not whether a decline</w:t>
      </w:r>
      <w:r>
        <w:t xml:space="preserve"> </w:t>
      </w:r>
      <w:r>
        <w:t xml:space="preserve">occurred—under all plausible assumptions, it did—but how large. That</w:t>
      </w:r>
      <w:r>
        <w:t xml:space="preserve"> </w:t>
      </w:r>
      <w:r>
        <w:t xml:space="preserve">63 percent of respondents could not or would not venture an opinion</w:t>
      </w:r>
      <w:r>
        <w:t xml:space="preserve"> </w:t>
      </w:r>
      <w:r>
        <w:t xml:space="preserve">about their country’s democratic future is itself the condition</w:t>
      </w:r>
      <w:r>
        <w:t xml:space="preserve"> </w:t>
      </w:r>
      <w:r>
        <w:t xml:space="preserve">demobilization by subtraction predicts.</w:t>
      </w:r>
    </w:p>
    <w:p>
      <w:pPr>
        <w:pStyle w:val="BodyText"/>
      </w:pPr>
      <w:r>
        <w:t xml:space="preserve">The alternative mechanisms section has addressed the pandemic,</w:t>
      </w:r>
      <w:r>
        <w:t xml:space="preserve"> </w:t>
      </w:r>
      <w:r>
        <w:t xml:space="preserve">generational, and preference-falsification concerns; these factors may</w:t>
      </w:r>
      <w:r>
        <w:t xml:space="preserve"> </w:t>
      </w:r>
      <w:r>
        <w:t xml:space="preserve">amplify specific estimates but cannot account for the overall pattern.</w:t>
      </w:r>
      <w:r>
        <w:t xml:space="preserve"> </w:t>
      </w:r>
      <w:r>
        <w:t xml:space="preserve">Any single-country study faces inherent limits of generalizability: the</w:t>
      </w:r>
      <w:r>
        <w:t xml:space="preserve"> </w:t>
      </w:r>
      <w:r>
        <w:t xml:space="preserve">mechanisms identified here may reflect Cambodia’s particular</w:t>
      </w:r>
      <w:r>
        <w:t xml:space="preserve"> </w:t>
      </w:r>
      <w:r>
        <w:t xml:space="preserve">configuration of post-conflict politics, dominant-party rule, and</w:t>
      </w:r>
      <w:r>
        <w:t xml:space="preserve"> </w:t>
      </w:r>
      <w:r>
        <w:t xml:space="preserve">opposition dynamics. Whether subtraction operates similarly in other</w:t>
      </w:r>
      <w:r>
        <w:t xml:space="preserve"> </w:t>
      </w:r>
      <w:r>
        <w:t xml:space="preserve">dominant-party or post-competitive contexts is now, at least, a</w:t>
      </w:r>
      <w:r>
        <w:t xml:space="preserve"> </w:t>
      </w:r>
      <w:r>
        <w:t xml:space="preserve">researchable question.</w:t>
      </w:r>
    </w:p>
    <w:bookmarkStart w:id="51" w:name="ai-assistance-disclosure"/>
    <w:p>
      <w:pPr>
        <w:pStyle w:val="Heading2"/>
      </w:pPr>
      <w:r>
        <w:t xml:space="preserve">AI assistance disclosure</w:t>
      </w:r>
    </w:p>
    <w:p>
      <w:pPr>
        <w:pStyle w:val="FirstParagraph"/>
      </w:pPr>
      <w:r>
        <w:t xml:space="preserve">The author used Claude (Anthropic, version 4.5) to assist with R</w:t>
      </w:r>
      <w:r>
        <w:t xml:space="preserve"> </w:t>
      </w:r>
      <w:r>
        <w:t xml:space="preserve">programming, including data cleaning scripts, model specification, and</w:t>
      </w:r>
      <w:r>
        <w:t xml:space="preserve"> </w:t>
      </w:r>
      <w:r>
        <w:t xml:space="preserve">debugging of analysis code. All analytical decisions, theoretical</w:t>
      </w:r>
      <w:r>
        <w:t xml:space="preserve"> </w:t>
      </w:r>
      <w:r>
        <w:t xml:space="preserve">framing, and interpretation of results are the author’s own.</w:t>
      </w:r>
      <w:r>
        <w:t xml:space="preserve"> </w:t>
      </w:r>
      <w:r>
        <w:t xml:space="preserve">AI-generated code was reviewed, tested, and modified by the author</w:t>
      </w:r>
      <w:r>
        <w:t xml:space="preserve"> </w:t>
      </w:r>
      <w:r>
        <w:t xml:space="preserve">before inclusion in the analysis pipeline.</w:t>
      </w:r>
    </w:p>
    <w:bookmarkEnd w:id="51"/>
    <w:bookmarkEnd w:id="52"/>
    <w:bookmarkStart w:id="93" w:name="references"/>
    <w:p>
      <w:pPr>
        <w:pStyle w:val="Heading1"/>
      </w:pPr>
      <w:r>
        <w:t xml:space="preserve">References</w:t>
      </w:r>
    </w:p>
    <w:p>
      <w:pPr>
        <w:pStyle w:val="FirstParagraph"/>
      </w:pPr>
      <w:bookmarkStart w:id="53" w:name="refs"/>
      <w:bookmarkEnd w:id="53"/>
    </w:p>
    <w:p>
      <w:pPr>
        <w:pStyle w:val="BodyText"/>
      </w:pPr>
      <w:r>
        <w:t xml:space="preserve"> </w:t>
      </w:r>
      <w:r>
        <w:t xml:space="preserve"> </w:t>
      </w:r>
      <w:r>
        <w:t xml:space="preserve">Aassve, Arnstein, Guido Alfani, Francesco Gandolfi, and Marco Le Moglie.</w:t>
      </w:r>
      <w:r>
        <w:t xml:space="preserve"> </w:t>
      </w:r>
      <w:r>
        <w:t xml:space="preserve">2021.</w:t>
      </w:r>
      <w:r>
        <w:t xml:space="preserve"> </w:t>
      </w:r>
      <w:r>
        <w:t xml:space="preserve">“</w:t>
      </w:r>
      <w:r>
        <w:t xml:space="preserve">Epidemics and trust: The case of the Spanish Flu</w:t>
      </w:r>
      <w:r>
        <w:t xml:space="preserve">.”</w:t>
      </w:r>
      <w:r>
        <w:t xml:space="preserve"> </w:t>
      </w:r>
      <w:r>
        <w:rPr>
          <w:i/>
          <w:iCs/>
        </w:rPr>
        <w:t xml:space="preserve">Health Economics</w:t>
      </w:r>
      <w:r>
        <w:t xml:space="preserve"> </w:t>
      </w:r>
      <w:r>
        <w:t xml:space="preserve">30 (April): 840–57.</w:t>
      </w:r>
      <w:r>
        <w:t xml:space="preserve"> </w:t>
      </w:r>
      <w:hyperlink r:id="rId54">
        <w:r>
          <w:rPr>
            <w:rStyle w:val="Hyperlink"/>
          </w:rPr>
          <w:t xml:space="preserve">https://doi.org/10.1002/hec.4218</w:t>
        </w:r>
      </w:hyperlink>
      <w:r>
        <w:t xml:space="preserve">.</w:t>
      </w:r>
    </w:p>
    <w:p>
      <w:pPr>
        <w:pStyle w:val="BodyText"/>
      </w:pPr>
      <w:r>
        <w:t xml:space="preserve">Blake, David J H. 2019.</w:t>
      </w:r>
      <w:r>
        <w:t xml:space="preserve"> </w:t>
      </w:r>
      <w:r>
        <w:t xml:space="preserve">“</w:t>
      </w:r>
      <w:r>
        <w:t xml:space="preserve">Recalling hydraulic despotism: Hun Sen’s</w:t>
      </w:r>
      <w:r>
        <w:t xml:space="preserve"> </w:t>
      </w:r>
      <w:r>
        <w:t xml:space="preserve">Cambodia and the return of strict authoritarianism</w:t>
      </w:r>
      <w:r>
        <w:t xml:space="preserve">.”</w:t>
      </w:r>
      <w:r>
        <w:t xml:space="preserve"> </w:t>
      </w:r>
      <w:r>
        <w:rPr>
          <w:i/>
          <w:iCs/>
        </w:rPr>
        <w:t xml:space="preserve">Austrian</w:t>
      </w:r>
      <w:r>
        <w:rPr>
          <w:i/>
          <w:iCs/>
        </w:rPr>
        <w:t xml:space="preserve"> </w:t>
      </w:r>
      <w:r>
        <w:rPr>
          <w:i/>
          <w:iCs/>
        </w:rPr>
        <w:t xml:space="preserve">Journal of South-East Asian Studies</w:t>
      </w:r>
      <w:r>
        <w:t xml:space="preserve"> </w:t>
      </w:r>
      <w:r>
        <w:t xml:space="preserve">12 (June): 69–89.</w:t>
      </w:r>
      <w:r>
        <w:t xml:space="preserve"> </w:t>
      </w:r>
      <w:hyperlink r:id="rId55">
        <w:r>
          <w:rPr>
            <w:rStyle w:val="Hyperlink"/>
          </w:rPr>
          <w:t xml:space="preserve">https://doi.org/10.14764/10.ASEAS-0014</w:t>
        </w:r>
      </w:hyperlink>
      <w:r>
        <w:t xml:space="preserve">.</w:t>
      </w:r>
    </w:p>
    <w:p>
      <w:pPr>
        <w:pStyle w:val="BodyText"/>
      </w:pPr>
      <w:r>
        <w:t xml:space="preserve">Bratton, Michael, Robert Mattes, and E Gyimah-Boadi. 2004.</w:t>
      </w:r>
      <w:r>
        <w:t xml:space="preserve"> </w:t>
      </w:r>
      <w:r>
        <w:rPr>
          <w:i/>
          <w:iCs/>
        </w:rPr>
        <w:t xml:space="preserve">Public</w:t>
      </w:r>
      <w:r>
        <w:rPr>
          <w:i/>
          <w:iCs/>
        </w:rPr>
        <w:t xml:space="preserve"> </w:t>
      </w:r>
      <w:r>
        <w:rPr>
          <w:i/>
          <w:iCs/>
        </w:rPr>
        <w:t xml:space="preserve">opinion, democracy, and market reform in Africa</w:t>
      </w:r>
      <w:r>
        <w:t xml:space="preserve">. Cambridge University</w:t>
      </w:r>
      <w:r>
        <w:t xml:space="preserve"> </w:t>
      </w:r>
      <w:r>
        <w:t xml:space="preserve">Press.</w:t>
      </w:r>
      <w:r>
        <w:t xml:space="preserve"> </w:t>
      </w:r>
      <w:hyperlink r:id="rId56">
        <w:r>
          <w:rPr>
            <w:rStyle w:val="Hyperlink"/>
          </w:rPr>
          <w:t xml:space="preserve">https://doi.org/10.1017/cbo9780511617324</w:t>
        </w:r>
      </w:hyperlink>
      <w:r>
        <w:t xml:space="preserve">.</w:t>
      </w:r>
    </w:p>
    <w:p>
      <w:pPr>
        <w:pStyle w:val="BodyText"/>
      </w:pPr>
      <w:r>
        <w:t xml:space="preserve">Chheang, Vannarith. 2015.</w:t>
      </w:r>
      <w:r>
        <w:t xml:space="preserve"> </w:t>
      </w:r>
      <w:r>
        <w:t xml:space="preserve">“</w:t>
      </w:r>
      <w:r>
        <w:t xml:space="preserve">Cambodia in 2014 the beginning of concrete</w:t>
      </w:r>
      <w:r>
        <w:t xml:space="preserve"> </w:t>
      </w:r>
      <w:r>
        <w:t xml:space="preserve">reforms</w:t>
      </w:r>
      <w:r>
        <w:t xml:space="preserve">.”</w:t>
      </w:r>
      <w:r>
        <w:t xml:space="preserve"> </w:t>
      </w:r>
      <w:r>
        <w:t xml:space="preserve">In</w:t>
      </w:r>
      <w:r>
        <w:t xml:space="preserve"> </w:t>
      </w:r>
      <w:r>
        <w:rPr>
          <w:i/>
          <w:iCs/>
        </w:rPr>
        <w:t xml:space="preserve">Southeast Asian Affairs 2015</w:t>
      </w:r>
      <w:r>
        <w:t xml:space="preserve">, edited by Daljit</w:t>
      </w:r>
      <w:r>
        <w:t xml:space="preserve"> </w:t>
      </w:r>
      <w:r>
        <w:t xml:space="preserve">Singh. ISEAS Publishing.</w:t>
      </w:r>
      <w:r>
        <w:t xml:space="preserve"> </w:t>
      </w:r>
      <w:hyperlink r:id="rId57">
        <w:r>
          <w:rPr>
            <w:rStyle w:val="Hyperlink"/>
          </w:rPr>
          <w:t xml:space="preserve">https://doi.org/10.1355/9789814620598-008</w:t>
        </w:r>
      </w:hyperlink>
      <w:r>
        <w:t xml:space="preserve">.</w:t>
      </w:r>
    </w:p>
    <w:p>
      <w:pPr>
        <w:pStyle w:val="BodyText"/>
      </w:pPr>
      <w:r>
        <w:t xml:space="preserve">Chheang, Vannarith. 2021.</w:t>
      </w:r>
      <w:r>
        <w:t xml:space="preserve"> </w:t>
      </w:r>
      <w:r>
        <w:t xml:space="preserve">“</w:t>
      </w:r>
      <w:r>
        <w:t xml:space="preserve">Cambodia in 2020: Regime legitimacy</w:t>
      </w:r>
      <w:r>
        <w:t xml:space="preserve"> </w:t>
      </w:r>
      <w:r>
        <w:t xml:space="preserve">tested</w:t>
      </w:r>
      <w:r>
        <w:t xml:space="preserve">.”</w:t>
      </w:r>
      <w:r>
        <w:t xml:space="preserve"> </w:t>
      </w:r>
      <w:r>
        <w:rPr>
          <w:i/>
          <w:iCs/>
        </w:rPr>
        <w:t xml:space="preserve">Southeast Asian Affairs</w:t>
      </w:r>
      <w:r>
        <w:t xml:space="preserve"> </w:t>
      </w:r>
      <w:r>
        <w:t xml:space="preserve">SEAA21: 73–91.</w:t>
      </w:r>
      <w:r>
        <w:t xml:space="preserve"> </w:t>
      </w:r>
      <w:hyperlink r:id="rId58">
        <w:r>
          <w:rPr>
            <w:rStyle w:val="Hyperlink"/>
          </w:rPr>
          <w:t xml:space="preserve">https://doi.org/10.1355/aa21-1e</w:t>
        </w:r>
      </w:hyperlink>
      <w:r>
        <w:t xml:space="preserve">.</w:t>
      </w:r>
    </w:p>
    <w:p>
      <w:pPr>
        <w:pStyle w:val="BodyText"/>
      </w:pPr>
      <w:r>
        <w:t xml:space="preserve">Chu, Yun-Han, Larry Diamond, Andrew J Nathan, and Doh Chull Shin. 2008.</w:t>
      </w:r>
      <w:r>
        <w:t xml:space="preserve"> </w:t>
      </w:r>
      <w:r>
        <w:rPr>
          <w:i/>
          <w:iCs/>
        </w:rPr>
        <w:t xml:space="preserve">How East Asians view democracy</w:t>
      </w:r>
      <w:r>
        <w:t xml:space="preserve">. Columbia University Press.</w:t>
      </w:r>
      <w:r>
        <w:t xml:space="preserve"> </w:t>
      </w:r>
      <w:hyperlink r:id="rId59">
        <w:r>
          <w:rPr>
            <w:rStyle w:val="Hyperlink"/>
          </w:rPr>
          <w:t xml:space="preserve">https://doi.org/10.7312/chu-14534</w:t>
        </w:r>
      </w:hyperlink>
      <w:r>
        <w:t xml:space="preserve">.</w:t>
      </w:r>
    </w:p>
    <w:p>
      <w:pPr>
        <w:pStyle w:val="BodyText"/>
      </w:pPr>
      <w:r>
        <w:t xml:space="preserve">COMFREL (The Committee for Free and Fair Elections in Cambodia). 2013.</w:t>
      </w:r>
      <w:r>
        <w:t xml:space="preserve"> </w:t>
      </w:r>
      <w:r>
        <w:rPr>
          <w:i/>
          <w:iCs/>
        </w:rPr>
        <w:t xml:space="preserve">2013 National Assembly Elections Final Assessment and Report</w:t>
      </w:r>
      <w:r>
        <w:t xml:space="preserve">.</w:t>
      </w:r>
      <w:r>
        <w:t xml:space="preserve"> </w:t>
      </w:r>
      <w:r>
        <w:t xml:space="preserve">Research report.</w:t>
      </w:r>
    </w:p>
    <w:p>
      <w:pPr>
        <w:pStyle w:val="BodyText"/>
      </w:pPr>
      <w:r>
        <w:t xml:space="preserve">Davenport, Christian. 2007.</w:t>
      </w:r>
      <w:r>
        <w:t xml:space="preserve"> </w:t>
      </w:r>
      <w:r>
        <w:t xml:space="preserve">“</w:t>
      </w:r>
      <w:r>
        <w:t xml:space="preserve">State repression and political</w:t>
      </w:r>
      <w:r>
        <w:t xml:space="preserve"> </w:t>
      </w:r>
      <w:r>
        <w:t xml:space="preserve">order</w:t>
      </w:r>
      <w:r>
        <w:t xml:space="preserve">.”</w:t>
      </w:r>
      <w:r>
        <w:t xml:space="preserve"> </w:t>
      </w:r>
      <w:r>
        <w:rPr>
          <w:i/>
          <w:iCs/>
        </w:rPr>
        <w:t xml:space="preserve">Annual Review of Political Science (Palo Alto, Calif.)</w:t>
      </w:r>
      <w:r>
        <w:t xml:space="preserve"> </w:t>
      </w:r>
      <w:r>
        <w:t xml:space="preserve">10 (June): 1–23.</w:t>
      </w:r>
      <w:r>
        <w:t xml:space="preserve"> </w:t>
      </w:r>
      <w:hyperlink r:id="rId60">
        <w:r>
          <w:rPr>
            <w:rStyle w:val="Hyperlink"/>
          </w:rPr>
          <w:t xml:space="preserve">https://doi.org/10.1146/annurev.polisci.10.101405.143216</w:t>
        </w:r>
      </w:hyperlink>
      <w:r>
        <w:t xml:space="preserve">.</w:t>
      </w:r>
    </w:p>
    <w:p>
      <w:pPr>
        <w:pStyle w:val="BodyText"/>
      </w:pPr>
      <w:r>
        <w:t xml:space="preserve">Davenport, Christian, Hank Johnston, and Carol Mcclurg Mueller. 2005.</w:t>
      </w:r>
      <w:r>
        <w:t xml:space="preserve"> </w:t>
      </w:r>
      <w:r>
        <w:rPr>
          <w:i/>
          <w:iCs/>
        </w:rPr>
        <w:t xml:space="preserve">Repression And Mobilization</w:t>
      </w:r>
      <w:r>
        <w:t xml:space="preserve">. Edited by Carol Mueller. Social</w:t>
      </w:r>
      <w:r>
        <w:t xml:space="preserve"> </w:t>
      </w:r>
      <w:r>
        <w:t xml:space="preserve">Movements, Protest and Contention. University of Minnesota Press.</w:t>
      </w:r>
    </w:p>
    <w:p>
      <w:pPr>
        <w:pStyle w:val="BodyText"/>
      </w:pPr>
      <w:r>
        <w:t xml:space="preserve">Earl, Jennifer. 2011.</w:t>
      </w:r>
      <w:r>
        <w:t xml:space="preserve"> </w:t>
      </w:r>
      <w:r>
        <w:t xml:space="preserve">“</w:t>
      </w:r>
      <w:r>
        <w:t xml:space="preserve">Political repression: Iron fists, velvet</w:t>
      </w:r>
      <w:r>
        <w:t xml:space="preserve"> </w:t>
      </w:r>
      <w:r>
        <w:t xml:space="preserve">gloves, and diffuse control</w:t>
      </w:r>
      <w:r>
        <w:t xml:space="preserve">.”</w:t>
      </w:r>
      <w:r>
        <w:t xml:space="preserve"> </w:t>
      </w:r>
      <w:r>
        <w:rPr>
          <w:i/>
          <w:iCs/>
        </w:rPr>
        <w:t xml:space="preserve">Annual Review of Sociology</w:t>
      </w:r>
      <w:r>
        <w:t xml:space="preserve"> </w:t>
      </w:r>
      <w:r>
        <w:t xml:space="preserve">37</w:t>
      </w:r>
      <w:r>
        <w:t xml:space="preserve"> </w:t>
      </w:r>
      <w:r>
        <w:t xml:space="preserve">(August): 261–84.</w:t>
      </w:r>
      <w:r>
        <w:t xml:space="preserve"> </w:t>
      </w:r>
      <w:hyperlink r:id="rId61">
        <w:r>
          <w:rPr>
            <w:rStyle w:val="Hyperlink"/>
          </w:rPr>
          <w:t xml:space="preserve">https://doi.org/10.1146/annurev.soc.012809.102609</w:t>
        </w:r>
      </w:hyperlink>
      <w:r>
        <w:t xml:space="preserve">.</w:t>
      </w:r>
    </w:p>
    <w:p>
      <w:pPr>
        <w:pStyle w:val="BodyText"/>
      </w:pPr>
      <w:r>
        <w:t xml:space="preserve">Elster, Jon. 2016.</w:t>
      </w:r>
      <w:r>
        <w:t xml:space="preserve"> </w:t>
      </w:r>
      <w:r>
        <w:rPr>
          <w:i/>
          <w:iCs/>
        </w:rPr>
        <w:t xml:space="preserve">Sour grapes: Studies in the subversion of</w:t>
      </w:r>
      <w:r>
        <w:rPr>
          <w:i/>
          <w:iCs/>
        </w:rPr>
        <w:t xml:space="preserve"> </w:t>
      </w:r>
      <w:r>
        <w:rPr>
          <w:i/>
          <w:iCs/>
        </w:rPr>
        <w:t xml:space="preserve">rationality</w:t>
      </w:r>
      <w:r>
        <w:t xml:space="preserve">. 2nd ed. Cambridge University Press.</w:t>
      </w:r>
      <w:r>
        <w:t xml:space="preserve"> </w:t>
      </w:r>
      <w:hyperlink r:id="rId62">
        <w:r>
          <w:rPr>
            <w:rStyle w:val="Hyperlink"/>
          </w:rPr>
          <w:t xml:space="preserve">https://doi.org/10.1017/cbo9781316494172</w:t>
        </w:r>
      </w:hyperlink>
      <w:r>
        <w:t xml:space="preserve">.</w:t>
      </w:r>
    </w:p>
    <w:p>
      <w:pPr>
        <w:pStyle w:val="BodyText"/>
      </w:pPr>
      <w:r>
        <w:t xml:space="preserve">Frye, Timothy, Scott Gehlbach, Kyle L Marquardt, and Ora John Reuter.</w:t>
      </w:r>
      <w:r>
        <w:t xml:space="preserve"> </w:t>
      </w:r>
      <w:r>
        <w:t xml:space="preserve">2017.</w:t>
      </w:r>
      <w:r>
        <w:t xml:space="preserve"> </w:t>
      </w:r>
      <w:r>
        <w:t xml:space="preserve">“</w:t>
      </w:r>
      <w:r>
        <w:t xml:space="preserve">Is Putin’s popularity real?</w:t>
      </w:r>
      <w:r>
        <w:t xml:space="preserve">”</w:t>
      </w:r>
      <w:r>
        <w:t xml:space="preserve"> </w:t>
      </w:r>
      <w:r>
        <w:rPr>
          <w:i/>
          <w:iCs/>
        </w:rPr>
        <w:t xml:space="preserve">Post-Soviet Affairs</w:t>
      </w:r>
      <w:r>
        <w:t xml:space="preserve"> </w:t>
      </w:r>
      <w:r>
        <w:t xml:space="preserve">33</w:t>
      </w:r>
      <w:r>
        <w:t xml:space="preserve"> </w:t>
      </w:r>
      <w:r>
        <w:t xml:space="preserve">(January): 1–15.</w:t>
      </w:r>
      <w:r>
        <w:t xml:space="preserve"> </w:t>
      </w:r>
      <w:hyperlink r:id="rId63">
        <w:r>
          <w:rPr>
            <w:rStyle w:val="Hyperlink"/>
          </w:rPr>
          <w:t xml:space="preserve">https://doi.org/10.1080/1060586x.2016.1144334</w:t>
        </w:r>
      </w:hyperlink>
      <w:r>
        <w:t xml:space="preserve">.</w:t>
      </w:r>
    </w:p>
    <w:p>
      <w:pPr>
        <w:pStyle w:val="BodyText"/>
      </w:pPr>
      <w:r>
        <w:t xml:space="preserve">Gandhi, Jennifer. 2008.</w:t>
      </w:r>
      <w:r>
        <w:t xml:space="preserve"> </w:t>
      </w:r>
      <w:r>
        <w:rPr>
          <w:i/>
          <w:iCs/>
        </w:rPr>
        <w:t xml:space="preserve">Political institutions under</w:t>
      </w:r>
      <w:r>
        <w:rPr>
          <w:i/>
          <w:iCs/>
        </w:rPr>
        <w:t xml:space="preserve"> </w:t>
      </w:r>
      <w:r>
        <w:rPr>
          <w:i/>
          <w:iCs/>
        </w:rPr>
        <w:t xml:space="preserve">dictatorship</w:t>
      </w:r>
      <w:r>
        <w:t xml:space="preserve">. Cambridge University Press.</w:t>
      </w:r>
      <w:r>
        <w:t xml:space="preserve"> </w:t>
      </w:r>
      <w:hyperlink r:id="rId64">
        <w:r>
          <w:rPr>
            <w:rStyle w:val="Hyperlink"/>
          </w:rPr>
          <w:t xml:space="preserve">https://doi.org/10.1017/cbo9780511510090</w:t>
        </w:r>
      </w:hyperlink>
      <w:r>
        <w:t xml:space="preserve">.</w:t>
      </w:r>
    </w:p>
    <w:p>
      <w:pPr>
        <w:pStyle w:val="BodyText"/>
      </w:pPr>
      <w:r>
        <w:t xml:space="preserve">Gaventa, John. 1980.</w:t>
      </w:r>
      <w:r>
        <w:t xml:space="preserve"> </w:t>
      </w:r>
      <w:r>
        <w:rPr>
          <w:i/>
          <w:iCs/>
        </w:rPr>
        <w:t xml:space="preserve">Power and powerlessness: Quiescence and</w:t>
      </w:r>
      <w:r>
        <w:rPr>
          <w:i/>
          <w:iCs/>
        </w:rPr>
        <w:t xml:space="preserve"> </w:t>
      </w:r>
      <w:r>
        <w:rPr>
          <w:i/>
          <w:iCs/>
        </w:rPr>
        <w:t xml:space="preserve">rebellion in an Appalachian valley</w:t>
      </w:r>
      <w:r>
        <w:t xml:space="preserve">. Oxford University Press.</w:t>
      </w:r>
    </w:p>
    <w:p>
      <w:pPr>
        <w:pStyle w:val="BodyText"/>
      </w:pPr>
      <w:r>
        <w:t xml:space="preserve">Gerschewski, Johannes. 2013.</w:t>
      </w:r>
      <w:r>
        <w:t xml:space="preserve"> </w:t>
      </w:r>
      <w:r>
        <w:t xml:space="preserve">“</w:t>
      </w:r>
      <w:r>
        <w:t xml:space="preserve">The three pillars of stability:</w:t>
      </w:r>
      <w:r>
        <w:t xml:space="preserve"> </w:t>
      </w:r>
      <w:r>
        <w:t xml:space="preserve">legitimation, repression, and co-optation in autocratic regimes</w:t>
      </w:r>
      <w:r>
        <w:t xml:space="preserve">.”</w:t>
      </w:r>
      <w:r>
        <w:t xml:space="preserve"> </w:t>
      </w:r>
      <w:r>
        <w:rPr>
          <w:i/>
          <w:iCs/>
        </w:rPr>
        <w:t xml:space="preserve">Democratization</w:t>
      </w:r>
      <w:r>
        <w:t xml:space="preserve"> </w:t>
      </w:r>
      <w:r>
        <w:t xml:space="preserve">20 (January): 13–38.</w:t>
      </w:r>
      <w:r>
        <w:t xml:space="preserve"> </w:t>
      </w:r>
      <w:hyperlink r:id="rId65">
        <w:r>
          <w:rPr>
            <w:rStyle w:val="Hyperlink"/>
          </w:rPr>
          <w:t xml:space="preserve">https://doi.org/10.1080/13510347.2013.738860</w:t>
        </w:r>
      </w:hyperlink>
      <w:r>
        <w:t xml:space="preserve">.</w:t>
      </w:r>
    </w:p>
    <w:p>
      <w:pPr>
        <w:pStyle w:val="BodyText"/>
      </w:pPr>
      <w:r>
        <w:t xml:space="preserve">Hu, Fu, Yun-Han Chu, and Asian Barometer Survey. 2023.</w:t>
      </w:r>
      <w:r>
        <w:t xml:space="preserve"> </w:t>
      </w:r>
      <w:r>
        <w:rPr>
          <w:i/>
          <w:iCs/>
        </w:rPr>
        <w:t xml:space="preserve">Asian</w:t>
      </w:r>
      <w:r>
        <w:rPr>
          <w:i/>
          <w:iCs/>
        </w:rPr>
        <w:t xml:space="preserve"> </w:t>
      </w:r>
      <w:r>
        <w:rPr>
          <w:i/>
          <w:iCs/>
        </w:rPr>
        <w:t xml:space="preserve">Barometer Survey, Waves 2-4, 6</w:t>
      </w:r>
      <w:r>
        <w:t xml:space="preserve">.</w:t>
      </w:r>
    </w:p>
    <w:p>
      <w:pPr>
        <w:pStyle w:val="BodyText"/>
      </w:pPr>
      <w:r>
        <w:t xml:space="preserve">Hughes, Caroline. 2010.</w:t>
      </w:r>
      <w:r>
        <w:t xml:space="preserve"> </w:t>
      </w:r>
      <w:r>
        <w:t xml:space="preserve">“</w:t>
      </w:r>
      <w:r>
        <w:t xml:space="preserve">CAMBODIA IN 2009: The party´s not over</w:t>
      </w:r>
      <w:r>
        <w:t xml:space="preserve"> </w:t>
      </w:r>
      <w:r>
        <w:t xml:space="preserve">yet</w:t>
      </w:r>
      <w:r>
        <w:t xml:space="preserve">.”</w:t>
      </w:r>
      <w:r>
        <w:t xml:space="preserve"> </w:t>
      </w:r>
      <w:r>
        <w:rPr>
          <w:i/>
          <w:iCs/>
        </w:rPr>
        <w:t xml:space="preserve">Southeast Asian Affairs</w:t>
      </w:r>
      <w:r>
        <w:t xml:space="preserve"> </w:t>
      </w:r>
      <w:r>
        <w:t xml:space="preserve">2010 (March): 85–99.</w:t>
      </w:r>
      <w:r>
        <w:t xml:space="preserve"> </w:t>
      </w:r>
      <w:hyperlink r:id="rId66">
        <w:r>
          <w:rPr>
            <w:rStyle w:val="Hyperlink"/>
          </w:rPr>
          <w:t xml:space="preserve">https://doi.org/10.1355/seaa10f</w:t>
        </w:r>
      </w:hyperlink>
      <w:r>
        <w:t xml:space="preserve">.</w:t>
      </w:r>
    </w:p>
    <w:p>
      <w:pPr>
        <w:pStyle w:val="BodyText"/>
      </w:pPr>
      <w:r>
        <w:t xml:space="preserve">Inglehart, Ronald. 1997.</w:t>
      </w:r>
      <w:r>
        <w:t xml:space="preserve"> </w:t>
      </w:r>
      <w:r>
        <w:rPr>
          <w:i/>
          <w:iCs/>
        </w:rPr>
        <w:t xml:space="preserve">Modernization and postmodernization:</w:t>
      </w:r>
      <w:r>
        <w:rPr>
          <w:i/>
          <w:iCs/>
        </w:rPr>
        <w:t xml:space="preserve"> </w:t>
      </w:r>
      <w:r>
        <w:rPr>
          <w:i/>
          <w:iCs/>
        </w:rPr>
        <w:t xml:space="preserve">Cultural, economic, and political change in 43 societies</w:t>
      </w:r>
      <w:r>
        <w:t xml:space="preserve">. Princeton</w:t>
      </w:r>
      <w:r>
        <w:t xml:space="preserve"> </w:t>
      </w:r>
      <w:r>
        <w:t xml:space="preserve">University Press.</w:t>
      </w:r>
      <w:r>
        <w:t xml:space="preserve"> </w:t>
      </w:r>
      <w:hyperlink r:id="rId67">
        <w:r>
          <w:rPr>
            <w:rStyle w:val="Hyperlink"/>
          </w:rPr>
          <w:t xml:space="preserve">https://doi.org/10.1515/9780691214429</w:t>
        </w:r>
      </w:hyperlink>
      <w:r>
        <w:t xml:space="preserve">.</w:t>
      </w:r>
    </w:p>
    <w:p>
      <w:pPr>
        <w:pStyle w:val="BodyText"/>
      </w:pPr>
      <w:r>
        <w:t xml:space="preserve">Jones, Calvert W, and Michael Cowan. 2025.</w:t>
      </w:r>
      <w:r>
        <w:t xml:space="preserve"> </w:t>
      </w:r>
      <w:r>
        <w:t xml:space="preserve">“</w:t>
      </w:r>
      <w:r>
        <w:t xml:space="preserve">Pro-democratic, but not</w:t>
      </w:r>
      <w:r>
        <w:t xml:space="preserve"> </w:t>
      </w:r>
      <w:r>
        <w:t xml:space="preserve">anti-authoritarian? Understanding ambivalent attitudes toward</w:t>
      </w:r>
      <w:r>
        <w:t xml:space="preserve"> </w:t>
      </w:r>
      <w:r>
        <w:t xml:space="preserve">regimes</w:t>
      </w:r>
      <w:r>
        <w:t xml:space="preserve">.”</w:t>
      </w:r>
      <w:r>
        <w:t xml:space="preserve"> </w:t>
      </w:r>
      <w:r>
        <w:rPr>
          <w:i/>
          <w:iCs/>
        </w:rPr>
        <w:t xml:space="preserve">Comparative Political Studies</w:t>
      </w:r>
      <w:r>
        <w:t xml:space="preserve">, ahead of print,</w:t>
      </w:r>
      <w:r>
        <w:t xml:space="preserve"> </w:t>
      </w:r>
      <w:r>
        <w:t xml:space="preserve">August 13.</w:t>
      </w:r>
      <w:r>
        <w:t xml:space="preserve"> </w:t>
      </w:r>
      <w:hyperlink r:id="rId68">
        <w:r>
          <w:rPr>
            <w:rStyle w:val="Hyperlink"/>
          </w:rPr>
          <w:t xml:space="preserve">https://doi.org/10.1177/00104140251369320</w:t>
        </w:r>
      </w:hyperlink>
      <w:r>
        <w:t xml:space="preserve">.</w:t>
      </w:r>
    </w:p>
    <w:p>
      <w:pPr>
        <w:pStyle w:val="BodyText"/>
      </w:pPr>
      <w:r>
        <w:t xml:space="preserve">Levitsky, Steven, and Lucan A Way. 2010.</w:t>
      </w:r>
      <w:r>
        <w:t xml:space="preserve"> </w:t>
      </w:r>
      <w:r>
        <w:rPr>
          <w:i/>
          <w:iCs/>
        </w:rPr>
        <w:t xml:space="preserve">Competitive</w:t>
      </w:r>
      <w:r>
        <w:rPr>
          <w:i/>
          <w:iCs/>
        </w:rPr>
        <w:t xml:space="preserve"> </w:t>
      </w:r>
      <w:r>
        <w:rPr>
          <w:i/>
          <w:iCs/>
        </w:rPr>
        <w:t xml:space="preserve">authoritarianism: Hybrid regimes after the cold war</w:t>
      </w:r>
      <w:r>
        <w:t xml:space="preserve">. Cambridge</w:t>
      </w:r>
      <w:r>
        <w:t xml:space="preserve"> </w:t>
      </w:r>
      <w:r>
        <w:t xml:space="preserve">University Press.</w:t>
      </w:r>
      <w:r>
        <w:t xml:space="preserve"> </w:t>
      </w:r>
      <w:hyperlink r:id="rId69">
        <w:r>
          <w:rPr>
            <w:rStyle w:val="Hyperlink"/>
          </w:rPr>
          <w:t xml:space="preserve">https://doi.org/10.1017/cbo9780511781353</w:t>
        </w:r>
      </w:hyperlink>
      <w:r>
        <w:t xml:space="preserve">.</w:t>
      </w:r>
    </w:p>
    <w:p>
      <w:pPr>
        <w:pStyle w:val="BodyText"/>
      </w:pPr>
      <w:r>
        <w:t xml:space="preserve">Linde, Jonas, and Joakim Ekman. 2003.</w:t>
      </w:r>
      <w:r>
        <w:t xml:space="preserve"> </w:t>
      </w:r>
      <w:r>
        <w:t xml:space="preserve">“</w:t>
      </w:r>
      <w:r>
        <w:t xml:space="preserve">Satisfaction with democracy: A</w:t>
      </w:r>
      <w:r>
        <w:t xml:space="preserve"> </w:t>
      </w:r>
      <w:r>
        <w:t xml:space="preserve">note on a frequently used indicator in comparative politics</w:t>
      </w:r>
      <w:r>
        <w:t xml:space="preserve">.”</w:t>
      </w:r>
      <w:r>
        <w:t xml:space="preserve"> </w:t>
      </w:r>
      <w:r>
        <w:rPr>
          <w:i/>
          <w:iCs/>
        </w:rPr>
        <w:t xml:space="preserve">European Journal of Political Research</w:t>
      </w:r>
      <w:r>
        <w:t xml:space="preserve"> </w:t>
      </w:r>
      <w:r>
        <w:t xml:space="preserve">42 (May): 391–408.</w:t>
      </w:r>
      <w:r>
        <w:t xml:space="preserve"> </w:t>
      </w:r>
      <w:hyperlink r:id="rId70">
        <w:r>
          <w:rPr>
            <w:rStyle w:val="Hyperlink"/>
          </w:rPr>
          <w:t xml:space="preserve">https://doi.org/10.1111/1475-6765.00089</w:t>
        </w:r>
      </w:hyperlink>
      <w:r>
        <w:t xml:space="preserve">.</w:t>
      </w:r>
    </w:p>
    <w:p>
      <w:pPr>
        <w:pStyle w:val="BodyText"/>
      </w:pPr>
      <w:r>
        <w:t xml:space="preserve">Lukes, Steven. 2005.</w:t>
      </w:r>
      <w:r>
        <w:t xml:space="preserve"> </w:t>
      </w:r>
      <w:r>
        <w:rPr>
          <w:i/>
          <w:iCs/>
        </w:rPr>
        <w:t xml:space="preserve">Power: A Radical View</w:t>
      </w:r>
      <w:r>
        <w:t xml:space="preserve">. 2nd ed. Palgrave</w:t>
      </w:r>
      <w:r>
        <w:t xml:space="preserve"> </w:t>
      </w:r>
      <w:r>
        <w:t xml:space="preserve">MacMillan.</w:t>
      </w:r>
      <w:r>
        <w:t xml:space="preserve"> </w:t>
      </w:r>
      <w:hyperlink r:id="rId71">
        <w:r>
          <w:rPr>
            <w:rStyle w:val="Hyperlink"/>
          </w:rPr>
          <w:t xml:space="preserve">https://doi.org/10.1007/978-0-230-80257-5_2</w:t>
        </w:r>
      </w:hyperlink>
      <w:r>
        <w:t xml:space="preserve">.</w:t>
      </w:r>
    </w:p>
    <w:p>
      <w:pPr>
        <w:pStyle w:val="BodyText"/>
      </w:pPr>
      <w:r>
        <w:t xml:space="preserve">Magaloni, Beatriz, and Ruth Kricheli. 2010.</w:t>
      </w:r>
      <w:r>
        <w:t xml:space="preserve"> </w:t>
      </w:r>
      <w:r>
        <w:t xml:space="preserve">“</w:t>
      </w:r>
      <w:r>
        <w:t xml:space="preserve">Political order and</w:t>
      </w:r>
      <w:r>
        <w:t xml:space="preserve"> </w:t>
      </w:r>
      <w:r>
        <w:t xml:space="preserve">one-party rule</w:t>
      </w:r>
      <w:r>
        <w:t xml:space="preserve">.”</w:t>
      </w:r>
      <w:r>
        <w:t xml:space="preserve"> </w:t>
      </w:r>
      <w:r>
        <w:rPr>
          <w:i/>
          <w:iCs/>
        </w:rPr>
        <w:t xml:space="preserve">Annual Review of Political Science (Palo Alto,</w:t>
      </w:r>
      <w:r>
        <w:rPr>
          <w:i/>
          <w:iCs/>
        </w:rPr>
        <w:t xml:space="preserve"> </w:t>
      </w:r>
      <w:r>
        <w:rPr>
          <w:i/>
          <w:iCs/>
        </w:rPr>
        <w:t xml:space="preserve">Calif.)</w:t>
      </w:r>
      <w:r>
        <w:t xml:space="preserve"> </w:t>
      </w:r>
      <w:r>
        <w:t xml:space="preserve">13 (May): 123–43.</w:t>
      </w:r>
      <w:r>
        <w:t xml:space="preserve"> </w:t>
      </w:r>
      <w:hyperlink r:id="rId72">
        <w:r>
          <w:rPr>
            <w:rStyle w:val="Hyperlink"/>
          </w:rPr>
          <w:t xml:space="preserve">https://doi.org/10.1146/annurev.polisci.031908.220529</w:t>
        </w:r>
      </w:hyperlink>
      <w:r>
        <w:t xml:space="preserve">.</w:t>
      </w:r>
    </w:p>
    <w:p>
      <w:pPr>
        <w:pStyle w:val="BodyText"/>
      </w:pPr>
      <w:r>
        <w:t xml:space="preserve">Mattes, Robert, and Michael Bratton. 2007.</w:t>
      </w:r>
      <w:r>
        <w:t xml:space="preserve"> </w:t>
      </w:r>
      <w:r>
        <w:t xml:space="preserve">“</w:t>
      </w:r>
      <w:r>
        <w:t xml:space="preserve">Learning about</w:t>
      </w:r>
      <w:r>
        <w:t xml:space="preserve"> </w:t>
      </w:r>
      <w:r>
        <w:t xml:space="preserve">democracy</w:t>
      </w:r>
      <w:r>
        <w:t xml:space="preserve"> </w:t>
      </w:r>
      <w:r>
        <w:t xml:space="preserve">in</w:t>
      </w:r>
      <w:r>
        <w:t xml:space="preserve"> </w:t>
      </w:r>
      <w:r>
        <w:t xml:space="preserve">Africa</w:t>
      </w:r>
      <w:r>
        <w:t xml:space="preserve">: Awareness,</w:t>
      </w:r>
      <w:r>
        <w:t xml:space="preserve"> </w:t>
      </w:r>
      <w:r>
        <w:t xml:space="preserve">performance</w:t>
      </w:r>
      <w:r>
        <w:t xml:space="preserve">, and</w:t>
      </w:r>
      <w:r>
        <w:t xml:space="preserve"> </w:t>
      </w:r>
      <w:r>
        <w:t xml:space="preserve">experience</w:t>
      </w:r>
      <w:r>
        <w:t xml:space="preserve">.”</w:t>
      </w:r>
      <w:r>
        <w:t xml:space="preserve"> </w:t>
      </w:r>
      <w:r>
        <w:rPr>
          <w:i/>
          <w:iCs/>
        </w:rPr>
        <w:t xml:space="preserve">American Journal of Political Science</w:t>
      </w:r>
      <w:r>
        <w:t xml:space="preserve"> </w:t>
      </w:r>
      <w:r>
        <w:t xml:space="preserve">51 (January): 192–217.</w:t>
      </w:r>
      <w:r>
        <w:t xml:space="preserve"> </w:t>
      </w:r>
      <w:hyperlink r:id="rId73">
        <w:r>
          <w:rPr>
            <w:rStyle w:val="Hyperlink"/>
          </w:rPr>
          <w:t xml:space="preserve">https://doi.org/10.1111/j.1540-5907.2007.00245.x</w:t>
        </w:r>
      </w:hyperlink>
      <w:r>
        <w:t xml:space="preserve">.</w:t>
      </w:r>
    </w:p>
    <w:p>
      <w:pPr>
        <w:pStyle w:val="BodyText"/>
      </w:pPr>
      <w:r>
        <w:t xml:space="preserve">McCargo, Duncan. 2018.</w:t>
      </w:r>
      <w:r>
        <w:t xml:space="preserve"> </w:t>
      </w:r>
      <w:r>
        <w:t xml:space="preserve">“</w:t>
      </w:r>
      <w:r>
        <w:t xml:space="preserve">The trouble with turnout at Cambodia’s</w:t>
      </w:r>
      <w:r>
        <w:t xml:space="preserve"> </w:t>
      </w:r>
      <w:r>
        <w:t xml:space="preserve">election</w:t>
      </w:r>
      <w:r>
        <w:t xml:space="preserve">.”</w:t>
      </w:r>
      <w:r>
        <w:t xml:space="preserve"> </w:t>
      </w:r>
      <w:r>
        <w:t xml:space="preserve">July 31.</w:t>
      </w:r>
    </w:p>
    <w:p>
      <w:pPr>
        <w:pStyle w:val="BodyText"/>
      </w:pPr>
      <w:r>
        <w:t xml:space="preserve">Morgenbesser, Lee. 2016.</w:t>
      </w:r>
      <w:r>
        <w:t xml:space="preserve"> </w:t>
      </w:r>
      <w:r>
        <w:rPr>
          <w:i/>
          <w:iCs/>
        </w:rPr>
        <w:t xml:space="preserve">Behind the facade: Elections under</w:t>
      </w:r>
      <w:r>
        <w:rPr>
          <w:i/>
          <w:iCs/>
        </w:rPr>
        <w:t xml:space="preserve"> </w:t>
      </w:r>
      <w:r>
        <w:rPr>
          <w:i/>
          <w:iCs/>
        </w:rPr>
        <w:t xml:space="preserve">authoritarianism in southeast Asia</w:t>
      </w:r>
      <w:r>
        <w:t xml:space="preserve">. State University of New York</w:t>
      </w:r>
      <w:r>
        <w:t xml:space="preserve"> </w:t>
      </w:r>
      <w:r>
        <w:t xml:space="preserve">Press.</w:t>
      </w:r>
      <w:r>
        <w:t xml:space="preserve"> </w:t>
      </w:r>
      <w:hyperlink r:id="rId74">
        <w:r>
          <w:rPr>
            <w:rStyle w:val="Hyperlink"/>
          </w:rPr>
          <w:t xml:space="preserve">https://doi.org/10.2307/jj.18254974</w:t>
        </w:r>
      </w:hyperlink>
      <w:r>
        <w:t xml:space="preserve">.</w:t>
      </w:r>
    </w:p>
    <w:p>
      <w:pPr>
        <w:pStyle w:val="BodyText"/>
      </w:pPr>
      <w:r>
        <w:t xml:space="preserve">Morgenbesser, Lee. 2017.</w:t>
      </w:r>
      <w:r>
        <w:t xml:space="preserve"> </w:t>
      </w:r>
      <w:r>
        <w:t xml:space="preserve">“</w:t>
      </w:r>
      <w:r>
        <w:t xml:space="preserve">The failure of democratisation by elections</w:t>
      </w:r>
      <w:r>
        <w:t xml:space="preserve"> </w:t>
      </w:r>
      <w:r>
        <w:t xml:space="preserve">in Cambodia</w:t>
      </w:r>
      <w:r>
        <w:t xml:space="preserve">.”</w:t>
      </w:r>
      <w:r>
        <w:t xml:space="preserve"> </w:t>
      </w:r>
      <w:r>
        <w:rPr>
          <w:i/>
          <w:iCs/>
        </w:rPr>
        <w:t xml:space="preserve">Contemporary Politics</w:t>
      </w:r>
      <w:r>
        <w:t xml:space="preserve"> </w:t>
      </w:r>
      <w:r>
        <w:t xml:space="preserve">23 (April): 135–55.</w:t>
      </w:r>
      <w:r>
        <w:t xml:space="preserve"> </w:t>
      </w:r>
      <w:hyperlink r:id="rId75">
        <w:r>
          <w:rPr>
            <w:rStyle w:val="Hyperlink"/>
          </w:rPr>
          <w:t xml:space="preserve">https://doi.org/10.1080/13569775.2016.1230317</w:t>
        </w:r>
      </w:hyperlink>
      <w:r>
        <w:t xml:space="preserve">.</w:t>
      </w:r>
    </w:p>
    <w:p>
      <w:pPr>
        <w:pStyle w:val="BodyText"/>
      </w:pPr>
      <w:r>
        <w:t xml:space="preserve">Morgenbesser, Lee, and Thomas B Pepinsky. 2019.</w:t>
      </w:r>
      <w:r>
        <w:t xml:space="preserve"> </w:t>
      </w:r>
      <w:r>
        <w:t xml:space="preserve">“</w:t>
      </w:r>
      <w:r>
        <w:t xml:space="preserve">Elections as causes</w:t>
      </w:r>
      <w:r>
        <w:t xml:space="preserve"> </w:t>
      </w:r>
      <w:r>
        <w:t xml:space="preserve">of democratization: Southeast Asia in comparative perspective</w:t>
      </w:r>
      <w:r>
        <w:t xml:space="preserve">.”</w:t>
      </w:r>
      <w:r>
        <w:t xml:space="preserve"> </w:t>
      </w:r>
      <w:r>
        <w:rPr>
          <w:i/>
          <w:iCs/>
        </w:rPr>
        <w:t xml:space="preserve">Comparative Political Studies</w:t>
      </w:r>
      <w:r>
        <w:t xml:space="preserve"> </w:t>
      </w:r>
      <w:r>
        <w:t xml:space="preserve">52 (January): 3–35.</w:t>
      </w:r>
      <w:r>
        <w:t xml:space="preserve"> </w:t>
      </w:r>
      <w:hyperlink r:id="rId76">
        <w:r>
          <w:rPr>
            <w:rStyle w:val="Hyperlink"/>
          </w:rPr>
          <w:t xml:space="preserve">https://doi.org/10.1177/0010414018758763</w:t>
        </w:r>
      </w:hyperlink>
      <w:r>
        <w:t xml:space="preserve">.</w:t>
      </w:r>
    </w:p>
    <w:p>
      <w:pPr>
        <w:pStyle w:val="BodyText"/>
      </w:pPr>
      <w:r>
        <w:t xml:space="preserve">Norén-Nilsson, Astrid. 2015.</w:t>
      </w:r>
      <w:r>
        <w:t xml:space="preserve"> </w:t>
      </w:r>
      <w:r>
        <w:t xml:space="preserve">“</w:t>
      </w:r>
      <w:r>
        <w:t xml:space="preserve">Cambodia at a crossroads. The</w:t>
      </w:r>
      <w:r>
        <w:t xml:space="preserve"> </w:t>
      </w:r>
      <w:r>
        <w:t xml:space="preserve">narratives of Cambodia national rescue Party supporters after the 2013</w:t>
      </w:r>
      <w:r>
        <w:t xml:space="preserve"> </w:t>
      </w:r>
      <w:r>
        <w:t xml:space="preserve">elections</w:t>
      </w:r>
      <w:r>
        <w:t xml:space="preserve">.”</w:t>
      </w:r>
      <w:r>
        <w:t xml:space="preserve"> </w:t>
      </w:r>
      <w:r>
        <w:rPr>
          <w:i/>
          <w:iCs/>
        </w:rPr>
        <w:t xml:space="preserve">Internationales Asienforum</w:t>
      </w:r>
      <w:r>
        <w:t xml:space="preserve"> </w:t>
      </w:r>
      <w:r>
        <w:t xml:space="preserve">46: 261–78.</w:t>
      </w:r>
      <w:r>
        <w:t xml:space="preserve"> </w:t>
      </w:r>
      <w:hyperlink r:id="rId77">
        <w:r>
          <w:rPr>
            <w:rStyle w:val="Hyperlink"/>
          </w:rPr>
          <w:t xml:space="preserve">https://doi.org/10.11588/IAF.2015.46.3726</w:t>
        </w:r>
      </w:hyperlink>
      <w:r>
        <w:t xml:space="preserve">.</w:t>
      </w:r>
    </w:p>
    <w:p>
      <w:pPr>
        <w:pStyle w:val="BodyText"/>
      </w:pPr>
      <w:r>
        <w:t xml:space="preserve">Norén-Nilsson, Astrid. 2019.</w:t>
      </w:r>
      <w:r>
        <w:t xml:space="preserve"> </w:t>
      </w:r>
      <w:r>
        <w:t xml:space="preserve">“</w:t>
      </w:r>
      <w:r>
        <w:t xml:space="preserve">Kem Ley and Cambodian citizenship</w:t>
      </w:r>
      <w:r>
        <w:t xml:space="preserve"> </w:t>
      </w:r>
      <w:r>
        <w:t xml:space="preserve">today: Grass-roots mobilisation, electoral politics and individuals</w:t>
      </w:r>
      <w:r>
        <w:t xml:space="preserve">.”</w:t>
      </w:r>
      <w:r>
        <w:t xml:space="preserve"> </w:t>
      </w:r>
      <w:r>
        <w:rPr>
          <w:i/>
          <w:iCs/>
        </w:rPr>
        <w:t xml:space="preserve">Journal of Current Southeast Asian Affairs</w:t>
      </w:r>
      <w:r>
        <w:t xml:space="preserve"> </w:t>
      </w:r>
      <w:r>
        <w:t xml:space="preserve">38 (April): 77–97.</w:t>
      </w:r>
      <w:r>
        <w:t xml:space="preserve"> </w:t>
      </w:r>
      <w:hyperlink r:id="rId78">
        <w:r>
          <w:rPr>
            <w:rStyle w:val="Hyperlink"/>
          </w:rPr>
          <w:t xml:space="preserve">https://doi.org/10.1177/1868103419846009</w:t>
        </w:r>
      </w:hyperlink>
      <w:r>
        <w:t xml:space="preserve">.</w:t>
      </w:r>
    </w:p>
    <w:p>
      <w:pPr>
        <w:pStyle w:val="BodyText"/>
      </w:pPr>
      <w:r>
        <w:t xml:space="preserve">Norén-Nilsson, Astrid. 2021.</w:t>
      </w:r>
      <w:r>
        <w:t xml:space="preserve"> </w:t>
      </w:r>
      <w:r>
        <w:t xml:space="preserve">“</w:t>
      </w:r>
      <w:r>
        <w:t xml:space="preserve">Fresh News, innovative news:</w:t>
      </w:r>
      <w:r>
        <w:t xml:space="preserve"> </w:t>
      </w:r>
      <w:r>
        <w:t xml:space="preserve">popularizing Cambodia’s authoritarian turn</w:t>
      </w:r>
      <w:r>
        <w:t xml:space="preserve">.”</w:t>
      </w:r>
      <w:r>
        <w:t xml:space="preserve"> </w:t>
      </w:r>
      <w:r>
        <w:rPr>
          <w:i/>
          <w:iCs/>
        </w:rPr>
        <w:t xml:space="preserve">Critical Asian</w:t>
      </w:r>
      <w:r>
        <w:rPr>
          <w:i/>
          <w:iCs/>
        </w:rPr>
        <w:t xml:space="preserve"> </w:t>
      </w:r>
      <w:r>
        <w:rPr>
          <w:i/>
          <w:iCs/>
        </w:rPr>
        <w:t xml:space="preserve">Studies</w:t>
      </w:r>
      <w:r>
        <w:t xml:space="preserve"> </w:t>
      </w:r>
      <w:r>
        <w:t xml:space="preserve">53 (January): 89–108.</w:t>
      </w:r>
      <w:r>
        <w:t xml:space="preserve"> </w:t>
      </w:r>
      <w:hyperlink r:id="rId79">
        <w:r>
          <w:rPr>
            <w:rStyle w:val="Hyperlink"/>
          </w:rPr>
          <w:t xml:space="preserve">https://doi.org/10.1080/14672715.2020.1837637</w:t>
        </w:r>
      </w:hyperlink>
      <w:r>
        <w:t xml:space="preserve">.</w:t>
      </w:r>
    </w:p>
    <w:p>
      <w:pPr>
        <w:pStyle w:val="BodyText"/>
      </w:pPr>
      <w:r>
        <w:t xml:space="preserve">Norén-Nilsson, Astrid, and Netra Eng. 2020.</w:t>
      </w:r>
      <w:r>
        <w:t xml:space="preserve"> </w:t>
      </w:r>
      <w:r>
        <w:t xml:space="preserve">“</w:t>
      </w:r>
      <w:r>
        <w:t xml:space="preserve">Pathways to leadership</w:t>
      </w:r>
      <w:r>
        <w:t xml:space="preserve"> </w:t>
      </w:r>
      <w:r>
        <w:t xml:space="preserve">within and beyond Cambodian civil society: Elite status and</w:t>
      </w:r>
      <w:r>
        <w:t xml:space="preserve"> </w:t>
      </w:r>
      <w:r>
        <w:t xml:space="preserve">boundary-crossing</w:t>
      </w:r>
      <w:r>
        <w:t xml:space="preserve">.”</w:t>
      </w:r>
      <w:r>
        <w:t xml:space="preserve"> </w:t>
      </w:r>
      <w:r>
        <w:rPr>
          <w:i/>
          <w:iCs/>
        </w:rPr>
        <w:t xml:space="preserve">Politics and Governance</w:t>
      </w:r>
      <w:r>
        <w:t xml:space="preserve"> </w:t>
      </w:r>
      <w:r>
        <w:t xml:space="preserve">8 (September):</w:t>
      </w:r>
      <w:r>
        <w:t xml:space="preserve"> </w:t>
      </w:r>
      <w:r>
        <w:t xml:space="preserve">109–19.</w:t>
      </w:r>
      <w:r>
        <w:t xml:space="preserve"> </w:t>
      </w:r>
      <w:hyperlink r:id="rId80">
        <w:r>
          <w:rPr>
            <w:rStyle w:val="Hyperlink"/>
          </w:rPr>
          <w:t xml:space="preserve">https://doi.org/10.17645/pag.v8i3.3020</w:t>
        </w:r>
      </w:hyperlink>
      <w:r>
        <w:t xml:space="preserve">.</w:t>
      </w:r>
    </w:p>
    <w:p>
      <w:pPr>
        <w:pStyle w:val="BodyText"/>
      </w:pPr>
      <w:r>
        <w:t xml:space="preserve">Przeworski, Adam. 2022.</w:t>
      </w:r>
      <w:r>
        <w:t xml:space="preserve"> </w:t>
      </w:r>
      <w:r>
        <w:t xml:space="preserve">“</w:t>
      </w:r>
      <w:r>
        <w:t xml:space="preserve">Formal models of authoritarian regimes: A</w:t>
      </w:r>
      <w:r>
        <w:t xml:space="preserve"> </w:t>
      </w:r>
      <w:r>
        <w:t xml:space="preserve">critique</w:t>
      </w:r>
      <w:r>
        <w:t xml:space="preserve">.”</w:t>
      </w:r>
      <w:r>
        <w:t xml:space="preserve"> </w:t>
      </w:r>
      <w:r>
        <w:rPr>
          <w:i/>
          <w:iCs/>
        </w:rPr>
        <w:t xml:space="preserve">Perspectives on Politics</w:t>
      </w:r>
      <w:r>
        <w:t xml:space="preserve"> </w:t>
      </w:r>
      <w:r>
        <w:t xml:space="preserve">21: 979–88.</w:t>
      </w:r>
      <w:r>
        <w:t xml:space="preserve"> </w:t>
      </w:r>
      <w:hyperlink r:id="rId81">
        <w:r>
          <w:rPr>
            <w:rStyle w:val="Hyperlink"/>
          </w:rPr>
          <w:t xml:space="preserve">https://doi.org/10.1017/s1537592722002067</w:t>
        </w:r>
      </w:hyperlink>
      <w:r>
        <w:t xml:space="preserve">.</w:t>
      </w:r>
    </w:p>
    <w:p>
      <w:pPr>
        <w:pStyle w:val="BodyText"/>
      </w:pPr>
      <w:r>
        <w:t xml:space="preserve">Przeworski, Adam, Michael E Alvarez, Jose Antonio Cheibub, and Fernando</w:t>
      </w:r>
      <w:r>
        <w:t xml:space="preserve"> </w:t>
      </w:r>
      <w:r>
        <w:t xml:space="preserve">Limongi. 2000.</w:t>
      </w:r>
      <w:r>
        <w:t xml:space="preserve"> </w:t>
      </w:r>
      <w:r>
        <w:rPr>
          <w:i/>
          <w:iCs/>
        </w:rPr>
        <w:t xml:space="preserve">Democracy and development: Political institutions</w:t>
      </w:r>
      <w:r>
        <w:rPr>
          <w:i/>
          <w:iCs/>
        </w:rPr>
        <w:t xml:space="preserve"> </w:t>
      </w:r>
      <w:r>
        <w:rPr>
          <w:i/>
          <w:iCs/>
        </w:rPr>
        <w:t xml:space="preserve">and well-being in the world, 1950-1990 series number 3: Political</w:t>
      </w:r>
      <w:r>
        <w:rPr>
          <w:i/>
          <w:iCs/>
        </w:rPr>
        <w:t xml:space="preserve"> </w:t>
      </w:r>
      <w:r>
        <w:rPr>
          <w:i/>
          <w:iCs/>
        </w:rPr>
        <w:t xml:space="preserve">institutions and well-being in the world, 1950-</w:t>
      </w:r>
      <w:r>
        <w:rPr>
          <w:i/>
          <w:iCs/>
        </w:rPr>
        <w:t xml:space="preserve">1990</w:t>
      </w:r>
      <w:r>
        <w:t xml:space="preserve">. Cambridge</w:t>
      </w:r>
      <w:r>
        <w:t xml:space="preserve"> </w:t>
      </w:r>
      <w:r>
        <w:t xml:space="preserve">University Press.</w:t>
      </w:r>
      <w:r>
        <w:t xml:space="preserve"> </w:t>
      </w:r>
      <w:hyperlink r:id="rId82">
        <w:r>
          <w:rPr>
            <w:rStyle w:val="Hyperlink"/>
          </w:rPr>
          <w:t xml:space="preserve">https://doi.org/10.1017/cbo9780511804946</w:t>
        </w:r>
      </w:hyperlink>
      <w:r>
        <w:t xml:space="preserve">.</w:t>
      </w:r>
    </w:p>
    <w:p>
      <w:pPr>
        <w:pStyle w:val="BodyText"/>
      </w:pPr>
      <w:r>
        <w:t xml:space="preserve">Schedler, Andreas. 2002.</w:t>
      </w:r>
      <w:r>
        <w:t xml:space="preserve"> </w:t>
      </w:r>
      <w:r>
        <w:t xml:space="preserve">“</w:t>
      </w:r>
      <w:r>
        <w:t xml:space="preserve">The Menu of Manipulation</w:t>
      </w:r>
      <w:r>
        <w:t xml:space="preserve">.”</w:t>
      </w:r>
      <w:r>
        <w:t xml:space="preserve"> </w:t>
      </w:r>
      <w:r>
        <w:rPr>
          <w:i/>
          <w:iCs/>
        </w:rPr>
        <w:t xml:space="preserve">Journal</w:t>
      </w:r>
      <w:r>
        <w:rPr>
          <w:i/>
          <w:iCs/>
        </w:rPr>
        <w:t xml:space="preserve"> </w:t>
      </w:r>
      <w:r>
        <w:rPr>
          <w:i/>
          <w:iCs/>
        </w:rPr>
        <w:t xml:space="preserve">of Democracy</w:t>
      </w:r>
      <w:r>
        <w:t xml:space="preserve"> </w:t>
      </w:r>
      <w:r>
        <w:t xml:space="preserve">13: 36–50.</w:t>
      </w:r>
      <w:r>
        <w:t xml:space="preserve"> </w:t>
      </w:r>
      <w:hyperlink r:id="rId83">
        <w:r>
          <w:rPr>
            <w:rStyle w:val="Hyperlink"/>
          </w:rPr>
          <w:t xml:space="preserve">https://doi.org/10.1353/jod.2002.0031</w:t>
        </w:r>
      </w:hyperlink>
      <w:r>
        <w:t xml:space="preserve">.</w:t>
      </w:r>
    </w:p>
    <w:p>
      <w:pPr>
        <w:pStyle w:val="BodyText"/>
      </w:pPr>
      <w:r>
        <w:t xml:space="preserve">Schedler, Andreas. 2013.</w:t>
      </w:r>
      <w:r>
        <w:t xml:space="preserve"> </w:t>
      </w:r>
      <w:r>
        <w:rPr>
          <w:i/>
          <w:iCs/>
        </w:rPr>
        <w:t xml:space="preserve">The politics of uncertainty: Sustaining</w:t>
      </w:r>
      <w:r>
        <w:rPr>
          <w:i/>
          <w:iCs/>
        </w:rPr>
        <w:t xml:space="preserve"> </w:t>
      </w:r>
      <w:r>
        <w:rPr>
          <w:i/>
          <w:iCs/>
        </w:rPr>
        <w:t xml:space="preserve">and subverting electoral authoritarianism</w:t>
      </w:r>
      <w:r>
        <w:t xml:space="preserve">. Oxford Studies in</w:t>
      </w:r>
      <w:r>
        <w:t xml:space="preserve"> </w:t>
      </w:r>
      <w:r>
        <w:t xml:space="preserve">Democratization. Oxford University Press.</w:t>
      </w:r>
      <w:r>
        <w:t xml:space="preserve"> </w:t>
      </w:r>
      <w:hyperlink r:id="rId84">
        <w:r>
          <w:rPr>
            <w:rStyle w:val="Hyperlink"/>
          </w:rPr>
          <w:t xml:space="preserve">https://doi.org/10.1093/acprof:oso/9780199680320.001.0001</w:t>
        </w:r>
      </w:hyperlink>
      <w:r>
        <w:t xml:space="preserve">.</w:t>
      </w:r>
    </w:p>
    <w:p>
      <w:pPr>
        <w:pStyle w:val="BodyText"/>
      </w:pPr>
      <w:r>
        <w:t xml:space="preserve">Schedler, Andreas, and Rodolfo Sarsfield. 2007.</w:t>
      </w:r>
      <w:r>
        <w:t xml:space="preserve"> </w:t>
      </w:r>
      <w:r>
        <w:t xml:space="preserve">“</w:t>
      </w:r>
      <w:r>
        <w:t xml:space="preserve">Democrats with</w:t>
      </w:r>
      <w:r>
        <w:t xml:space="preserve"> </w:t>
      </w:r>
      <w:r>
        <w:t xml:space="preserve">adjectives: Linking direct and indirect measures of democratic</w:t>
      </w:r>
      <w:r>
        <w:t xml:space="preserve"> </w:t>
      </w:r>
      <w:r>
        <w:t xml:space="preserve">support</w:t>
      </w:r>
      <w:r>
        <w:t xml:space="preserve">.”</w:t>
      </w:r>
      <w:r>
        <w:t xml:space="preserve"> </w:t>
      </w:r>
      <w:r>
        <w:rPr>
          <w:i/>
          <w:iCs/>
        </w:rPr>
        <w:t xml:space="preserve">European Journal of Political Research</w:t>
      </w:r>
      <w:r>
        <w:t xml:space="preserve"> </w:t>
      </w:r>
      <w:r>
        <w:t xml:space="preserve">46 (August):</w:t>
      </w:r>
      <w:r>
        <w:t xml:space="preserve"> </w:t>
      </w:r>
      <w:r>
        <w:t xml:space="preserve">637–59.</w:t>
      </w:r>
      <w:r>
        <w:t xml:space="preserve"> </w:t>
      </w:r>
      <w:hyperlink r:id="rId85">
        <w:r>
          <w:rPr>
            <w:rStyle w:val="Hyperlink"/>
          </w:rPr>
          <w:t xml:space="preserve">https://doi.org/10.1111/j.1475-6765.2007.00708.x</w:t>
        </w:r>
      </w:hyperlink>
      <w:r>
        <w:t xml:space="preserve">.</w:t>
      </w:r>
    </w:p>
    <w:p>
      <w:pPr>
        <w:pStyle w:val="BodyText"/>
      </w:pPr>
      <w:r>
        <w:t xml:space="preserve">Strangio, Sebastian. 2014.</w:t>
      </w:r>
      <w:r>
        <w:t xml:space="preserve"> </w:t>
      </w:r>
      <w:r>
        <w:rPr>
          <w:i/>
          <w:iCs/>
        </w:rPr>
        <w:t xml:space="preserve">Hun Sen’s Cambodia</w:t>
      </w:r>
      <w:r>
        <w:t xml:space="preserve">. Yale University</w:t>
      </w:r>
      <w:r>
        <w:t xml:space="preserve"> </w:t>
      </w:r>
      <w:r>
        <w:t xml:space="preserve">Press.</w:t>
      </w:r>
    </w:p>
    <w:p>
      <w:pPr>
        <w:pStyle w:val="BodyText"/>
      </w:pPr>
      <w:r>
        <w:t xml:space="preserve">Strangio, Sebastian. 2020.</w:t>
      </w:r>
      <w:r>
        <w:t xml:space="preserve"> </w:t>
      </w:r>
      <w:r>
        <w:rPr>
          <w:i/>
          <w:iCs/>
        </w:rPr>
        <w:t xml:space="preserve">In the dragon’s shadow: Southeast Asia</w:t>
      </w:r>
      <w:r>
        <w:rPr>
          <w:i/>
          <w:iCs/>
        </w:rPr>
        <w:t xml:space="preserve"> </w:t>
      </w:r>
      <w:r>
        <w:rPr>
          <w:i/>
          <w:iCs/>
        </w:rPr>
        <w:t xml:space="preserve">in the Chinese century</w:t>
      </w:r>
      <w:r>
        <w:t xml:space="preserve">. Yale University Press.</w:t>
      </w:r>
      <w:r>
        <w:t xml:space="preserve"> </w:t>
      </w:r>
      <w:hyperlink r:id="rId86">
        <w:r>
          <w:rPr>
            <w:rStyle w:val="Hyperlink"/>
          </w:rPr>
          <w:t xml:space="preserve">https://doi.org/10.2307/j.ctv14rmq92</w:t>
        </w:r>
      </w:hyperlink>
      <w:r>
        <w:t xml:space="preserve">.</w:t>
      </w:r>
    </w:p>
    <w:p>
      <w:pPr>
        <w:pStyle w:val="BodyText"/>
      </w:pPr>
      <w:r>
        <w:t xml:space="preserve">Transparency International. 2023.</w:t>
      </w:r>
      <w:r>
        <w:t xml:space="preserve"> </w:t>
      </w:r>
      <w:r>
        <w:rPr>
          <w:i/>
          <w:iCs/>
        </w:rPr>
        <w:t xml:space="preserve">Corruption perceptions index</w:t>
      </w:r>
      <w:r>
        <w:rPr>
          <w:i/>
          <w:iCs/>
        </w:rPr>
        <w:t xml:space="preserve"> </w:t>
      </w:r>
      <w:r>
        <w:rPr>
          <w:i/>
          <w:iCs/>
        </w:rPr>
        <w:t xml:space="preserve">2022</w:t>
      </w:r>
      <w:r>
        <w:t xml:space="preserve">. Research report. Transparency International.</w:t>
      </w:r>
    </w:p>
    <w:p>
      <w:pPr>
        <w:pStyle w:val="BodyText"/>
      </w:pPr>
      <w:r>
        <w:t xml:space="preserve">Um, Khatharya. 2014.</w:t>
      </w:r>
      <w:r>
        <w:t xml:space="preserve"> </w:t>
      </w:r>
      <w:r>
        <w:t xml:space="preserve">“</w:t>
      </w:r>
      <w:r>
        <w:t xml:space="preserve">Cambodia in 2013: The winds of change</w:t>
      </w:r>
      <w:r>
        <w:t xml:space="preserve">.”</w:t>
      </w:r>
      <w:r>
        <w:t xml:space="preserve"> </w:t>
      </w:r>
      <w:r>
        <w:rPr>
          <w:i/>
          <w:iCs/>
        </w:rPr>
        <w:t xml:space="preserve">Nan Yang Wen Ti Yan Qiu</w:t>
      </w:r>
      <w:r>
        <w:rPr>
          <w:i/>
          <w:iCs/>
        </w:rPr>
        <w:t xml:space="preserve"> </w:t>
      </w:r>
      <w:r>
        <w:rPr>
          <w:i/>
          <w:iCs/>
        </w:rPr>
        <w:t xml:space="preserve">[</w:t>
      </w:r>
      <w:r>
        <w:rPr>
          <w:i/>
          <w:iCs/>
        </w:rPr>
        <w:t xml:space="preserve">Southeast Asian Affairs</w:t>
      </w:r>
      <w:r>
        <w:rPr>
          <w:i/>
          <w:iCs/>
        </w:rPr>
        <w:t xml:space="preserve">]</w:t>
      </w:r>
      <w:r>
        <w:t xml:space="preserve">, 99–116.</w:t>
      </w:r>
      <w:r>
        <w:t xml:space="preserve"> </w:t>
      </w:r>
      <w:hyperlink r:id="rId87">
        <w:r>
          <w:rPr>
            <w:rStyle w:val="Hyperlink"/>
          </w:rPr>
          <w:t xml:space="preserve">https://doi.org/10.1355/aa14-1g</w:t>
        </w:r>
      </w:hyperlink>
      <w:r>
        <w:t xml:space="preserve">.</w:t>
      </w:r>
    </w:p>
    <w:p>
      <w:pPr>
        <w:pStyle w:val="BodyText"/>
      </w:pPr>
      <w:r>
        <w:t xml:space="preserve">Un, Kheang. 2013a.</w:t>
      </w:r>
      <w:r>
        <w:t xml:space="preserve"> </w:t>
      </w:r>
      <w:r>
        <w:t xml:space="preserve">“</w:t>
      </w:r>
      <w:r>
        <w:t xml:space="preserve">Cambodia in 2012: Beyond the Crossroads?</w:t>
      </w:r>
      <w:r>
        <w:t xml:space="preserve">”</w:t>
      </w:r>
      <w:r>
        <w:t xml:space="preserve"> </w:t>
      </w:r>
      <w:r>
        <w:rPr>
          <w:i/>
          <w:iCs/>
        </w:rPr>
        <w:t xml:space="preserve">Asian Survey</w:t>
      </w:r>
      <w:r>
        <w:t xml:space="preserve">, Beyond the crossroads?, vol. 53 (February):</w:t>
      </w:r>
      <w:r>
        <w:t xml:space="preserve"> </w:t>
      </w:r>
      <w:r>
        <w:t xml:space="preserve">142–49.</w:t>
      </w:r>
      <w:r>
        <w:t xml:space="preserve"> </w:t>
      </w:r>
      <w:hyperlink r:id="rId88">
        <w:r>
          <w:rPr>
            <w:rStyle w:val="Hyperlink"/>
          </w:rPr>
          <w:t xml:space="preserve">https://doi.org/10.1525/as.2013.53.1.142</w:t>
        </w:r>
      </w:hyperlink>
      <w:r>
        <w:t xml:space="preserve">.</w:t>
      </w:r>
    </w:p>
    <w:p>
      <w:pPr>
        <w:pStyle w:val="BodyText"/>
      </w:pPr>
      <w:r>
        <w:t xml:space="preserve">Un, Kheang. 2013b.</w:t>
      </w:r>
      <w:r>
        <w:t xml:space="preserve"> </w:t>
      </w:r>
      <w:r>
        <w:t xml:space="preserve">“</w:t>
      </w:r>
      <w:r>
        <w:t xml:space="preserve">Cambodia in 2012</w:t>
      </w:r>
      <w:r>
        <w:t xml:space="preserve">: Towards developmental</w:t>
      </w:r>
      <w:r>
        <w:t xml:space="preserve"> </w:t>
      </w:r>
      <w:r>
        <w:t xml:space="preserve">authoritarianism?</w:t>
      </w:r>
      <w:r>
        <w:t xml:space="preserve">”</w:t>
      </w:r>
      <w:r>
        <w:t xml:space="preserve"> </w:t>
      </w:r>
      <w:r>
        <w:t xml:space="preserve">In</w:t>
      </w:r>
      <w:r>
        <w:t xml:space="preserve"> </w:t>
      </w:r>
      <w:r>
        <w:rPr>
          <w:i/>
          <w:iCs/>
        </w:rPr>
        <w:t xml:space="preserve">Southeast Asian Affairs 2013</w:t>
      </w:r>
      <w:r>
        <w:t xml:space="preserve">, edited</w:t>
      </w:r>
      <w:r>
        <w:t xml:space="preserve"> </w:t>
      </w:r>
      <w:r>
        <w:t xml:space="preserve">by Daljit Singh. ISEAS Publishing.</w:t>
      </w:r>
      <w:r>
        <w:t xml:space="preserve"> </w:t>
      </w:r>
      <w:hyperlink r:id="rId89">
        <w:r>
          <w:rPr>
            <w:rStyle w:val="Hyperlink"/>
          </w:rPr>
          <w:t xml:space="preserve">https://doi.org/10.1355/9789814459563-009</w:t>
        </w:r>
      </w:hyperlink>
      <w:r>
        <w:t xml:space="preserve">.</w:t>
      </w:r>
    </w:p>
    <w:p>
      <w:pPr>
        <w:pStyle w:val="BodyText"/>
      </w:pPr>
      <w:r>
        <w:t xml:space="preserve">Un, Kheang, and Jing Jing Luo. 2020.</w:t>
      </w:r>
      <w:r>
        <w:t xml:space="preserve"> </w:t>
      </w:r>
      <w:r>
        <w:t xml:space="preserve">“</w:t>
      </w:r>
      <w:r>
        <w:t xml:space="preserve">Cambodia in 2019: Entrenching</w:t>
      </w:r>
      <w:r>
        <w:t xml:space="preserve"> </w:t>
      </w:r>
      <w:r>
        <w:t xml:space="preserve">one-party rule and asserting national sovereignty in the era of shifting</w:t>
      </w:r>
      <w:r>
        <w:t xml:space="preserve"> </w:t>
      </w:r>
      <w:r>
        <w:t xml:space="preserve">global geopolitics</w:t>
      </w:r>
      <w:r>
        <w:t xml:space="preserve">.”</w:t>
      </w:r>
      <w:r>
        <w:t xml:space="preserve"> </w:t>
      </w:r>
      <w:r>
        <w:rPr>
          <w:i/>
          <w:iCs/>
        </w:rPr>
        <w:t xml:space="preserve">Southeast Asian Affairs</w:t>
      </w:r>
      <w:r>
        <w:t xml:space="preserve"> </w:t>
      </w:r>
      <w:r>
        <w:t xml:space="preserve">SEAA20: 119–36.</w:t>
      </w:r>
      <w:r>
        <w:t xml:space="preserve"> </w:t>
      </w:r>
      <w:hyperlink r:id="rId90">
        <w:r>
          <w:rPr>
            <w:rStyle w:val="Hyperlink"/>
          </w:rPr>
          <w:t xml:space="preserve">https://doi.org/10.1355/aa20-1g</w:t>
        </w:r>
      </w:hyperlink>
      <w:r>
        <w:t xml:space="preserve">.</w:t>
      </w:r>
    </w:p>
    <w:p>
      <w:pPr>
        <w:pStyle w:val="BodyText"/>
      </w:pPr>
      <w:r>
        <w:t xml:space="preserve">Valgarðsson, Viktor Orri, and Daniel Devine. 2022.</w:t>
      </w:r>
      <w:r>
        <w:t xml:space="preserve"> </w:t>
      </w:r>
      <w:r>
        <w:t xml:space="preserve">“</w:t>
      </w:r>
      <w:r>
        <w:t xml:space="preserve">What satisfaction</w:t>
      </w:r>
      <w:r>
        <w:t xml:space="preserve"> </w:t>
      </w:r>
      <w:r>
        <w:t xml:space="preserve">with democracy? A global analysis of</w:t>
      </w:r>
      <w:r>
        <w:t xml:space="preserve"> </w:t>
      </w:r>
      <w:r>
        <w:t xml:space="preserve">‘satisfaction with democracy’</w:t>
      </w:r>
      <w:r>
        <w:t xml:space="preserve"> </w:t>
      </w:r>
      <w:r>
        <w:t xml:space="preserve">measures</w:t>
      </w:r>
      <w:r>
        <w:t xml:space="preserve">.”</w:t>
      </w:r>
      <w:r>
        <w:t xml:space="preserve"> </w:t>
      </w:r>
      <w:r>
        <w:rPr>
          <w:i/>
          <w:iCs/>
        </w:rPr>
        <w:t xml:space="preserve">Political Research Quarterly</w:t>
      </w:r>
      <w:r>
        <w:t xml:space="preserve"> </w:t>
      </w:r>
      <w:r>
        <w:t xml:space="preserve">75 (September):</w:t>
      </w:r>
      <w:r>
        <w:t xml:space="preserve"> </w:t>
      </w:r>
      <w:r>
        <w:t xml:space="preserve">576–90.</w:t>
      </w:r>
      <w:r>
        <w:t xml:space="preserve"> </w:t>
      </w:r>
      <w:hyperlink r:id="rId91">
        <w:r>
          <w:rPr>
            <w:rStyle w:val="Hyperlink"/>
          </w:rPr>
          <w:t xml:space="preserve">https://doi.org/10.1177/10659129211009605</w:t>
        </w:r>
      </w:hyperlink>
      <w:r>
        <w:t xml:space="preserve">.</w:t>
      </w:r>
    </w:p>
    <w:p>
      <w:pPr>
        <w:pStyle w:val="BodyText"/>
      </w:pPr>
      <w:r>
        <w:t xml:space="preserve">Wedeen, Lisa. 1998.</w:t>
      </w:r>
      <w:r>
        <w:t xml:space="preserve"> </w:t>
      </w:r>
      <w:r>
        <w:t xml:space="preserve">“</w:t>
      </w:r>
      <w:r>
        <w:t xml:space="preserve">Acting</w:t>
      </w:r>
      <w:r>
        <w:t xml:space="preserve"> </w:t>
      </w:r>
      <w:r>
        <w:t xml:space="preserve">‘As If’</w:t>
      </w:r>
      <w:r>
        <w:t xml:space="preserve">: Symbolic Politics and Social</w:t>
      </w:r>
      <w:r>
        <w:t xml:space="preserve"> </w:t>
      </w:r>
      <w:r>
        <w:t xml:space="preserve">Control in Syria</w:t>
      </w:r>
      <w:r>
        <w:t xml:space="preserve">.”</w:t>
      </w:r>
      <w:r>
        <w:t xml:space="preserve"> </w:t>
      </w:r>
      <w:r>
        <w:rPr>
          <w:i/>
          <w:iCs/>
        </w:rPr>
        <w:t xml:space="preserve">Comparative Studies in Society and History</w:t>
      </w:r>
      <w:r>
        <w:t xml:space="preserve"> </w:t>
      </w:r>
      <w:r>
        <w:t xml:space="preserve">40 (July): 503–23.</w:t>
      </w:r>
      <w:r>
        <w:t xml:space="preserve"> </w:t>
      </w:r>
      <w:hyperlink r:id="rId92">
        <w:r>
          <w:rPr>
            <w:rStyle w:val="Hyperlink"/>
          </w:rPr>
          <w:t xml:space="preserve">https://doi.org/10.1017/S0010417598001388</w:t>
        </w:r>
      </w:hyperlink>
      <w:r>
        <w:t xml:space="preserve">.</w:t>
      </w:r>
    </w:p>
    <w:p>
      <w:pPr>
        <w:pStyle w:val="BodyText"/>
      </w:pPr>
      <w:r>
        <w:t xml:space="preserve">World Bank. 2026.</w:t>
      </w:r>
      <w:r>
        <w:t xml:space="preserve"> </w:t>
      </w:r>
      <w:r>
        <w:t xml:space="preserve">“</w:t>
      </w:r>
      <w:r>
        <w:t xml:space="preserve">GDP growth (annual %): Cambodia</w:t>
      </w:r>
      <w:r>
        <w:t xml:space="preserve"> </w:t>
      </w:r>
      <w:r>
        <w:t xml:space="preserve">[</w:t>
      </w:r>
      <w:r>
        <w:t xml:space="preserve">World</w:t>
      </w:r>
      <w:r>
        <w:t xml:space="preserve"> </w:t>
      </w:r>
      <w:r>
        <w:t xml:space="preserve">Development Indicators</w:t>
      </w:r>
      <w:r>
        <w:t xml:space="preserve">]</w:t>
      </w:r>
      <w:r>
        <w:t xml:space="preserve">.”</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 the foundational typologies of these</w:t>
      </w:r>
      <w:r>
        <w:t xml:space="preserve"> </w:t>
      </w:r>
      <w:r>
        <w:t xml:space="preserve">institutional survival mechanics, see Levitsky and Way (2010);</w:t>
      </w:r>
      <w:r>
        <w:t xml:space="preserve"> </w:t>
      </w:r>
      <w:r>
        <w:t xml:space="preserve">Schedler (2013); and Gerschewski (2013). While these frameworks</w:t>
      </w:r>
      <w:r>
        <w:t xml:space="preserve"> </w:t>
      </w:r>
      <w:r>
        <w:t xml:space="preserve">masterfully explain elite-level regime consolidation, they are less</w:t>
      </w:r>
      <w:r>
        <w:t xml:space="preserve"> </w:t>
      </w:r>
      <w:r>
        <w:t xml:space="preserve">equipped to explain the simultaneous, multi-dimensional shifts in mass</w:t>
      </w:r>
      <w:r>
        <w:t xml:space="preserve"> </w:t>
      </w:r>
      <w:r>
        <w:t xml:space="preserve">public opinion observed in the Asian Barometer Survey data during</w:t>
      </w:r>
      <w:r>
        <w:t xml:space="preserve"> </w:t>
      </w:r>
      <w:r>
        <w:t xml:space="preserve">periods of opposition collapse.</w:t>
      </w:r>
    </w:p>
  </w:footnote>
  <w:footnote w:id="10">
    <w:p>
      <w:pPr>
        <w:pStyle w:val="FootnoteText"/>
      </w:pPr>
      <w:r>
        <w:rPr>
          <w:rStyle w:val="FootnoteReference"/>
        </w:rPr>
        <w:footnoteRef/>
      </w:r>
      <w:r>
        <w:t xml:space="preserve"> </w:t>
      </w:r>
      <w:r>
        <w:t xml:space="preserve">On repression as a mechanism of</w:t>
      </w:r>
      <w:r>
        <w:t xml:space="preserve"> </w:t>
      </w:r>
      <w:r>
        <w:t xml:space="preserve">demobilization, see Davenport (2007); Davenport et al. (2005); Earl</w:t>
      </w:r>
      <w:r>
        <w:t xml:space="preserve"> </w:t>
      </w:r>
      <w:r>
        <w:t xml:space="preserve">(2011).</w:t>
      </w:r>
    </w:p>
  </w:footnote>
  <w:footnote w:id="11">
    <w:p>
      <w:pPr>
        <w:pStyle w:val="FootnoteText"/>
      </w:pPr>
      <w:r>
        <w:rPr>
          <w:rStyle w:val="FootnoteReference"/>
        </w:rPr>
        <w:footnoteRef/>
      </w:r>
      <w:r>
        <w:t xml:space="preserve"> </w:t>
      </w:r>
      <w:r>
        <w:t xml:space="preserve">The co-optation framework is developed most fully in</w:t>
      </w:r>
      <w:r>
        <w:t xml:space="preserve"> </w:t>
      </w:r>
      <w:r>
        <w:t xml:space="preserve">Gandhi (2008). On the equilibrium logic of authoritarian</w:t>
      </w:r>
      <w:r>
        <w:t xml:space="preserve"> </w:t>
      </w:r>
      <w:r>
        <w:t xml:space="preserve">power-sharing, see Przeworski et al. (2000).</w:t>
      </w:r>
    </w:p>
  </w:footnote>
  <w:footnote w:id="12">
    <w:p>
      <w:pPr>
        <w:pStyle w:val="FootnoteText"/>
      </w:pPr>
      <w:r>
        <w:rPr>
          <w:rStyle w:val="FootnoteReference"/>
        </w:rPr>
        <w:footnoteRef/>
      </w:r>
      <w:r>
        <w:t xml:space="preserve"> </w:t>
      </w:r>
      <w:r>
        <w:t xml:space="preserve">Gaventa’s central</w:t>
      </w:r>
      <w:r>
        <w:t xml:space="preserve"> </w:t>
      </w:r>
      <w:r>
        <w:t xml:space="preserve">insight—that sustained powerlessness produces not resistance but the</w:t>
      </w:r>
      <w:r>
        <w:t xml:space="preserve"> </w:t>
      </w:r>
      <w:r>
        <w:t xml:space="preserve">internalization of quiescence—provides the closest existing</w:t>
      </w:r>
      <w:r>
        <w:t xml:space="preserve"> </w:t>
      </w:r>
      <w:r>
        <w:t xml:space="preserve">theoretical analogue to the pattern observed in the Cambodian data</w:t>
      </w:r>
      <w:r>
        <w:t xml:space="preserve"> </w:t>
      </w:r>
      <w:r>
        <w:t xml:space="preserve">(Gaventa 1980).</w:t>
      </w:r>
    </w:p>
  </w:footnote>
  <w:footnote w:id="13">
    <w:p>
      <w:pPr>
        <w:pStyle w:val="FootnoteText"/>
      </w:pPr>
      <w:r>
        <w:rPr>
          <w:rStyle w:val="FootnoteReference"/>
        </w:rPr>
        <w:footnoteRef/>
      </w:r>
      <w:r>
        <w:t xml:space="preserve"> </w:t>
      </w:r>
      <w:r>
        <w:t xml:space="preserve">The</w:t>
      </w:r>
      <w:r>
        <w:t xml:space="preserve"> </w:t>
      </w:r>
      <w:r>
        <w:t xml:space="preserve">distinction matters: Lukes’ third dimension operates</w:t>
      </w:r>
      <w:r>
        <w:t xml:space="preserve"> </w:t>
      </w:r>
      <w:r>
        <w:rPr>
          <w:i/>
          <w:iCs/>
        </w:rPr>
        <w:t xml:space="preserve">before</w:t>
      </w:r>
      <w:r>
        <w:t xml:space="preserve"> </w:t>
      </w:r>
      <w:r>
        <w:t xml:space="preserve">grievances form; demobilization by subtraction operates</w:t>
      </w:r>
      <w:r>
        <w:t xml:space="preserve"> </w:t>
      </w:r>
      <w:r>
        <w:rPr>
          <w:i/>
          <w:iCs/>
        </w:rPr>
        <w:t xml:space="preserve">after</w:t>
      </w:r>
      <w:r>
        <w:t xml:space="preserve"> </w:t>
      </w:r>
      <w:r>
        <w:t xml:space="preserve">grievances have formed and been politically activated, removing the</w:t>
      </w:r>
      <w:r>
        <w:t xml:space="preserve"> </w:t>
      </w:r>
      <w:r>
        <w:t xml:space="preserve">vehicle for their expression rather than the grievances themselves</w:t>
      </w:r>
      <w:r>
        <w:t xml:space="preserve"> </w:t>
      </w:r>
      <w:r>
        <w:t xml:space="preserve">(Lukes 2005).</w:t>
      </w:r>
    </w:p>
  </w:footnote>
  <w:footnote w:id="17">
    <w:p>
      <w:pPr>
        <w:pStyle w:val="FootnoteText"/>
      </w:pPr>
      <w:r>
        <w:rPr>
          <w:rStyle w:val="FootnoteReference"/>
        </w:rPr>
        <w:footnoteRef/>
      </w:r>
      <w:r>
        <w:t xml:space="preserve"> </w:t>
      </w:r>
      <w:r>
        <w:t xml:space="preserve">Cambodian samples</w:t>
      </w:r>
      <w:r>
        <w:t xml:space="preserve"> </w:t>
      </w:r>
      <w:r>
        <w:t xml:space="preserve">are stratified by province and urban/rural classification, with</w:t>
      </w:r>
      <w:r>
        <w:t xml:space="preserve"> </w:t>
      </w:r>
      <w:r>
        <w:t xml:space="preserve">primary sampling units selected proportional to population size and</w:t>
      </w:r>
      <w:r>
        <w:t xml:space="preserve"> </w:t>
      </w:r>
      <w:r>
        <w:t xml:space="preserve">households via random walk procedures within enumeration areas. The</w:t>
      </w:r>
      <w:r>
        <w:t xml:space="preserve"> </w:t>
      </w:r>
      <w:r>
        <w:t xml:space="preserve">survey instrument is administered in Khmer. No post-stratification</w:t>
      </w:r>
      <w:r>
        <w:t xml:space="preserve"> </w:t>
      </w:r>
      <w:r>
        <w:t xml:space="preserve">weights are applied; samples are treated as self-weighting, following</w:t>
      </w:r>
      <w:r>
        <w:t xml:space="preserve"> </w:t>
      </w:r>
      <w:r>
        <w:t xml:space="preserve">ABS standard practice for single-country analyses. On ABS methodology</w:t>
      </w:r>
      <w:r>
        <w:t xml:space="preserve"> </w:t>
      </w:r>
      <w:r>
        <w:t xml:space="preserve">and sampling design generally, see Chu et al. (2008); country-level</w:t>
      </w:r>
      <w:r>
        <w:t xml:space="preserve"> </w:t>
      </w:r>
      <w:r>
        <w:t xml:space="preserve">details are in the ABS Technical Report for each wave.</w:t>
      </w:r>
    </w:p>
  </w:footnote>
  <w:footnote w:id="18">
    <w:p>
      <w:pPr>
        <w:pStyle w:val="FootnoteText"/>
      </w:pPr>
      <w:r>
        <w:rPr>
          <w:rStyle w:val="FootnoteReference"/>
        </w:rPr>
        <w:footnoteRef/>
      </w:r>
      <w:r>
        <w:t xml:space="preserve"> </w:t>
      </w:r>
      <w:r>
        <w:t xml:space="preserve">The fieldwork period is</w:t>
      </w:r>
      <w:r>
        <w:t xml:space="preserve"> </w:t>
      </w:r>
      <w:r>
        <w:t xml:space="preserve">inferred from internal temporal references: the questionnaire</w:t>
      </w:r>
      <w:r>
        <w:t xml:space="preserve"> </w:t>
      </w:r>
      <w:r>
        <w:t xml:space="preserve">references the 2016–17 school year as current, the 2016 commune</w:t>
      </w:r>
      <w:r>
        <w:t xml:space="preserve"> </w:t>
      </w:r>
      <w:r>
        <w:t xml:space="preserve">budget as the most recently completed fiscal cycle, and</w:t>
      </w:r>
      <w:r>
        <w:t xml:space="preserve"> </w:t>
      </w:r>
      <w:r>
        <w:t xml:space="preserve">“additional</w:t>
      </w:r>
      <w:r>
        <w:t xml:space="preserve"> </w:t>
      </w:r>
      <w:r>
        <w:t xml:space="preserve">money paid to officials in 2016”</w:t>
      </w:r>
      <w:r>
        <w:t xml:space="preserve"> </w:t>
      </w:r>
      <w:r>
        <w:t xml:space="preserve">as a retrospective question about</w:t>
      </w:r>
      <w:r>
        <w:t xml:space="preserve"> </w:t>
      </w:r>
      <w:r>
        <w:t xml:space="preserve">the immediately preceding year. This places collection after the</w:t>
      </w:r>
      <w:r>
        <w:t xml:space="preserve"> </w:t>
      </w:r>
      <w:r>
        <w:t xml:space="preserve">collapse of the Culture of Dialogue but before Kem Sokha’s arrest in</w:t>
      </w:r>
      <w:r>
        <w:t xml:space="preserve"> </w:t>
      </w:r>
      <w:r>
        <w:t xml:space="preserve">September 2017 and the CNRP dissolution in November 2017.</w:t>
      </w:r>
    </w:p>
  </w:footnote>
  <w:footnote w:id="19">
    <w:p>
      <w:pPr>
        <w:pStyle w:val="FootnoteText"/>
      </w:pPr>
      <w:r>
        <w:rPr>
          <w:rStyle w:val="FootnoteReference"/>
        </w:rPr>
        <w:footnoteRef/>
      </w:r>
      <w:r>
        <w:t xml:space="preserve"> </w:t>
      </w:r>
      <w:r>
        <w:t xml:space="preserve">The ABS</w:t>
      </w:r>
      <w:r>
        <w:t xml:space="preserve"> </w:t>
      </w:r>
      <w:r>
        <w:t xml:space="preserve">participation battery employs a two-part structure: a gate question</w:t>
      </w:r>
      <w:r>
        <w:t xml:space="preserve"> </w:t>
      </w:r>
      <w:r>
        <w:t xml:space="preserve">(</w:t>
      </w:r>
      <w:r>
        <w:t xml:space="preserve">“Have you ever done X?”</w:t>
      </w:r>
      <w:r>
        <w:t xml:space="preserve">) asked of all respondents, followed by a</w:t>
      </w:r>
      <w:r>
        <w:t xml:space="preserve"> </w:t>
      </w:r>
      <w:r>
        <w:t xml:space="preserve">frequency question asked only of those who answer affirmatively. This</w:t>
      </w:r>
      <w:r>
        <w:t xml:space="preserve"> </w:t>
      </w:r>
      <w:r>
        <w:t xml:space="preserve">article reports gate proportions rather than frequency means, which</w:t>
      </w:r>
      <w:r>
        <w:t xml:space="preserve"> </w:t>
      </w:r>
      <w:r>
        <w:t xml:space="preserve">are conditional on participation and based on much smaller subsamples.</w:t>
      </w:r>
      <w:r>
        <w:t xml:space="preserve"> </w:t>
      </w:r>
      <w:r>
        <w:t xml:space="preserve">The elected official and civil servant contact items use a narrower,</w:t>
      </w:r>
      <w:r>
        <w:t xml:space="preserve"> </w:t>
      </w:r>
      <w:r>
        <w:t xml:space="preserve">problem-motivated framing in Wave 3 (</w:t>
      </w:r>
      <w:r>
        <w:t xml:space="preserve">“to complain about or seek help</w:t>
      </w:r>
      <w:r>
        <w:t xml:space="preserve"> </w:t>
      </w:r>
      <w:r>
        <w:t xml:space="preserve">with a problem”</w:t>
      </w:r>
      <w:r>
        <w:t xml:space="preserve">) that differs from the broader framing in Waves 2, 4,</w:t>
      </w:r>
      <w:r>
        <w:t xml:space="preserve"> </w:t>
      </w:r>
      <w:r>
        <w:t xml:space="preserve">and 6; cross-wave comparisons involving Wave 3 for these items are</w:t>
      </w:r>
      <w:r>
        <w:t xml:space="preserve"> </w:t>
      </w:r>
      <w:r>
        <w:t xml:space="preserve">flagged accordingly. Petitions, demonstrations, and media contact were</w:t>
      </w:r>
      <w:r>
        <w:t xml:space="preserve"> </w:t>
      </w:r>
      <w:r>
        <w:t xml:space="preserve">not fielded in Wave 2.</w:t>
      </w:r>
    </w:p>
  </w:footnote>
  <w:footnote w:id="21">
    <w:p>
      <w:pPr>
        <w:pStyle w:val="FootnoteText"/>
      </w:pPr>
      <w:r>
        <w:rPr>
          <w:rStyle w:val="FootnoteReference"/>
        </w:rPr>
        <w:footnoteRef/>
      </w:r>
      <w:r>
        <w:t xml:space="preserve"> </w:t>
      </w:r>
      <w:r>
        <w:rPr>
          <w:i/>
          <w:iCs/>
        </w:rPr>
        <w:t xml:space="preserve">Commitment item 1</w:t>
      </w:r>
      <w:r>
        <w:t xml:space="preserve"> </w:t>
      </w:r>
      <w:r>
        <w:t xml:space="preserve">(all four waves): forced choice</w:t>
      </w:r>
      <w:r>
        <w:t xml:space="preserve"> </w:t>
      </w:r>
      <w:r>
        <w:t xml:space="preserve">among</w:t>
      </w:r>
      <w:r>
        <w:t xml:space="preserve"> </w:t>
      </w:r>
      <w:r>
        <w:t xml:space="preserve">“democracy is always preferable,”</w:t>
      </w:r>
      <w:r>
        <w:t xml:space="preserve"> </w:t>
      </w:r>
      <w:r>
        <w:t xml:space="preserve">“authoritarian government</w:t>
      </w:r>
      <w:r>
        <w:t xml:space="preserve"> </w:t>
      </w:r>
      <w:r>
        <w:t xml:space="preserve">can sometimes be preferable,”</w:t>
      </w:r>
      <w:r>
        <w:t xml:space="preserve"> </w:t>
      </w:r>
      <w:r>
        <w:t xml:space="preserve">and</w:t>
      </w:r>
      <w:r>
        <w:t xml:space="preserve"> </w:t>
      </w:r>
      <w:r>
        <w:t xml:space="preserve">“it doesn’t matter”</w:t>
      </w:r>
      <w:r>
        <w:t xml:space="preserve"> </w:t>
      </w:r>
      <w:r>
        <w:t xml:space="preserve">(coded 1–3).</w:t>
      </w:r>
      <w:r>
        <w:t xml:space="preserve"> </w:t>
      </w:r>
      <w:r>
        <w:rPr>
          <w:i/>
          <w:iCs/>
        </w:rPr>
        <w:t xml:space="preserve">Commitment item 2</w:t>
      </w:r>
      <w:r>
        <w:t xml:space="preserve"> </w:t>
      </w:r>
      <w:r>
        <w:t xml:space="preserve">(Waves 3–6):</w:t>
      </w:r>
      <w:r>
        <w:t xml:space="preserve"> </w:t>
      </w:r>
      <w:r>
        <w:t xml:space="preserve">“democracy may have its</w:t>
      </w:r>
      <w:r>
        <w:t xml:space="preserve"> </w:t>
      </w:r>
      <w:r>
        <w:t xml:space="preserve">problems but it is still the best form of government”</w:t>
      </w:r>
      <w:r>
        <w:t xml:space="preserve"> </w:t>
      </w:r>
      <w:r>
        <w:t xml:space="preserve">(1–4</w:t>
      </w:r>
      <w:r>
        <w:t xml:space="preserve"> </w:t>
      </w:r>
      <w:r>
        <w:t xml:space="preserve">agree/disagree; nonresponse under 2 percent in Waves 3–4, rising to</w:t>
      </w:r>
      <w:r>
        <w:t xml:space="preserve"> </w:t>
      </w:r>
      <w:r>
        <w:t xml:space="preserve">10–13 percent in Wave 6).</w:t>
      </w:r>
      <w:r>
        <w:t xml:space="preserve"> </w:t>
      </w:r>
      <w:r>
        <w:rPr>
          <w:i/>
          <w:iCs/>
        </w:rPr>
        <w:t xml:space="preserve">Prioritization</w:t>
      </w:r>
      <w:r>
        <w:t xml:space="preserve"> </w:t>
      </w:r>
      <w:r>
        <w:t xml:space="preserve">(Waves 3, 4, 6):</w:t>
      </w:r>
      <w:r>
        <w:t xml:space="preserve"> </w:t>
      </w:r>
      <w:r>
        <w:t xml:space="preserve">five-point trade-off between political freedom and economic equality;</w:t>
      </w:r>
      <w:r>
        <w:t xml:space="preserve"> </w:t>
      </w:r>
      <w:r>
        <w:t xml:space="preserve">a second trade-off pitting democracy against economic development is</w:t>
      </w:r>
      <w:r>
        <w:t xml:space="preserve"> </w:t>
      </w:r>
      <w:r>
        <w:t xml:space="preserve">available all four waves but is empirically less dynamic and reported</w:t>
      </w:r>
      <w:r>
        <w:t xml:space="preserve"> </w:t>
      </w:r>
      <w:r>
        <w:t xml:space="preserve">in Appendix Table A10.</w:t>
      </w:r>
      <w:r>
        <w:t xml:space="preserve"> </w:t>
      </w:r>
      <w:r>
        <w:rPr>
          <w:i/>
          <w:iCs/>
        </w:rPr>
        <w:t xml:space="preserve">Corruption</w:t>
      </w:r>
      <w:r>
        <w:t xml:space="preserve">: witnessed corruption is a</w:t>
      </w:r>
      <w:r>
        <w:t xml:space="preserve"> </w:t>
      </w:r>
      <w:r>
        <w:t xml:space="preserve">binary indicator; Wave 2 wording is narrower than Waves 3–6 and</w:t>
      </w:r>
      <w:r>
        <w:t xml:space="preserve"> </w:t>
      </w:r>
      <w:r>
        <w:t xml:space="preserve">treated with caution. Perceived national and local government</w:t>
      </w:r>
      <w:r>
        <w:t xml:space="preserve"> </w:t>
      </w:r>
      <w:r>
        <w:t xml:space="preserve">corruption on consistent 1–4 scales.</w:t>
      </w:r>
      <w:r>
        <w:t xml:space="preserve"> </w:t>
      </w:r>
      <w:r>
        <w:rPr>
          <w:i/>
          <w:iCs/>
        </w:rPr>
        <w:t xml:space="preserve">Media and interest</w:t>
      </w:r>
      <w:r>
        <w:t xml:space="preserve">:</w:t>
      </w:r>
      <w:r>
        <w:t xml:space="preserve"> </w:t>
      </w:r>
      <w:r>
        <w:t xml:space="preserve">political interest, news following, and political discussion on</w:t>
      </w:r>
      <w:r>
        <w:t xml:space="preserve"> </w:t>
      </w:r>
      <w:r>
        <w:t xml:space="preserve">consistent 1–4 or 1–3 scales; internet news harmonized to a 1–6</w:t>
      </w:r>
      <w:r>
        <w:t xml:space="preserve"> </w:t>
      </w:r>
      <w:r>
        <w:t xml:space="preserve">frequency scale across waves with differing original response</w:t>
      </w:r>
      <w:r>
        <w:t xml:space="preserve"> </w:t>
      </w:r>
      <w:r>
        <w:t xml:space="preserve">categories.</w:t>
      </w:r>
    </w:p>
  </w:footnote>
  <w:footnote w:id="22">
    <w:p>
      <w:pPr>
        <w:pStyle w:val="FootnoteText"/>
      </w:pPr>
      <w:r>
        <w:rPr>
          <w:rStyle w:val="FootnoteReference"/>
        </w:rPr>
        <w:footnoteRef/>
      </w:r>
      <w:r>
        <w:t xml:space="preserve"> </w:t>
      </w:r>
      <w:r>
        <w:t xml:space="preserve">This design cannot</w:t>
      </w:r>
      <w:r>
        <w:t xml:space="preserve"> </w:t>
      </w:r>
      <w:r>
        <w:t xml:space="preserve">establish causality in the formal sense, but can identify whether the</w:t>
      </w:r>
      <w:r>
        <w:t xml:space="preserve"> </w:t>
      </w:r>
      <w:r>
        <w:t xml:space="preserve">timing, direction, and domain-specificity of observed shifts are</w:t>
      </w:r>
      <w:r>
        <w:t xml:space="preserve"> </w:t>
      </w:r>
      <w:r>
        <w:t xml:space="preserve">consistent with the demobilization-by-subtraction mechanism and</w:t>
      </w:r>
      <w:r>
        <w:t xml:space="preserve"> </w:t>
      </w:r>
      <w:r>
        <w:t xml:space="preserve">inconsistent with plausible alternatives. The analytic strategy treats</w:t>
      </w:r>
      <w:r>
        <w:t xml:space="preserve"> </w:t>
      </w:r>
      <w:r>
        <w:t xml:space="preserve">the Cambodian sequence as a structured comparison across a documented</w:t>
      </w:r>
      <w:r>
        <w:t xml:space="preserve"> </w:t>
      </w:r>
      <w:r>
        <w:t xml:space="preserve">political closure rather than as a natural experiment.</w:t>
      </w:r>
    </w:p>
  </w:footnote>
  <w:footnote w:id="25">
    <w:p>
      <w:pPr>
        <w:pStyle w:val="FootnoteText"/>
      </w:pPr>
      <w:r>
        <w:rPr>
          <w:rStyle w:val="FootnoteReference"/>
        </w:rPr>
        <w:footnoteRef/>
      </w:r>
      <w:r>
        <w:t xml:space="preserve"> </w:t>
      </w:r>
      <w:r>
        <w:t xml:space="preserve">Unless otherwise noted,</w:t>
      </w:r>
      <w:r>
        <w:t xml:space="preserve"> </w:t>
      </w:r>
      <w:r>
        <w:t xml:space="preserve">the political chronology and electoral data in this section draw on</w:t>
      </w:r>
      <w:r>
        <w:t xml:space="preserve"> </w:t>
      </w:r>
      <w:r>
        <w:t xml:space="preserve">Hughes (2010); Strangio (2014); Un (2013a); and Un (2013b)</w:t>
      </w:r>
    </w:p>
  </w:footnote>
  <w:footnote w:id="26">
    <w:p>
      <w:pPr>
        <w:pStyle w:val="FootnoteText"/>
      </w:pPr>
      <w:r>
        <w:rPr>
          <w:rStyle w:val="FootnoteReference"/>
        </w:rPr>
        <w:footnoteRef/>
      </w:r>
      <w:r>
        <w:t xml:space="preserve"> </w:t>
      </w:r>
      <w:r>
        <w:t xml:space="preserve">Unless otherwise noted, the following scale conventions</w:t>
      </w:r>
      <w:r>
        <w:t xml:space="preserve"> </w:t>
      </w:r>
      <w:r>
        <w:t xml:space="preserve">apply throughout: gate participation items are reported as the</w:t>
      </w:r>
      <w:r>
        <w:t xml:space="preserve"> </w:t>
      </w:r>
      <w:r>
        <w:t xml:space="preserve">percentage of respondents who ever engaged in each activity (binary:</w:t>
      </w:r>
      <w:r>
        <w:t xml:space="preserve"> </w:t>
      </w:r>
      <w:r>
        <w:t xml:space="preserve">ever vs. never); community leader contact is reported as a mean on a</w:t>
      </w:r>
      <w:r>
        <w:t xml:space="preserve"> </w:t>
      </w:r>
      <w:r>
        <w:t xml:space="preserve">1–5 scale (1 = never, 5 = often); authoritarian governance</w:t>
      </w:r>
      <w:r>
        <w:t xml:space="preserve"> </w:t>
      </w:r>
      <w:r>
        <w:t xml:space="preserve">preferences on a 1–4 scale (1 = very bad, 4 = very good); democratic</w:t>
      </w:r>
      <w:r>
        <w:t xml:space="preserve"> </w:t>
      </w:r>
      <w:r>
        <w:t xml:space="preserve">assessments on a 1–10 scale; corruption perceptions on a 1–4 scale</w:t>
      </w:r>
      <w:r>
        <w:t xml:space="preserve"> </w:t>
      </w:r>
      <w:r>
        <w:t xml:space="preserve">(1 = hardly anyone, 4 = almost everyone); and media and political</w:t>
      </w:r>
      <w:r>
        <w:t xml:space="preserve"> </w:t>
      </w:r>
      <w:r>
        <w:t xml:space="preserve">interest items on a 1–4 scale (1 = none, 4 = a great deal). Internet</w:t>
      </w:r>
      <w:r>
        <w:t xml:space="preserve"> </w:t>
      </w:r>
      <w:r>
        <w:t xml:space="preserve">news frequency is harmonized to a 1–6 scale (1 = never, 6 = daily or</w:t>
      </w:r>
      <w:r>
        <w:t xml:space="preserve"> </w:t>
      </w:r>
      <w:r>
        <w:t xml:space="preserve">more) across waves with differing original response categories; see</w:t>
      </w:r>
      <w:r>
        <w:t xml:space="preserve"> </w:t>
      </w:r>
      <w:r>
        <w:t xml:space="preserve">the dedicated footnote in the Wave 3 discussion for details. Witnessed</w:t>
      </w:r>
      <w:r>
        <w:t xml:space="preserve"> </w:t>
      </w:r>
      <w:r>
        <w:t xml:space="preserve">corruption is reported as a binary proportion. Voter turnout is</w:t>
      </w:r>
      <w:r>
        <w:t xml:space="preserve"> </w:t>
      </w:r>
      <w:r>
        <w:t xml:space="preserve">self-reported and expressed as a percentage.</w:t>
      </w:r>
    </w:p>
  </w:footnote>
  <w:footnote w:id="27">
    <w:p>
      <w:pPr>
        <w:pStyle w:val="FootnoteText"/>
      </w:pPr>
      <w:r>
        <w:rPr>
          <w:rStyle w:val="FootnoteReference"/>
        </w:rPr>
        <w:footnoteRef/>
      </w:r>
      <w:r>
        <w:t xml:space="preserve"> </w:t>
      </w:r>
      <w:r>
        <w:t xml:space="preserve">Direct</w:t>
      </w:r>
      <w:r>
        <w:t xml:space="preserve"> </w:t>
      </w:r>
      <w:r>
        <w:t xml:space="preserve">contact with elected officials and civil servants uses a</w:t>
      </w:r>
      <w:r>
        <w:t xml:space="preserve"> </w:t>
      </w:r>
      <w:r>
        <w:t xml:space="preserve">broadly-worded</w:t>
      </w:r>
      <w:r>
        <w:t xml:space="preserve"> </w:t>
      </w:r>
      <w:r>
        <w:t xml:space="preserve">‘at any level’</w:t>
      </w:r>
      <w:r>
        <w:t xml:space="preserve"> </w:t>
      </w:r>
      <w:r>
        <w:t xml:space="preserve">framing in Wave 2 that differs from the</w:t>
      </w:r>
      <w:r>
        <w:t xml:space="preserve"> </w:t>
      </w:r>
      <w:r>
        <w:t xml:space="preserve">narrower, problem-motivated framing in Wave 3 and from the Wave 4 and</w:t>
      </w:r>
      <w:r>
        <w:t xml:space="preserve"> </w:t>
      </w:r>
      <w:r>
        <w:t xml:space="preserve">6 formulations; these items are not used for cross-wave comparisons</w:t>
      </w:r>
      <w:r>
        <w:t xml:space="preserve"> </w:t>
      </w:r>
      <w:r>
        <w:t xml:space="preserve">involving Wave 2 but are reported in the four-wave tables with</w:t>
      </w:r>
      <w:r>
        <w:t xml:space="preserve"> </w:t>
      </w:r>
      <w:r>
        <w:t xml:space="preserve">appropriate documentation.</w:t>
      </w:r>
    </w:p>
  </w:footnote>
  <w:footnote w:id="29">
    <w:p>
      <w:pPr>
        <w:pStyle w:val="FootnoteText"/>
      </w:pPr>
      <w:r>
        <w:rPr>
          <w:rStyle w:val="FootnoteReference"/>
        </w:rPr>
        <w:footnoteRef/>
      </w:r>
      <w:r>
        <w:t xml:space="preserve"> </w:t>
      </w:r>
      <w:r>
        <w:t xml:space="preserve">Unless otherwise noted, the political chronology and</w:t>
      </w:r>
      <w:r>
        <w:t xml:space="preserve"> </w:t>
      </w:r>
      <w:r>
        <w:t xml:space="preserve">electoral data in this section draw on Un (2013b); Um (2014); Strangio</w:t>
      </w:r>
      <w:r>
        <w:t xml:space="preserve"> </w:t>
      </w:r>
      <w:r>
        <w:t xml:space="preserve">(2014); and Norén-Nilsson (2015) On the 2013 election results</w:t>
      </w:r>
      <w:r>
        <w:t xml:space="preserve"> </w:t>
      </w:r>
      <w:r>
        <w:t xml:space="preserve">specifically, see COMFREL (The Committee for Free and Fair Elections</w:t>
      </w:r>
      <w:r>
        <w:t xml:space="preserve"> </w:t>
      </w:r>
      <w:r>
        <w:t xml:space="preserve">in Cambodia) (2013)</w:t>
      </w:r>
    </w:p>
  </w:footnote>
  <w:footnote w:id="30">
    <w:p>
      <w:pPr>
        <w:pStyle w:val="FootnoteText"/>
      </w:pPr>
      <w:r>
        <w:rPr>
          <w:rStyle w:val="FootnoteReference"/>
        </w:rPr>
        <w:footnoteRef/>
      </w:r>
      <w:r>
        <w:t xml:space="preserve"> </w:t>
      </w:r>
      <w:r>
        <w:t xml:space="preserve">Traditional</w:t>
      </w:r>
      <w:r>
        <w:t xml:space="preserve"> </w:t>
      </w:r>
      <w:r>
        <w:t xml:space="preserve">values measures also peaked in Wave 3—an unexpected finding given</w:t>
      </w:r>
      <w:r>
        <w:t xml:space="preserve"> </w:t>
      </w:r>
      <w:r>
        <w:t xml:space="preserve">that the broader mobilization was associated with youth activism. One</w:t>
      </w:r>
      <w:r>
        <w:t xml:space="preserve"> </w:t>
      </w:r>
      <w:r>
        <w:t xml:space="preserve">possibility is that the CNRP’s messaging, which blended democratic</w:t>
      </w:r>
      <w:r>
        <w:t xml:space="preserve"> </w:t>
      </w:r>
      <w:r>
        <w:t xml:space="preserve">aspiration with Khmer cultural conservatism, activated traditional</w:t>
      </w:r>
      <w:r>
        <w:t xml:space="preserve"> </w:t>
      </w:r>
      <w:r>
        <w:t xml:space="preserve">values alongside democratic ones; another is a general intensification</w:t>
      </w:r>
      <w:r>
        <w:t xml:space="preserve"> </w:t>
      </w:r>
      <w:r>
        <w:t xml:space="preserve">of expressed attitudes in the charged political environment of 2012.</w:t>
      </w:r>
    </w:p>
  </w:footnote>
  <w:footnote w:id="31">
    <w:p>
      <w:pPr>
        <w:pStyle w:val="FootnoteText"/>
      </w:pPr>
      <w:r>
        <w:rPr>
          <w:rStyle w:val="FootnoteReference"/>
        </w:rPr>
        <w:footnoteRef/>
      </w:r>
      <w:r>
        <w:t xml:space="preserve"> </w:t>
      </w:r>
      <w:r>
        <w:t xml:space="preserve">The</w:t>
      </w:r>
      <w:r>
        <w:t xml:space="preserve"> </w:t>
      </w:r>
      <w:r>
        <w:t xml:space="preserve">ABS internet news item underwent substantial scale changes across</w:t>
      </w:r>
      <w:r>
        <w:t xml:space="preserve"> </w:t>
      </w:r>
      <w:r>
        <w:t xml:space="preserve">waves (6-point in W2/W3, 8-point in W4, 9-point in W6) and has been</w:t>
      </w:r>
      <w:r>
        <w:t xml:space="preserve"> </w:t>
      </w:r>
      <w:r>
        <w:t xml:space="preserve">harmonized to a common 1–6 frequency scale (1 = never, 6 = daily or</w:t>
      </w:r>
      <w:r>
        <w:t xml:space="preserve"> </w:t>
      </w:r>
      <w:r>
        <w:t xml:space="preserve">more).</w:t>
      </w:r>
    </w:p>
  </w:footnote>
  <w:footnote w:id="33">
    <w:p>
      <w:pPr>
        <w:pStyle w:val="FootnoteText"/>
      </w:pPr>
      <w:r>
        <w:rPr>
          <w:rStyle w:val="FootnoteReference"/>
        </w:rPr>
        <w:footnoteRef/>
      </w:r>
      <w:r>
        <w:t xml:space="preserve"> </w:t>
      </w:r>
      <w:r>
        <w:t xml:space="preserve">Unless otherwise noted, the</w:t>
      </w:r>
      <w:r>
        <w:t xml:space="preserve"> </w:t>
      </w:r>
      <w:r>
        <w:t xml:space="preserve">political chronology in this section draws on Chheang (2015);</w:t>
      </w:r>
      <w:r>
        <w:t xml:space="preserve"> </w:t>
      </w:r>
      <w:r>
        <w:t xml:space="preserve">Morgenbesser (2017); and Norén-Nilsson (2019)</w:t>
      </w:r>
    </w:p>
  </w:footnote>
  <w:footnote w:id="35">
    <w:p>
      <w:pPr>
        <w:pStyle w:val="FootnoteText"/>
      </w:pPr>
      <w:r>
        <w:rPr>
          <w:rStyle w:val="FootnoteReference"/>
        </w:rPr>
        <w:footnoteRef/>
      </w:r>
      <w:r>
        <w:t xml:space="preserve"> </w:t>
      </w:r>
      <w:r>
        <w:t xml:space="preserve">Unless otherwise noted, the political chronology in</w:t>
      </w:r>
      <w:r>
        <w:t xml:space="preserve"> </w:t>
      </w:r>
      <w:r>
        <w:t xml:space="preserve">this section draws on Un and Luo (2020); Chheang (2021); and</w:t>
      </w:r>
      <w:r>
        <w:t xml:space="preserve"> </w:t>
      </w:r>
      <w:r>
        <w:t xml:space="preserve">Morgenbesser and Pepinsky (2019)</w:t>
      </w:r>
    </w:p>
  </w:footnote>
  <w:footnote w:id="42">
    <w:p>
      <w:pPr>
        <w:pStyle w:val="FootnoteText"/>
      </w:pPr>
      <w:r>
        <w:rPr>
          <w:rStyle w:val="FootnoteReference"/>
        </w:rPr>
        <w:footnoteRef/>
      </w:r>
      <w:r>
        <w:t xml:space="preserve"> </w:t>
      </w:r>
      <w:r>
        <w:t xml:space="preserve">The international</w:t>
      </w:r>
      <w:r>
        <w:t xml:space="preserve"> </w:t>
      </w:r>
      <w:r>
        <w:t xml:space="preserve">orientation data add a final dimension to the normalization portrait.</w:t>
      </w:r>
      <w:r>
        <w:t xml:space="preserve"> </w:t>
      </w:r>
      <w:r>
        <w:t xml:space="preserve">Cambodian assessments of Chinese influence in the region grew more</w:t>
      </w:r>
      <w:r>
        <w:t xml:space="preserve"> </w:t>
      </w:r>
      <w:r>
        <w:t xml:space="preserve">positive between Waves 4 and 6, rising from 2.69 to 2.88 on a</w:t>
      </w:r>
      <w:r>
        <w:t xml:space="preserve"> </w:t>
      </w:r>
      <w:r>
        <w:t xml:space="preserve">four-point scale measuring perceived benefit versus harm. More</w:t>
      </w:r>
      <w:r>
        <w:t xml:space="preserve"> </w:t>
      </w:r>
      <w:r>
        <w:t xml:space="preserve">striking still, expectations of future Asian—implicitly</w:t>
      </w:r>
      <w:r>
        <w:t xml:space="preserve"> </w:t>
      </w:r>
      <w:r>
        <w:t xml:space="preserve">Chinese—regional influence climbed from 2.74 in Wave 4 to 3.3 in</w:t>
      </w:r>
      <w:r>
        <w:t xml:space="preserve"> </w:t>
      </w:r>
      <w:r>
        <w:t xml:space="preserve">Wave 6, a trajectory that places Cambodia among the most</w:t>
      </w:r>
      <w:r>
        <w:t xml:space="preserve"> </w:t>
      </w:r>
      <w:r>
        <w:t xml:space="preserve">China-positive publics in the ABS dataset. This is consistent with</w:t>
      </w:r>
      <w:r>
        <w:t xml:space="preserve"> </w:t>
      </w:r>
      <w:r>
        <w:t xml:space="preserve">Cambodia’s deepening alignment with Beijing during this period,</w:t>
      </w:r>
      <w:r>
        <w:t xml:space="preserve"> </w:t>
      </w:r>
      <w:r>
        <w:t xml:space="preserve">visible in Belt and Road infrastructure investment, the Ream Naval</w:t>
      </w:r>
      <w:r>
        <w:t xml:space="preserve"> </w:t>
      </w:r>
      <w:r>
        <w:t xml:space="preserve">Base controversy, and Cambodia’s consistent support for Chinese</w:t>
      </w:r>
      <w:r>
        <w:t xml:space="preserve"> </w:t>
      </w:r>
      <w:r>
        <w:t xml:space="preserve">positions within ASEAN. But it also fits the normalization logic: as</w:t>
      </w:r>
      <w:r>
        <w:t xml:space="preserve"> </w:t>
      </w:r>
      <w:r>
        <w:t xml:space="preserve">democratic futures recede and Western-aligned political alternatives</w:t>
      </w:r>
      <w:r>
        <w:t xml:space="preserve"> </w:t>
      </w:r>
      <w:r>
        <w:t xml:space="preserve">are eliminated, alignment with the ascendant authoritarian power in</w:t>
      </w:r>
      <w:r>
        <w:t xml:space="preserve"> </w:t>
      </w:r>
      <w:r>
        <w:t xml:space="preserve">the region becomes the natural orientation of a population adjusting</w:t>
      </w:r>
      <w:r>
        <w:t xml:space="preserve"> </w:t>
      </w:r>
      <w:r>
        <w:t xml:space="preserve">to the available political reality. A paired comparison with Vietnam</w:t>
      </w:r>
      <w:r>
        <w:t xml:space="preserve"> </w:t>
      </w:r>
      <w:r>
        <w:t xml:space="preserve">or the Philippines—where territorial disputes drive China</w:t>
      </w:r>
      <w:r>
        <w:t xml:space="preserve"> </w:t>
      </w:r>
      <w:r>
        <w:t xml:space="preserve">perceptions in sharply negative directions despite similar economic</w:t>
      </w:r>
      <w:r>
        <w:t xml:space="preserve"> </w:t>
      </w:r>
      <w:r>
        <w:t xml:space="preserve">interdependence—would sharpen this point considerably (Strangio</w:t>
      </w:r>
      <w:r>
        <w:t xml:space="preserve"> </w:t>
      </w:r>
      <w:r>
        <w:t xml:space="preserve">2020).</w:t>
      </w:r>
    </w:p>
  </w:footnote>
  <w:footnote w:id="44">
    <w:p>
      <w:pPr>
        <w:pStyle w:val="FootnoteText"/>
      </w:pPr>
      <w:r>
        <w:rPr>
          <w:rStyle w:val="FootnoteReference"/>
        </w:rPr>
        <w:footnoteRef/>
      </w:r>
      <w:r>
        <w:t xml:space="preserve"> </w:t>
      </w:r>
      <w:r>
        <w:t xml:space="preserve">Mean nonresponse across</w:t>
      </w:r>
      <w:r>
        <w:t xml:space="preserve"> </w:t>
      </w:r>
      <w:r>
        <w:t xml:space="preserve">all political items rose from approximately 5 percent in Wave 3 to 14</w:t>
      </w:r>
      <w:r>
        <w:t xml:space="preserve"> </w:t>
      </w:r>
      <w:r>
        <w:t xml:space="preserve">percent in Wave 6, consistent with either increased reluctance or</w:t>
      </w:r>
      <w:r>
        <w:t xml:space="preserve"> </w:t>
      </w:r>
      <w:r>
        <w:t xml:space="preserve">decreased political engagement.</w:t>
      </w:r>
    </w:p>
  </w:footnote>
  <w:footnote w:id="47">
    <w:p>
      <w:pPr>
        <w:pStyle w:val="FootnoteText"/>
      </w:pPr>
      <w:r>
        <w:rPr>
          <w:rStyle w:val="FootnoteReference"/>
        </w:rPr>
        <w:footnoteRef/>
      </w:r>
      <w:r>
        <w:t xml:space="preserve"> </w:t>
      </w:r>
      <w:r>
        <w:t xml:space="preserve">The only post-dissolution SES data publicly available</w:t>
      </w:r>
      <w:r>
        <w:t xml:space="preserve"> </w:t>
      </w:r>
      <w:r>
        <w:t xml:space="preserve">contain a single item on satisfaction with the government’s handling</w:t>
      </w:r>
      <w:r>
        <w:t xml:space="preserve"> </w:t>
      </w:r>
      <w:r>
        <w:t xml:space="preserve">of COVID-19. The systematic unavailability of civic orientation data</w:t>
      </w:r>
      <w:r>
        <w:t xml:space="preserve"> </w:t>
      </w:r>
      <w:r>
        <w:t xml:space="preserve">across both survey programs during the years immediately following the</w:t>
      </w:r>
      <w:r>
        <w:t xml:space="preserve"> </w:t>
      </w:r>
      <w:r>
        <w:t xml:space="preserve">CNRP dissolution is itself consistent with the political closure</w:t>
      </w:r>
      <w:r>
        <w:t xml:space="preserve"> </w:t>
      </w:r>
      <w:r>
        <w:t xml:space="preserve">documented here.</w:t>
      </w:r>
    </w:p>
  </w:footnote>
  <w:footnote w:id="48">
    <w:p>
      <w:pPr>
        <w:pStyle w:val="FootnoteText"/>
      </w:pPr>
      <w:r>
        <w:rPr>
          <w:rStyle w:val="FootnoteReference"/>
        </w:rPr>
        <w:footnoteRef/>
      </w:r>
      <w:r>
        <w:t xml:space="preserve"> </w:t>
      </w:r>
      <w:r>
        <w:t xml:space="preserve">One placebo item does register a notable decline:</w:t>
      </w:r>
      <w:r>
        <w:t xml:space="preserve"> </w:t>
      </w:r>
      <w:r>
        <w:t xml:space="preserve">interpersonal trust fell from 14 percent (Wave 4) to 5 percent (Wave</w:t>
      </w:r>
      <w:r>
        <w:t xml:space="preserve"> </w:t>
      </w:r>
      <w:r>
        <w:t xml:space="preserve">6) on the binary</w:t>
      </w:r>
      <w:r>
        <w:t xml:space="preserve"> </w:t>
      </w:r>
      <w:r>
        <w:t xml:space="preserve">“most people can be trusted”</w:t>
      </w:r>
      <w:r>
        <w:t xml:space="preserve"> </w:t>
      </w:r>
      <w:r>
        <w:t xml:space="preserve">item. This drop is</w:t>
      </w:r>
      <w:r>
        <w:t xml:space="preserve"> </w:t>
      </w:r>
      <w:r>
        <w:t xml:space="preserve">consistent with the social atomization documented in pandemic-era</w:t>
      </w:r>
      <w:r>
        <w:t xml:space="preserve"> </w:t>
      </w:r>
      <w:r>
        <w:t xml:space="preserve">survey research across multiple countries and may also reflect broader</w:t>
      </w:r>
      <w:r>
        <w:t xml:space="preserve"> </w:t>
      </w:r>
      <w:r>
        <w:t xml:space="preserve">erosion of social cohesion under intensified authoritarianism (Aassve</w:t>
      </w:r>
      <w:r>
        <w:t xml:space="preserve"> </w:t>
      </w:r>
      <w:r>
        <w:t xml:space="preserve">et al. 2021). However, the fact that this is the only non-political</w:t>
      </w:r>
      <w:r>
        <w:t xml:space="preserve"> </w:t>
      </w:r>
      <w:r>
        <w:t xml:space="preserve">item showing a substantial decline—while national pride, family</w:t>
      </w:r>
      <w:r>
        <w:t xml:space="preserve"> </w:t>
      </w:r>
      <w:r>
        <w:t xml:space="preserve">economic assessment, and perceived economic change all remain</w:t>
      </w:r>
      <w:r>
        <w:t xml:space="preserve"> </w:t>
      </w:r>
      <w:r>
        <w:t xml:space="preserve">stable—suggests a localized effect rather than a general</w:t>
      </w:r>
      <w:r>
        <w:t xml:space="preserve"> </w:t>
      </w:r>
      <w:r>
        <w:t xml:space="preserve">contamination of the survey environment.</w:t>
      </w:r>
    </w:p>
  </w:footnote>
  <w:footnote w:id="50">
    <w:p>
      <w:pPr>
        <w:pStyle w:val="FootnoteText"/>
      </w:pPr>
      <w:r>
        <w:rPr>
          <w:rStyle w:val="FootnoteReference"/>
        </w:rPr>
        <w:footnoteRef/>
      </w:r>
      <w:r>
        <w:t xml:space="preserve"> </w:t>
      </w:r>
      <w:r>
        <w:t xml:space="preserve">The canonical formulation of</w:t>
      </w:r>
      <w:r>
        <w:t xml:space="preserve"> </w:t>
      </w:r>
      <w:r>
        <w:t xml:space="preserve">democratic values as a stable cultural attribute is found in the</w:t>
      </w:r>
      <w:r>
        <w:t xml:space="preserve"> </w:t>
      </w:r>
      <w:r>
        <w:t xml:space="preserve">political culture tradition from Inglehart (1997) onward. The</w:t>
      </w:r>
      <w:r>
        <w:t xml:space="preserve"> </w:t>
      </w:r>
      <w:r>
        <w:t xml:space="preserve">Cambodian data suggest a more situationally contingent model—closer</w:t>
      </w:r>
      <w:r>
        <w:t xml:space="preserve"> </w:t>
      </w:r>
      <w:r>
        <w:t xml:space="preserve">to what Bratton and Mattes have termed</w:t>
      </w:r>
      <w:r>
        <w:t xml:space="preserve"> </w:t>
      </w:r>
      <w:r>
        <w:t xml:space="preserve">“demand for democracy”</w:t>
      </w:r>
      <w:r>
        <w:t xml:space="preserve"> </w:t>
      </w:r>
      <w:r>
        <w:t xml:space="preserve">as a</w:t>
      </w:r>
      <w:r>
        <w:t xml:space="preserve"> </w:t>
      </w:r>
      <w:r>
        <w:t xml:space="preserve">function of perceived supply (Bratton et al. 2004; Mattes and Bratton</w:t>
      </w:r>
      <w:r>
        <w:t xml:space="preserve"> </w:t>
      </w:r>
      <w:r>
        <w:t xml:space="preserve">2007).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df" /><Relationship Type="http://schemas.openxmlformats.org/officeDocument/2006/relationships/hyperlink" Id="rId54" Target="https://doi.org/10.1002/hec.4218" TargetMode="External" /><Relationship Type="http://schemas.openxmlformats.org/officeDocument/2006/relationships/hyperlink" Id="rId71" Target="https://doi.org/10.1007/978-0-230-80257-5_2" TargetMode="External" /><Relationship Type="http://schemas.openxmlformats.org/officeDocument/2006/relationships/hyperlink" Id="rId92" Target="https://doi.org/10.1017/S0010417598001388" TargetMode="External" /><Relationship Type="http://schemas.openxmlformats.org/officeDocument/2006/relationships/hyperlink" Id="rId64" Target="https://doi.org/10.1017/cbo9780511510090" TargetMode="External" /><Relationship Type="http://schemas.openxmlformats.org/officeDocument/2006/relationships/hyperlink" Id="rId56" Target="https://doi.org/10.1017/cbo9780511617324" TargetMode="External" /><Relationship Type="http://schemas.openxmlformats.org/officeDocument/2006/relationships/hyperlink" Id="rId69" Target="https://doi.org/10.1017/cbo9780511781353" TargetMode="External" /><Relationship Type="http://schemas.openxmlformats.org/officeDocument/2006/relationships/hyperlink" Id="rId82" Target="https://doi.org/10.1017/cbo9780511804946" TargetMode="External" /><Relationship Type="http://schemas.openxmlformats.org/officeDocument/2006/relationships/hyperlink" Id="rId62" Target="https://doi.org/10.1017/cbo9781316494172" TargetMode="External" /><Relationship Type="http://schemas.openxmlformats.org/officeDocument/2006/relationships/hyperlink" Id="rId81" Target="https://doi.org/10.1017/s1537592722002067" TargetMode="External" /><Relationship Type="http://schemas.openxmlformats.org/officeDocument/2006/relationships/hyperlink" Id="rId63" Target="https://doi.org/10.1080/1060586x.2016.1144334" TargetMode="External" /><Relationship Type="http://schemas.openxmlformats.org/officeDocument/2006/relationships/hyperlink" Id="rId65" Target="https://doi.org/10.1080/13510347.2013.738860" TargetMode="External" /><Relationship Type="http://schemas.openxmlformats.org/officeDocument/2006/relationships/hyperlink" Id="rId75" Target="https://doi.org/10.1080/13569775.2016.1230317" TargetMode="External" /><Relationship Type="http://schemas.openxmlformats.org/officeDocument/2006/relationships/hyperlink" Id="rId79" Target="https://doi.org/10.1080/14672715.2020.1837637" TargetMode="External" /><Relationship Type="http://schemas.openxmlformats.org/officeDocument/2006/relationships/hyperlink" Id="rId84" Target="https://doi.org/10.1093/acprof:oso/9780199680320.001.0001" TargetMode="External" /><Relationship Type="http://schemas.openxmlformats.org/officeDocument/2006/relationships/hyperlink" Id="rId70" Target="https://doi.org/10.1111/1475-6765.00089" TargetMode="External" /><Relationship Type="http://schemas.openxmlformats.org/officeDocument/2006/relationships/hyperlink" Id="rId85" Target="https://doi.org/10.1111/j.1475-6765.2007.00708.x" TargetMode="External" /><Relationship Type="http://schemas.openxmlformats.org/officeDocument/2006/relationships/hyperlink" Id="rId73" Target="https://doi.org/10.1111/j.1540-5907.2007.00245.x" TargetMode="External" /><Relationship Type="http://schemas.openxmlformats.org/officeDocument/2006/relationships/hyperlink" Id="rId72" Target="https://doi.org/10.1146/annurev.polisci.031908.220529" TargetMode="External" /><Relationship Type="http://schemas.openxmlformats.org/officeDocument/2006/relationships/hyperlink" Id="rId60" Target="https://doi.org/10.1146/annurev.polisci.10.101405.143216" TargetMode="External" /><Relationship Type="http://schemas.openxmlformats.org/officeDocument/2006/relationships/hyperlink" Id="rId61" Target="https://doi.org/10.1146/annurev.soc.012809.102609" TargetMode="External" /><Relationship Type="http://schemas.openxmlformats.org/officeDocument/2006/relationships/hyperlink" Id="rId77" Target="https://doi.org/10.11588/IAF.2015.46.3726" TargetMode="External" /><Relationship Type="http://schemas.openxmlformats.org/officeDocument/2006/relationships/hyperlink" Id="rId76" Target="https://doi.org/10.1177/0010414018758763" TargetMode="External" /><Relationship Type="http://schemas.openxmlformats.org/officeDocument/2006/relationships/hyperlink" Id="rId68" Target="https://doi.org/10.1177/00104140251369320" TargetMode="External" /><Relationship Type="http://schemas.openxmlformats.org/officeDocument/2006/relationships/hyperlink" Id="rId91" Target="https://doi.org/10.1177/10659129211009605" TargetMode="External" /><Relationship Type="http://schemas.openxmlformats.org/officeDocument/2006/relationships/hyperlink" Id="rId78" Target="https://doi.org/10.1177/1868103419846009" TargetMode="External" /><Relationship Type="http://schemas.openxmlformats.org/officeDocument/2006/relationships/hyperlink" Id="rId83" Target="https://doi.org/10.1353/jod.2002.0031" TargetMode="External" /><Relationship Type="http://schemas.openxmlformats.org/officeDocument/2006/relationships/hyperlink" Id="rId89" Target="https://doi.org/10.1355/9789814459563-009" TargetMode="External" /><Relationship Type="http://schemas.openxmlformats.org/officeDocument/2006/relationships/hyperlink" Id="rId57" Target="https://doi.org/10.1355/9789814620598-008" TargetMode="External" /><Relationship Type="http://schemas.openxmlformats.org/officeDocument/2006/relationships/hyperlink" Id="rId87" Target="https://doi.org/10.1355/aa14-1g" TargetMode="External" /><Relationship Type="http://schemas.openxmlformats.org/officeDocument/2006/relationships/hyperlink" Id="rId90" Target="https://doi.org/10.1355/aa20-1g" TargetMode="External" /><Relationship Type="http://schemas.openxmlformats.org/officeDocument/2006/relationships/hyperlink" Id="rId58" Target="https://doi.org/10.1355/aa21-1e" TargetMode="External" /><Relationship Type="http://schemas.openxmlformats.org/officeDocument/2006/relationships/hyperlink" Id="rId66" Target="https://doi.org/10.1355/seaa10f" TargetMode="External" /><Relationship Type="http://schemas.openxmlformats.org/officeDocument/2006/relationships/hyperlink" Id="rId55" Target="https://doi.org/10.14764/10.ASEAS-0014" TargetMode="External" /><Relationship Type="http://schemas.openxmlformats.org/officeDocument/2006/relationships/hyperlink" Id="rId67" Target="https://doi.org/10.1515/9780691214429" TargetMode="External" /><Relationship Type="http://schemas.openxmlformats.org/officeDocument/2006/relationships/hyperlink" Id="rId88" Target="https://doi.org/10.1525/as.2013.53.1.142" TargetMode="External" /><Relationship Type="http://schemas.openxmlformats.org/officeDocument/2006/relationships/hyperlink" Id="rId80" Target="https://doi.org/10.17645/pag.v8i3.3020" TargetMode="External" /><Relationship Type="http://schemas.openxmlformats.org/officeDocument/2006/relationships/hyperlink" Id="rId86" Target="https://doi.org/10.2307/j.ctv14rmq92" TargetMode="External" /><Relationship Type="http://schemas.openxmlformats.org/officeDocument/2006/relationships/hyperlink" Id="rId74" Target="https://doi.org/10.2307/jj.18254974" TargetMode="External" /><Relationship Type="http://schemas.openxmlformats.org/officeDocument/2006/relationships/hyperlink" Id="rId59" Target="https://doi.org/10.7312/chu-14534"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02/hec.4218" TargetMode="External" /><Relationship Type="http://schemas.openxmlformats.org/officeDocument/2006/relationships/hyperlink" Id="rId71" Target="https://doi.org/10.1007/978-0-230-80257-5_2" TargetMode="External" /><Relationship Type="http://schemas.openxmlformats.org/officeDocument/2006/relationships/hyperlink" Id="rId92" Target="https://doi.org/10.1017/S0010417598001388" TargetMode="External" /><Relationship Type="http://schemas.openxmlformats.org/officeDocument/2006/relationships/hyperlink" Id="rId64" Target="https://doi.org/10.1017/cbo9780511510090" TargetMode="External" /><Relationship Type="http://schemas.openxmlformats.org/officeDocument/2006/relationships/hyperlink" Id="rId56" Target="https://doi.org/10.1017/cbo9780511617324" TargetMode="External" /><Relationship Type="http://schemas.openxmlformats.org/officeDocument/2006/relationships/hyperlink" Id="rId69" Target="https://doi.org/10.1017/cbo9780511781353" TargetMode="External" /><Relationship Type="http://schemas.openxmlformats.org/officeDocument/2006/relationships/hyperlink" Id="rId82" Target="https://doi.org/10.1017/cbo9780511804946" TargetMode="External" /><Relationship Type="http://schemas.openxmlformats.org/officeDocument/2006/relationships/hyperlink" Id="rId62" Target="https://doi.org/10.1017/cbo9781316494172" TargetMode="External" /><Relationship Type="http://schemas.openxmlformats.org/officeDocument/2006/relationships/hyperlink" Id="rId81" Target="https://doi.org/10.1017/s1537592722002067" TargetMode="External" /><Relationship Type="http://schemas.openxmlformats.org/officeDocument/2006/relationships/hyperlink" Id="rId63" Target="https://doi.org/10.1080/1060586x.2016.1144334" TargetMode="External" /><Relationship Type="http://schemas.openxmlformats.org/officeDocument/2006/relationships/hyperlink" Id="rId65" Target="https://doi.org/10.1080/13510347.2013.738860" TargetMode="External" /><Relationship Type="http://schemas.openxmlformats.org/officeDocument/2006/relationships/hyperlink" Id="rId75" Target="https://doi.org/10.1080/13569775.2016.1230317" TargetMode="External" /><Relationship Type="http://schemas.openxmlformats.org/officeDocument/2006/relationships/hyperlink" Id="rId79" Target="https://doi.org/10.1080/14672715.2020.1837637" TargetMode="External" /><Relationship Type="http://schemas.openxmlformats.org/officeDocument/2006/relationships/hyperlink" Id="rId84" Target="https://doi.org/10.1093/acprof:oso/9780199680320.001.0001" TargetMode="External" /><Relationship Type="http://schemas.openxmlformats.org/officeDocument/2006/relationships/hyperlink" Id="rId70" Target="https://doi.org/10.1111/1475-6765.00089" TargetMode="External" /><Relationship Type="http://schemas.openxmlformats.org/officeDocument/2006/relationships/hyperlink" Id="rId85" Target="https://doi.org/10.1111/j.1475-6765.2007.00708.x" TargetMode="External" /><Relationship Type="http://schemas.openxmlformats.org/officeDocument/2006/relationships/hyperlink" Id="rId73" Target="https://doi.org/10.1111/j.1540-5907.2007.00245.x" TargetMode="External" /><Relationship Type="http://schemas.openxmlformats.org/officeDocument/2006/relationships/hyperlink" Id="rId72" Target="https://doi.org/10.1146/annurev.polisci.031908.220529" TargetMode="External" /><Relationship Type="http://schemas.openxmlformats.org/officeDocument/2006/relationships/hyperlink" Id="rId60" Target="https://doi.org/10.1146/annurev.polisci.10.101405.143216" TargetMode="External" /><Relationship Type="http://schemas.openxmlformats.org/officeDocument/2006/relationships/hyperlink" Id="rId61" Target="https://doi.org/10.1146/annurev.soc.012809.102609" TargetMode="External" /><Relationship Type="http://schemas.openxmlformats.org/officeDocument/2006/relationships/hyperlink" Id="rId77" Target="https://doi.org/10.11588/IAF.2015.46.3726" TargetMode="External" /><Relationship Type="http://schemas.openxmlformats.org/officeDocument/2006/relationships/hyperlink" Id="rId76" Target="https://doi.org/10.1177/0010414018758763" TargetMode="External" /><Relationship Type="http://schemas.openxmlformats.org/officeDocument/2006/relationships/hyperlink" Id="rId68" Target="https://doi.org/10.1177/00104140251369320" TargetMode="External" /><Relationship Type="http://schemas.openxmlformats.org/officeDocument/2006/relationships/hyperlink" Id="rId91" Target="https://doi.org/10.1177/10659129211009605" TargetMode="External" /><Relationship Type="http://schemas.openxmlformats.org/officeDocument/2006/relationships/hyperlink" Id="rId78" Target="https://doi.org/10.1177/1868103419846009" TargetMode="External" /><Relationship Type="http://schemas.openxmlformats.org/officeDocument/2006/relationships/hyperlink" Id="rId83" Target="https://doi.org/10.1353/jod.2002.0031" TargetMode="External" /><Relationship Type="http://schemas.openxmlformats.org/officeDocument/2006/relationships/hyperlink" Id="rId89" Target="https://doi.org/10.1355/9789814459563-009" TargetMode="External" /><Relationship Type="http://schemas.openxmlformats.org/officeDocument/2006/relationships/hyperlink" Id="rId57" Target="https://doi.org/10.1355/9789814620598-008" TargetMode="External" /><Relationship Type="http://schemas.openxmlformats.org/officeDocument/2006/relationships/hyperlink" Id="rId87" Target="https://doi.org/10.1355/aa14-1g" TargetMode="External" /><Relationship Type="http://schemas.openxmlformats.org/officeDocument/2006/relationships/hyperlink" Id="rId90" Target="https://doi.org/10.1355/aa20-1g" TargetMode="External" /><Relationship Type="http://schemas.openxmlformats.org/officeDocument/2006/relationships/hyperlink" Id="rId58" Target="https://doi.org/10.1355/aa21-1e" TargetMode="External" /><Relationship Type="http://schemas.openxmlformats.org/officeDocument/2006/relationships/hyperlink" Id="rId66" Target="https://doi.org/10.1355/seaa10f" TargetMode="External" /><Relationship Type="http://schemas.openxmlformats.org/officeDocument/2006/relationships/hyperlink" Id="rId55" Target="https://doi.org/10.14764/10.ASEAS-0014" TargetMode="External" /><Relationship Type="http://schemas.openxmlformats.org/officeDocument/2006/relationships/hyperlink" Id="rId67" Target="https://doi.org/10.1515/9780691214429" TargetMode="External" /><Relationship Type="http://schemas.openxmlformats.org/officeDocument/2006/relationships/hyperlink" Id="rId88" Target="https://doi.org/10.1525/as.2013.53.1.142" TargetMode="External" /><Relationship Type="http://schemas.openxmlformats.org/officeDocument/2006/relationships/hyperlink" Id="rId80" Target="https://doi.org/10.17645/pag.v8i3.3020" TargetMode="External" /><Relationship Type="http://schemas.openxmlformats.org/officeDocument/2006/relationships/hyperlink" Id="rId86" Target="https://doi.org/10.2307/j.ctv14rmq92" TargetMode="External" /><Relationship Type="http://schemas.openxmlformats.org/officeDocument/2006/relationships/hyperlink" Id="rId74" Target="https://doi.org/10.2307/jj.18254974" TargetMode="External" /><Relationship Type="http://schemas.openxmlformats.org/officeDocument/2006/relationships/hyperlink" Id="rId59" Target="https://doi.org/10.7312/chu-145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Education of a Citizenry: Hope, Demobilization, and Authoritarian Normalization in Cambodia, 2008–2021</dc:title>
  <dc:creator>[Author removed for blind review]</dc:creator>
  <cp:keywords/>
  <dcterms:created xsi:type="dcterms:W3CDTF">2026-03-05T04:42:57Z</dcterms:created>
  <dcterms:modified xsi:type="dcterms:W3CDTF">2026-03-05T04:42:57Z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Between 2008 and 2021, Cambodian citizens underwent one of the most dramatic transformations in political orientation recorded in contemporary survey research. Drawing on four waves of Asian Barometer Survey data (Waves 2, 3, 4, and 6; N ≈ 1,000–1,242 per wave), supplemented by the 2017 Cambodia Socio-Economic Survey (N = 3,363), this article traces the arc of that transformation as a sequential process: from post-conflict acquiescence, through a remarkable peak of democratic aspiration and civic mobilization, to a final condition of political withdrawal and regime normalization following the elimination of organized opposition. The Cambodian case offers an unusually clean empirical window into how dominant-party authoritarian regimes produce political quiescence—not through the cultivation of enthusiastic support, but through a process the article terms demobilization by subtraction. The forced dissolution of the Cambodia National Rescue Party in 2017 was the keystone of a broader campaign of political closure—encompassing independent media shutdowns, civil society restrictions, and an uncontested national election—that coincided with a synchronized restructuring of citizen orientations across multiple attitudinal and behavioral dimensions—a pattern consistent with the demobilization-by-subtraction mechanism developed here. The article documents a theoretically consequential divergence: abstract democratic commitment—the belief that democracy is the best form of government—remained largely intact across the study period, while democratic prioritization, feasibility expectations, and independent civic engagement collapsed in parallel. Citizens did not abandon democratic ideals; they ceased to believe those ideals were achievable and ceased to prioritize them against competing goods. The findings challenge accounts that treat authoritarian legitimacy as a product of performance or ideology, suggesting instead that the most effective mechanism of regime stabilization may be the systematic closure of the political imagination.</vt:lpwstr>
  </property>
  <property fmtid="{D5CDD505-2E9C-101B-9397-08002B2CF9AE}" pid="3" name="bibliography">
    <vt:lpwstr>references.bib</vt:lpwstr>
  </property>
  <property fmtid="{D5CDD505-2E9C-101B-9397-08002B2CF9AE}" pid="4" name="csl">
    <vt:lpwstr>chicago-author-date.csl</vt:lpwstr>
  </property>
  <property fmtid="{D5CDD505-2E9C-101B-9397-08002B2CF9AE}" pid="5" name="date">
    <vt:lpwstr>March 5, 2026 at 11:41 AM</vt:lpwstr>
  </property>
</Properties>
</file>