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Meaning of Losing: How Democratic Erosion Reshapes Citizens’ Conceptions of Democracy</w:t>
      </w:r>
    </w:p>
    <w:p>
      <w:pPr>
        <w:pStyle w:val="Author"/>
      </w:pPr>
      <w:r>
        <w:t xml:space="preserve">Jeffrey Stark</w:t>
      </w:r>
    </w:p>
    <w:p>
      <w:pPr>
        <w:pStyle w:val="Date"/>
      </w:pPr>
      <w:r>
        <w:t xml:space="preserve">2026-03-03</w:t>
      </w:r>
    </w:p>
    <w:p>
      <w:pPr>
        <w:pStyle w:val="AbstractTitle"/>
      </w:pPr>
      <w:r>
        <w:t xml:space="preserve">Abstract</w:t>
      </w:r>
    </w:p>
    <w:p>
      <w:pPr>
        <w:pStyle w:val="Abstract"/>
      </w:pPr>
      <w:r>
        <w:t xml:space="preserve">Does democratic erosion reshape not just how citizens evaluate democracy but what they understand it to mean? Electoral losers across eleven Asian democracies consistently gravitate toward liberal-procedural conceptions of democracy—free expression, media freedom, judicial accountability—while winners orient toward substantive outcomes like economic equality and welfare. The gap is small in the aggregate. Context makes it consequential. In Thailand, the procedural-substantive divide between winners and losers widened from near zero to over twenty percentage points across a single decade of democratic erosion culminating in the 2014 coup; in South Korea, where a constitutional crisis of comparable severity was resolved through institutional channels, it barely moved. Drawing on four waves of Asian Barometer Survey data (2005–2022, n = 23,464 respondents with vote choice and democratic conceptions items), multinomial logit models with country and wave fixed effects estimate this winner-loser gap while three mechanism tests distinguish positional updating from stable cultural sorting: the loser effect amplifies where citizens perceive elections as unfair, does not extend to non-procedural domains such as material welfare, and persists after demographic reweighting holds coalition composition constant. If exclusion from political authority—rather than prior disposition—drives how citizens define democracy, the implications for democratic resilience are troubling. Erosion concentrates procedural commitments among those whom the political system has rendered least capable of defending them.</w:t>
      </w:r>
    </w:p>
    <w:bookmarkStart w:id="21" w:name="introduction"/>
    <w:p>
      <w:pPr>
        <w:pStyle w:val="Heading1"/>
      </w:pPr>
      <w:r>
        <w:t xml:space="preserve">Introduction</w:t>
      </w:r>
    </w:p>
    <w:p>
      <w:pPr>
        <w:pStyle w:val="FirstParagraph"/>
      </w:pPr>
      <w:r>
        <w:t xml:space="preserve">Between 2010 and 2020, Thailand experienced a constitutional court’s annulment of an election, a military coup, six years of junta governance, and the return to civilian rule under a military-drafted constitution that ensured the army’s continued dominance. During this same decade, the gap between how electoral winners and losers conceptualized democracy—measured by the difference in procedural versus substantive responses on the Asian Barometer Survey—widened from near zero to over 24 percentage points</w:t>
      </w:r>
      <w:r>
        <w:t xml:space="preserve">(Hu et al. 2008, 2012, 2016; Chu et al. 2022)</w:t>
      </w:r>
      <w:r>
        <w:t xml:space="preserve">.</w:t>
      </w:r>
      <w:r>
        <w:rPr>
          <w:rStyle w:val="FootnoteReference"/>
        </w:rPr>
        <w:footnoteReference w:id="20"/>
      </w:r>
      <w:r>
        <w:t xml:space="preserve"> </w:t>
      </w:r>
      <w:r>
        <w:t xml:space="preserve">Supporters of the excluded Thaksin-aligned parties increasingly defined democracy in terms of free elections, civil liberties, and government accountability; supporters of the military-backed order increasingly emphasized economic welfare and public services. This is not a story about who was more satisfied with democracy or more trusting of government—the attitudes that the winner-loser literature has studied extensively</w:t>
      </w:r>
      <w:r>
        <w:t xml:space="preserve"> </w:t>
      </w:r>
      <w:r>
        <w:t xml:space="preserve">(Anderson et al. 2005; Singh et al. 2012)</w:t>
      </w:r>
      <w:r>
        <w:t xml:space="preserve">. It is a story about what democracy means to citizens, and how the association between that meaning and electoral status varies across repeated cross-sections.</w:t>
      </w:r>
    </w:p>
    <w:p>
      <w:pPr>
        <w:pStyle w:val="BodyText"/>
      </w:pPr>
      <w:r>
        <w:t xml:space="preserve">South Korea offers the contrast. Over the same period, the country weathered its own crisis: the impeachment and criminal prosecution of President Park Geun-hye, mass candlelight protests, and the election of a progressive successor. Yet the gap between winners’ and losers’ conceptions of democracy never exceeded five percentage points. The critical difference was institutional. South Korea’s crisis was resolved through constitutional procedures—impeachment, judicial review, a free election—that demonstrated the system’s capacity for self-correction. Thailand’s crisis was resolved by tanks. Where institutions held, winners and losers converged on what democracy meant; where institutions collapsed, democratic meaning itself fractured along the winner-loser divide. These trajectories are not isolated episodes but instances of a broader regional pattern of democratic deconsolidation across Southeast Asia</w:t>
      </w:r>
      <w:r>
        <w:t xml:space="preserve"> </w:t>
      </w:r>
      <w:r>
        <w:t xml:space="preserve">(Mietzner 2021)</w:t>
      </w:r>
      <w:r>
        <w:t xml:space="preserve">. The literatures that should explain these trajectories have developed in parallel. Research on democratic conceptions documents considerable variation in how citizens define democracy—whether in procedural terms emphasizing elections and rights, or substantive terms emphasizing welfare and equality</w:t>
      </w:r>
      <w:r>
        <w:t xml:space="preserve"> </w:t>
      </w:r>
      <w:r>
        <w:t xml:space="preserve">(Dalton and Klingemann 2007; Chu et al. 2008; Ferrin and Kriesi 2016)</w:t>
      </w:r>
      <w:r>
        <w:t xml:space="preserve">—but has largely treated those conceptions as stable cultural orientations, shaped by socialization and slow-moving value change. The winner-loser gap literature, meanwhile, has demonstrated that electoral status predicts satisfaction with democracy, institutional trust, and willingness to accept political outcomes</w:t>
      </w:r>
      <w:r>
        <w:t xml:space="preserve"> </w:t>
      </w:r>
      <w:r>
        <w:t xml:space="preserve">(Anderson et al. 2005; Anderson and LoTempio 2002; Esaiasson 2011)</w:t>
      </w:r>
      <w:r>
        <w:t xml:space="preserve">. Both literatures assume, implicitly, that winners and losers are evaluating the same object when they express views about</w:t>
      </w:r>
      <w:r>
        <w:t xml:space="preserve"> </w:t>
      </w:r>
      <w:r>
        <w:t xml:space="preserve">“democracy.”</w:t>
      </w:r>
      <w:r>
        <w:t xml:space="preserve"> </w:t>
      </w:r>
      <w:r>
        <w:t xml:space="preserve">Neither has examined whether electoral status shapes not just how citizens evaluate democracy but how they understand it.</w:t>
      </w:r>
    </w:p>
    <w:p>
      <w:pPr>
        <w:pStyle w:val="BodyText"/>
      </w:pPr>
      <w:r>
        <w:t xml:space="preserve">I estimate multinomial logit models on four waves of Asian Barometer Survey data (2005–2022), with an analytic sample of 23,464 voters across 11 countries. Electoral losers consistently gravitate toward procedural elements of democracy—competitive elections, civil liberties, government accountability—at the expense of substantive outcomes like economic equality or welfare provision. In pooled cross-national estimates, these effects are individually small, on the order of two to four percentage points per item. But the pattern holds across twenty items drawn from five separate survey batteries, and it is the directional consistency—not any single coefficient—that constitutes the substantive finding. More importantly, the effect is not constant. It tracks democratic erosion in Thailand, holds steady amid institutional resilience in South Korea, and sits persistently high in Cambodia, where competitive authoritarianism ensured the stakes of losing were extreme from the start.</w:t>
      </w:r>
    </w:p>
    <w:p>
      <w:pPr>
        <w:pStyle w:val="BodyText"/>
      </w:pPr>
      <w:r>
        <w:t xml:space="preserve">I interpret this pattern through a framework I call positional updating: citizens excluded from political authority gravitate toward procedural safeguards—the institutional architecture that might restore their access to power. The strongest evidence for this reading comes from the fairness mechanism test—the loser effect amplifies sharply among respondents who perceive elections as unfair, exactly the circumstance in which procedural threat is most palpable. That the amplification does not spill over into material welfare perceptions rules out generalized discontent as the driver. A demographic reweighting exercise, meanwhile, confirms that Thailand’s widening gap is not an artifact of changing coalition composition. None of these tests establishes causation definitively. But taken together, they sit uneasily with accounts that treat democratic conceptions as stable cultural orientations.</w:t>
      </w:r>
    </w:p>
    <w:p>
      <w:pPr>
        <w:pStyle w:val="BodyText"/>
      </w:pPr>
      <w:r>
        <w:t xml:space="preserve">The weight of the evidence points toward a dynamic that complicates recent optimism about democratic resilience. Scholars have asked whether broad public commitment to democracy might function as a check on backsliding</w:t>
      </w:r>
      <w:r>
        <w:t xml:space="preserve"> </w:t>
      </w:r>
      <w:r>
        <w:t xml:space="preserve">(Claassen 2020; Svolik 2019; Graham and Svolik 2020)</w:t>
      </w:r>
      <w:r>
        <w:t xml:space="preserve">. The results here suggest something closer to the opposite: in the places where erosion cuts deepest, it is the people with the least political leverage who end up caring most about procedural safeguards. Winners who benefit from the prevailing order feel no particular need to define democracy in terms of free elections and civil liberties. Losers do—but they cannot do anything about it. If this dynamic is widespread, then aggregate measures of democratic support may paint an overly reassuring picture, averaging together winners who do not care much about procedures and losers who care deeply but lack the power to defend them.</w:t>
      </w:r>
    </w:p>
    <w:p>
      <w:pPr>
        <w:pStyle w:val="BodyText"/>
      </w:pPr>
      <w:r>
        <w:t xml:space="preserve">The item-level results—visible regardless of modeling approach but preserved by the multinomial specification’s refusal to collapse responses into binary indicators—highlight one further pattern worth flagging. Losers’ procedural orientation centers on the liberal components of democracy—media freedom, free expression, the right to organize—not elections per se. The distinction matters for how we understand the relationship between electoral experience and democratic commitment, and I return to it in the discussion.</w:t>
      </w:r>
    </w:p>
    <w:bookmarkEnd w:id="21"/>
    <w:bookmarkStart w:id="26" w:name="X4847605da6811474624618573a5708060835a16"/>
    <w:p>
      <w:pPr>
        <w:pStyle w:val="Heading1"/>
      </w:pPr>
      <w:r>
        <w:t xml:space="preserve">Positional Updating and Democratic Conceptions</w:t>
      </w:r>
    </w:p>
    <w:p>
      <w:pPr>
        <w:pStyle w:val="FirstParagraph"/>
      </w:pPr>
      <w:r>
        <w:t xml:space="preserve">The argument begins with the observation that citizens hold meaningfully different conceptions of democracy, varying in the weight they assign to procedural rules versus substantive outcomes. From there it draws on the winner-loser gap literature to argue that electoral status creates systematically different orientations toward these dimensions, before specifying the mechanism—positional updating—and deriving predictions that distinguish it from competing accounts.</w:t>
      </w:r>
    </w:p>
    <w:bookmarkStart w:id="22" w:name="the-procedural-substantive-distinction"/>
    <w:p>
      <w:pPr>
        <w:pStyle w:val="Heading2"/>
      </w:pPr>
      <w:r>
        <w:t xml:space="preserve">The procedural-substantive distinction</w:t>
      </w:r>
    </w:p>
    <w:p>
      <w:pPr>
        <w:pStyle w:val="FirstParagraph"/>
      </w:pPr>
      <w:r>
        <w:t xml:space="preserve">A foundational line of comparative research draws a distinction between procedural and substantive visions of democracy. On one side sit definitions anchored in rules and institutions—competitive elections, civil liberties, the rule of law, and the accountability mechanisms that keep officeholders in check</w:t>
      </w:r>
      <w:r>
        <w:t xml:space="preserve"> </w:t>
      </w:r>
      <w:r>
        <w:t xml:space="preserve">(Dahl 1977; Schumpeter 2013; Schedler 1998)</w:t>
      </w:r>
      <w:r>
        <w:t xml:space="preserve">. On the other sit definitions organized around what government actually delivers: reduced inequality, social protection, and responsiveness to popular demands</w:t>
      </w:r>
      <w:r>
        <w:t xml:space="preserve"> </w:t>
      </w:r>
      <w:r>
        <w:t xml:space="preserve">(Diamond 1999; Linz and Stepan 1996)</w:t>
      </w:r>
      <w:r>
        <w:t xml:space="preserve">. Survey research has repeatedly shown that ordinary people hold both kinds of conceptions, though the balance tips depending on context. Publics in younger democracies lean toward substantive criteria, while citizens in consolidated democracies invoke procedural ones more readily</w:t>
      </w:r>
      <w:r>
        <w:t xml:space="preserve"> </w:t>
      </w:r>
      <w:r>
        <w:t xml:space="preserve">(Dalton and Klingemann 2007; Bratton and Mattes 2001)</w:t>
      </w:r>
      <w:r>
        <w:t xml:space="preserve">. Across Asia, the picture is especially layered: people blend procedural and substantive elements in ways that vary enormously both across and within countries</w:t>
      </w:r>
      <w:r>
        <w:t xml:space="preserve"> </w:t>
      </w:r>
      <w:r>
        <w:t xml:space="preserve">(Chu et al. 2008; Chu and Huang 2010; Cho 2014; Shin and Kim 2018)</w:t>
      </w:r>
      <w:r>
        <w:t xml:space="preserve">. Partisan dynamics matter too.</w:t>
      </w:r>
      <w:r>
        <w:t xml:space="preserve"> </w:t>
      </w:r>
      <w:r>
        <w:t xml:space="preserve">Hsiao and Yu (2020)</w:t>
      </w:r>
      <w:r>
        <w:t xml:space="preserve"> </w:t>
      </w:r>
      <w:r>
        <w:t xml:space="preserve">demonstrate that affective polarization in Taiwan attenuates support for democracy, indicating that political position—not just cultural background—mediates how citizens relate to democratic principles.</w:t>
      </w:r>
    </w:p>
    <w:p>
      <w:pPr>
        <w:pStyle w:val="BodyText"/>
      </w:pPr>
      <w:r>
        <w:t xml:space="preserve">The stakes of this variation are concrete: how citizens define democracy shapes how they evaluate it. If democracy means free elections, competitive voting may suffice for legitimacy; if it means economic equality, procedural compliance without material progress breeds disillusionment. Yet existing scholarship has largely treated conceptions as stable attributes of individuals or societies: cultural inheritances shaped by historical experience, regime type, or modernization trajectories</w:t>
      </w:r>
      <w:r>
        <w:t xml:space="preserve"> </w:t>
      </w:r>
      <w:r>
        <w:t xml:space="preserve">(Shin 2011; Inglehart 1997; Canache 2012; Ferrin and Kriesi 2016)</w:t>
      </w:r>
      <w:r>
        <w:t xml:space="preserve">. What remains largely unexplored is what drives</w:t>
      </w:r>
      <w:r>
        <w:t xml:space="preserve"> </w:t>
      </w:r>
      <w:r>
        <w:rPr>
          <w:i/>
          <w:iCs/>
        </w:rPr>
        <w:t xml:space="preserve">within-country, within-period</w:t>
      </w:r>
      <w:r>
        <w:t xml:space="preserve"> </w:t>
      </w:r>
      <w:r>
        <w:t xml:space="preserve">variation in how individual citizens conceptualize democracy.</w:t>
      </w:r>
    </w:p>
    <w:bookmarkEnd w:id="22"/>
    <w:bookmarkStart w:id="23" w:name="X11a8e346ff56b38bee222de48b8988c588c9339"/>
    <w:p>
      <w:pPr>
        <w:pStyle w:val="Heading2"/>
      </w:pPr>
      <w:r>
        <w:t xml:space="preserve">Electoral status as a source of conceptual divergence</w:t>
      </w:r>
    </w:p>
    <w:p>
      <w:pPr>
        <w:pStyle w:val="FirstParagraph"/>
      </w:pPr>
      <w:r>
        <w:t xml:space="preserve">The winner-loser gap literature provides a candidate answer. Decades of research have established that citizens whose preferred party prevailed in the most recent election look different attitudinally from those whose party lost: winners report higher institutional trust, greater satisfaction with democracy, and more willingness to accept political outcomes</w:t>
      </w:r>
      <w:r>
        <w:t xml:space="preserve"> </w:t>
      </w:r>
      <w:r>
        <w:t xml:space="preserve">(Anderson et al. 2005; Anderson and LoTempio 2002; Nadeau and Blais 1993)</w:t>
      </w:r>
      <w:r>
        <w:t xml:space="preserve">. How large these gaps are depends on institutional design—losers in majoritarian systems tend to be more discontented than losers in consensus democracies</w:t>
      </w:r>
      <w:r>
        <w:t xml:space="preserve"> </w:t>
      </w:r>
      <w:r>
        <w:t xml:space="preserve">(Anderson and Guillory 1997; Singh et al. 2012)</w:t>
      </w:r>
      <w:r>
        <w:t xml:space="preserve">—and perceptions of procedural fairness play a mediating role</w:t>
      </w:r>
      <w:r>
        <w:t xml:space="preserve"> </w:t>
      </w:r>
      <w:r>
        <w:t xml:space="preserve">(Esaiasson 2011; Esaiasson and Öhberg 2020)</w:t>
      </w:r>
      <w:r>
        <w:t xml:space="preserve">. More recent work has extended these findings to non-Western contexts and hybrid regimes</w:t>
      </w:r>
      <w:r>
        <w:t xml:space="preserve"> </w:t>
      </w:r>
      <w:r>
        <w:t xml:space="preserve">(Blais et al. 2025; Mauk 2020)</w:t>
      </w:r>
      <w:r>
        <w:t xml:space="preserve">, while</w:t>
      </w:r>
      <w:r>
        <w:t xml:space="preserve"> </w:t>
      </w:r>
      <w:r>
        <w:t xml:space="preserve">Monsiváis-Carrillo (2020)</w:t>
      </w:r>
      <w:r>
        <w:t xml:space="preserve"> </w:t>
      </w:r>
      <w:r>
        <w:t xml:space="preserve">finds that winners are</w:t>
      </w:r>
      <w:r>
        <w:t xml:space="preserve"> </w:t>
      </w:r>
      <w:r>
        <w:t xml:space="preserve">“permissive”</w:t>
      </w:r>
      <w:r>
        <w:t xml:space="preserve"> </w:t>
      </w:r>
      <w:r>
        <w:t xml:space="preserve">in their assessments of democratic freedoms regardless of actual institutional quality—it is losers who discriminate between functioning and degraded protections. In a particularly relevant study,</w:t>
      </w:r>
      <w:r>
        <w:t xml:space="preserve"> </w:t>
      </w:r>
      <w:r>
        <w:t xml:space="preserve">Ricks and Hicken (2025)</w:t>
      </w:r>
      <w:r>
        <w:t xml:space="preserve"> </w:t>
      </w:r>
      <w:r>
        <w:t xml:space="preserve">show that Thailand’s 2023 election—held under a hybrid regime with military-drafted rules—nonetheless generated the classic winner-loser divergence in attitudes toward state institutions, evidence that the mechanism is not confined to full democracies.</w:t>
      </w:r>
    </w:p>
    <w:p>
      <w:pPr>
        <w:pStyle w:val="BodyText"/>
      </w:pPr>
      <w:r>
        <w:t xml:space="preserve">The limitation is one of scope: this literature has focused on</w:t>
      </w:r>
      <w:r>
        <w:t xml:space="preserve"> </w:t>
      </w:r>
      <w:r>
        <w:rPr>
          <w:i/>
          <w:iCs/>
        </w:rPr>
        <w:t xml:space="preserve">evaluations</w:t>
      </w:r>
      <w:r>
        <w:t xml:space="preserve">—how much citizens support, trust, or feel satisfied with democracy—while treating the underlying object of evaluation as shared. Winners and losers are assumed to mean the same thing when they express views about</w:t>
      </w:r>
      <w:r>
        <w:t xml:space="preserve"> </w:t>
      </w:r>
      <w:r>
        <w:t xml:space="preserve">“democracy”</w:t>
      </w:r>
      <w:r>
        <w:t xml:space="preserve">; they simply differ in how positively they assess it. If electoral status shapes not only evaluations but</w:t>
      </w:r>
      <w:r>
        <w:t xml:space="preserve"> </w:t>
      </w:r>
      <w:r>
        <w:rPr>
          <w:i/>
          <w:iCs/>
        </w:rPr>
        <w:t xml:space="preserve">conceptions</w:t>
      </w:r>
      <w:r>
        <w:t xml:space="preserve">—if winners and losers are in fact evaluating different things—then the winner-loser gap may be deeper than the existing literature has recognized, and the two literatures’ isolation from one another represents a missed theoretical opportunity.</w:t>
      </w:r>
    </w:p>
    <w:p>
      <w:pPr>
        <w:pStyle w:val="BodyText"/>
      </w:pPr>
      <w:r>
        <w:t xml:space="preserve">The question of whether electoral status shapes conceptions, not just evaluations, has begun to attract attention, though the existing work stops short of the dynamic, erosion-conditional account developed here.</w:t>
      </w:r>
      <w:r>
        <w:t xml:space="preserve"> </w:t>
      </w:r>
      <w:r>
        <w:t xml:space="preserve">Cohen et al. (2023)</w:t>
      </w:r>
      <w:r>
        <w:t xml:space="preserve"> </w:t>
      </w:r>
      <w:r>
        <w:t xml:space="preserve">invert the classic</w:t>
      </w:r>
      <w:r>
        <w:t xml:space="preserve"> </w:t>
      </w:r>
      <w:r>
        <w:t xml:space="preserve">“losers’ consent”</w:t>
      </w:r>
      <w:r>
        <w:t xml:space="preserve"> </w:t>
      </w:r>
      <w:r>
        <w:t xml:space="preserve">framework by tracking Brazilian voters through Bolsonaro’s 2018 victory; they find that winners’ abstract support for democracy rose even as their tolerance for executive self-coups—closing Congress, sidelining the Supreme Court—increased in tandem. The result is a portrait of superficial democratic commitment: winners embrace the system’s label while hollowing out its procedural substance. Cohen et al. do not, however, examine whether winners and losers come to define democracy differently; their dependent variables remain evaluations of democratic institutions rather than conceptions of what those institutions should look like.</w:t>
      </w:r>
      <w:r>
        <w:t xml:space="preserve"> </w:t>
      </w:r>
      <w:r>
        <w:t xml:space="preserve">Wu and Wu (2022)</w:t>
      </w:r>
      <w:r>
        <w:t xml:space="preserve"> </w:t>
      </w:r>
      <w:r>
        <w:t xml:space="preserve">take up the conceptual question directly, using the same Asian Barometer data employed here to show that the winner-loser gap in liberal democratic values is substantially larger in competitive authoritarian regimes than in democracies—a finding consistent with H2 above. Yet their framework treats regime type as a static cross-sectional moderator; the analysis cannot capture the emergence of conceptual divergence as a country slides from democracy into authoritarianism, which is precisely what the Thai trajectory documents.</w:t>
      </w:r>
      <w:r>
        <w:t xml:space="preserve"> </w:t>
      </w:r>
      <w:r>
        <w:t xml:space="preserve">Bryan (2023)</w:t>
      </w:r>
      <w:r>
        <w:t xml:space="preserve"> </w:t>
      </w:r>
      <w:r>
        <w:t xml:space="preserve">pushes furthest, demonstrating across seventy-four countries that partisans in power hold more illiberal conceptions of democracy while maintaining explicit support for the democratic label, framing the pattern as partisan-motivated reasoning operating universally. The global scope is impressive, but the universality of the account is also its limitation: if conceptual divergence is a general feature of being in power, then it should appear everywhere and always, which sits uneasily with cases like South Korea where the gap remains negligible despite dramatic political upheaval. The positional updating framework advanced here differs from all three in specifying democratic erosion as the conditioning variable—not a single authoritarian victory</w:t>
      </w:r>
      <w:r>
        <w:t xml:space="preserve"> </w:t>
      </w:r>
      <w:r>
        <w:t xml:space="preserve">(Cohen et al. 2023)</w:t>
      </w:r>
      <w:r>
        <w:t xml:space="preserve">, not a static regime category</w:t>
      </w:r>
      <w:r>
        <w:t xml:space="preserve"> </w:t>
      </w:r>
      <w:r>
        <w:t xml:space="preserve">(Wu and Wu 2022)</w:t>
      </w:r>
      <w:r>
        <w:t xml:space="preserve">, and not an unconditional cognitive bias (Bryan), but a dynamic process that raises the stakes of exclusion and thereby amplifies losers’ procedural orientation.</w:t>
      </w:r>
    </w:p>
    <w:bookmarkEnd w:id="23"/>
    <w:bookmarkStart w:id="24" w:name="X337516c19cfec44fb568e8aec80a3f7df0bb688"/>
    <w:p>
      <w:pPr>
        <w:pStyle w:val="Heading2"/>
      </w:pPr>
      <w:r>
        <w:t xml:space="preserve">Positional updating: mechanism and predictions</w:t>
      </w:r>
    </w:p>
    <w:p>
      <w:pPr>
        <w:pStyle w:val="FirstParagraph"/>
      </w:pPr>
      <w:r>
        <w:t xml:space="preserve">I propose that electoral status shapes democratic conceptions through what I call positional updating. The core logic turns on asymmetric salience: procedures and outcomes carry different weight depending on whether one is in or out of power. If your party runs the government, your attention naturally drifts toward policy outputs—what is being built, distributed, reformed. If your party lost, you start to care a great deal about the rules of the game: Is there a fair shot at winning next time? Can the press still criticize? Can the courts still push back?</w:t>
      </w:r>
    </w:p>
    <w:p>
      <w:pPr>
        <w:pStyle w:val="BodyText"/>
      </w:pPr>
      <w:r>
        <w:t xml:space="preserve">Experimental and quasi-experimental evidence reinforces this logic:</w:t>
      </w:r>
      <w:r>
        <w:t xml:space="preserve"> </w:t>
      </w:r>
      <w:r>
        <w:t xml:space="preserve">Halliez and Thornton (2023)</w:t>
      </w:r>
      <w:r>
        <w:t xml:space="preserve"> </w:t>
      </w:r>
      <w:r>
        <w:t xml:space="preserve">show that the winner-loser gap in democratic satisfaction forms only once electoral uncertainty resolves, suggesting the operative mechanism is the experience of</w:t>
      </w:r>
      <w:r>
        <w:t xml:space="preserve"> </w:t>
      </w:r>
      <w:r>
        <w:rPr>
          <w:i/>
          <w:iCs/>
        </w:rPr>
        <w:t xml:space="preserve">knowing</w:t>
      </w:r>
      <w:r>
        <w:t xml:space="preserve"> </w:t>
      </w:r>
      <w:r>
        <w:t xml:space="preserve">one’s status rather than pre-existing dispositional differences. This selective attention runs on motivated cognition</w:t>
      </w:r>
      <w:r>
        <w:t xml:space="preserve"> </w:t>
      </w:r>
      <w:r>
        <w:t xml:space="preserve">(Kunda 1990; Taber and Lodge 2006)</w:t>
      </w:r>
      <w:r>
        <w:t xml:space="preserve">. Citizens do not arrive at their understanding of democracy through disinterested reflection; rather, they attend to and weight those dimensions of democracy that are instrumentally relevant to their political position. Losers orient toward procedural features because procedures are the tools of the excluded—the mechanisms through which power can be contested, checked, and ultimately recaptured. Winners orient toward substantive outcomes because they occupy the position from which outcomes are delivered. In this sense, the mechanism parallels the political conditioning of economic perceptions documented in other domains: just as partisan position shapes whether citizens view the economy favorably</w:t>
      </w:r>
      <w:r>
        <w:t xml:space="preserve"> </w:t>
      </w:r>
      <w:r>
        <w:t xml:space="preserve">(Evans and Andersen 2006; Fiorina 1978)</w:t>
      </w:r>
      <w:r>
        <w:t xml:space="preserve">, electoral status shapes which features of democracy citizens attend to and prioritize. Emphasizing procedural democracy also serves losers’ discursive interests: a government can be criticized for violating democratic procedures in ways that a government cannot easily be criticized for failing to realize one’s preferred substantive vision.</w:t>
      </w:r>
    </w:p>
    <w:p>
      <w:pPr>
        <w:pStyle w:val="BodyText"/>
      </w:pPr>
      <w:r>
        <w:t xml:space="preserve">A clarification is in order: this framework does not require losers to sit down and calculate their odds of returning to power. The mechanism is more basic than that. People who backed the losing side—whatever their party’s organizational heft—find themselves on the outside of the coalition that runs the state, makes policy, and allocates resources. That structural fact sharpens their awareness of the procedural guardrails that limit what incumbents can do. It is not that losers cynically adopt a procedural vocabulary; it is that procedural protections become more relevant to people who lack access to executive power.</w:t>
      </w:r>
    </w:p>
    <w:p>
      <w:pPr>
        <w:pStyle w:val="BodyText"/>
      </w:pPr>
      <w:r>
        <w:t xml:space="preserve">This exclusion-based reading yields a testable distinction. If positional updating were really about partisan strategy—opposition leaders rallying their base around procedural rhetoric—we would expect the effect to cluster among supporters of the main opposition party, whose leadership has both the organizational muscle and the electoral motive to wave the procedural banner. But if what drives the effect is the more diffuse experience of being locked out of government, then the procedural orientation should show up across the board: minor-party supporters, independents, anyone who did not back the winner. The supplementary analysis in Appendix J confirms the latter pattern.</w:t>
      </w:r>
    </w:p>
    <w:p>
      <w:pPr>
        <w:pStyle w:val="BodyText"/>
      </w:pPr>
      <w:r>
        <w:t xml:space="preserve">From this positional account I derive three predictions. Each one helps separate the positional story from the most obvious rival—that democratic conceptions are essentially stable cultural orientations or fixed personality traits.</w:t>
      </w:r>
    </w:p>
    <w:p>
      <w:pPr>
        <w:pStyle w:val="BodyText"/>
      </w:pPr>
      <w:r>
        <w:t xml:space="preserve">The first prediction is shared with the cultural account: losers should lean procedural and winners should lean substantive. A cultural explanation could generate the same cross-sectional pattern by pointing to the ideological profiles of parties that happen to be in opposition. So H1 alone cannot adjudicate between the two.</w:t>
      </w:r>
    </w:p>
    <w:p>
      <w:pPr>
        <w:pStyle w:val="BodyText"/>
      </w:pPr>
      <w:r>
        <w:rPr>
          <w:i/>
          <w:iCs/>
        </w:rPr>
        <w:t xml:space="preserve">H1:</w:t>
      </w:r>
      <w:r>
        <w:t xml:space="preserve"> </w:t>
      </w:r>
      <w:r>
        <w:t xml:space="preserve">Electoral losers will be more likely than winners to prioritize procedural over substantive conceptions of democracy.</w:t>
      </w:r>
    </w:p>
    <w:p>
      <w:pPr>
        <w:pStyle w:val="BodyText"/>
      </w:pPr>
      <w:r>
        <w:t xml:space="preserve">The second prediction is where the positional logic starts to bite. If what matters is the</w:t>
      </w:r>
      <w:r>
        <w:t xml:space="preserve"> </w:t>
      </w:r>
      <w:r>
        <w:rPr>
          <w:i/>
          <w:iCs/>
        </w:rPr>
        <w:t xml:space="preserve">stakes</w:t>
      </w:r>
      <w:r>
        <w:t xml:space="preserve"> </w:t>
      </w:r>
      <w:r>
        <w:t xml:space="preserve">of losing, then the gap should widen where losing really hurts—where institutions are weak, alternation is rare, and exclusion from power threatens to become permanent. Loss aversion</w:t>
      </w:r>
      <w:r>
        <w:t xml:space="preserve"> </w:t>
      </w:r>
      <w:r>
        <w:t xml:space="preserve">(Kahneman and Tversky 1979)</w:t>
      </w:r>
      <w:r>
        <w:t xml:space="preserve"> </w:t>
      </w:r>
      <w:r>
        <w:t xml:space="preserve">reinforces the point: the prospect of losing established rights weighs more heavily than the prospect of gaining new benefits, which should amplify losers’ procedural orientation in high-stakes environments.</w:t>
      </w:r>
    </w:p>
    <w:p>
      <w:pPr>
        <w:pStyle w:val="BodyText"/>
      </w:pPr>
      <w:r>
        <w:rPr>
          <w:i/>
          <w:iCs/>
        </w:rPr>
        <w:t xml:space="preserve">H2:</w:t>
      </w:r>
      <w:r>
        <w:t xml:space="preserve"> </w:t>
      </w:r>
      <w:r>
        <w:t xml:space="preserve">The loser effect will be larger in political contexts where losing is more consequential—where democratic institutions are weaker or power alternation less frequent.</w:t>
      </w:r>
    </w:p>
    <w:p>
      <w:pPr>
        <w:pStyle w:val="BodyText"/>
      </w:pPr>
      <w:r>
        <w:t xml:space="preserve">Third, and most critically for distinguishing positional updating from cultural accounts: if conceptions are cultural inheritances or stable dispositions, they should not shift appreciably within countries over periods shorter than a generation. The positional account, by contrast, predicts that conceptions will respond dynamically to changes in the political stakes of losing—growing when institutions weaken and shrinking when institutional protections are restored through alternation or constitutional resolution of crises.</w:t>
      </w:r>
    </w:p>
    <w:p>
      <w:pPr>
        <w:pStyle w:val="BodyText"/>
      </w:pPr>
      <w:r>
        <w:rPr>
          <w:i/>
          <w:iCs/>
        </w:rPr>
        <w:t xml:space="preserve">H3:</w:t>
      </w:r>
      <w:r>
        <w:t xml:space="preserve"> </w:t>
      </w:r>
      <w:r>
        <w:t xml:space="preserve">Within countries, the loser effect will respond to changes in political context, growing when democratic institutions weaken and shrinking when power alternates.</w:t>
      </w:r>
    </w:p>
    <w:p>
      <w:pPr>
        <w:pStyle w:val="BodyText"/>
      </w:pPr>
      <w:r>
        <w:t xml:space="preserve">H3 is the hypothesis that most sharply distinguishes the positional account from its alternatives, and the one whose confirmation would represent the strongest evidence for the theoretical framework advanced here. The within-country trajectories examined below provide the most direct test.</w:t>
      </w:r>
    </w:p>
    <w:bookmarkEnd w:id="24"/>
    <w:bookmarkStart w:id="25" w:name="positional-updating-and-elite-cueing"/>
    <w:p>
      <w:pPr>
        <w:pStyle w:val="Heading2"/>
      </w:pPr>
      <w:r>
        <w:t xml:space="preserve">Positional Updating and Elite Cueing</w:t>
      </w:r>
    </w:p>
    <w:p>
      <w:pPr>
        <w:pStyle w:val="FirstParagraph"/>
      </w:pPr>
      <w:r>
        <w:t xml:space="preserve">The most plausible rival to positional updating is not stable dispositions but elite cueing: the possibility that party elites strategically reframe democratic rhetoric, and their supporters absorb the new language. In Thailand’s post-2006 turmoil, the Democrat Party and its allied movements increasingly invoked judicial independence and media freedom as bulwarks against Thaksin’s perceived majoritarian excesses. If losers adopted procedural language because their party told them to, the observed pattern would look identical to positional updating without any independent cognitive response to exclusion.</w:t>
      </w:r>
    </w:p>
    <w:p>
      <w:pPr>
        <w:pStyle w:val="BodyText"/>
      </w:pPr>
      <w:r>
        <w:t xml:space="preserve">Two observable implications distinguish the mechanisms—imperfectly but usefully. Elite cueing predicts that the procedural shift should concentrate among strong partisans with high exposure to party messaging. Positional updating, by contrast, predicts a broader effect: even weakly attached losers and supporters of minor parties, who lack a coherent elite signal, should exhibit procedural orientations if the operative mechanism is exclusion from governing authority rather than absorption of party rhetoric. The three-way decomposition in Appendix J provides suggestive evidence on this point. Other Losers—a category that includes minor party supporters and independents with minimal exposure to organized opposition messaging—display procedural orientations comparable to Key Opposition supporters in all three countries where the decomposition is feasible. The loser effect does not appear to be an artifact of opposition party mobilization alone.</w:t>
      </w:r>
    </w:p>
    <w:p>
      <w:pPr>
        <w:pStyle w:val="BodyText"/>
      </w:pPr>
      <w:r>
        <w:t xml:space="preserve">A second distinguishing implication concerns temporal dynamics. Elite cueing should track specific rhetorical campaigns and their reach; it should spike when elites actively contest democratic norms and dissipate when the rhetorical environment shifts. Positional updating tied to institutional exclusion, by contrast, should cumulate as erosion deepens and institutions become demonstrably less protective. Thailand’s trajectory—where the procedural gap widens monotonically from Wave 3 through Wave 6 despite substantial shifts in the rhetorical landscape, including a military government that actively suppressed opposition messaging after 2014—fits the exclusion story better than a cueing account that requires sustained rhetorical transmission.</w:t>
      </w:r>
    </w:p>
    <w:p>
      <w:pPr>
        <w:pStyle w:val="BodyText"/>
      </w:pPr>
      <w:r>
        <w:t xml:space="preserve">These tests are suggestive, not definitive. Elite cueing and positional updating likely operate simultaneously, and the data cannot cleanly separate their contributions. The claim here is narrower: the patterns are not</w:t>
      </w:r>
      <w:r>
        <w:t xml:space="preserve"> </w:t>
      </w:r>
      <w:r>
        <w:rPr>
          <w:i/>
          <w:iCs/>
        </w:rPr>
        <w:t xml:space="preserve">solely</w:t>
      </w:r>
      <w:r>
        <w:t xml:space="preserve"> </w:t>
      </w:r>
      <w:r>
        <w:t xml:space="preserve">attributable to elite cueing, and the exclusion-based mechanism adds explanatory value beyond what a cueing account alone would predict.</w:t>
      </w:r>
    </w:p>
    <w:bookmarkEnd w:id="25"/>
    <w:bookmarkEnd w:id="26"/>
    <w:bookmarkStart w:id="33" w:name="data-and-methods"/>
    <w:p>
      <w:pPr>
        <w:pStyle w:val="Heading1"/>
      </w:pPr>
      <w:r>
        <w:t xml:space="preserve">Data and Methods</w:t>
      </w:r>
    </w:p>
    <w:bookmarkStart w:id="28" w:name="data"/>
    <w:p>
      <w:pPr>
        <w:pStyle w:val="Heading2"/>
      </w:pPr>
      <w:r>
        <w:t xml:space="preserve">Data</w:t>
      </w:r>
    </w:p>
    <w:p>
      <w:pPr>
        <w:pStyle w:val="FirstParagraph"/>
      </w:pPr>
      <w:r>
        <w:t xml:space="preserve">The analysis draws on the Asian Barometer Survey (ABS), a regional comparative project tracking democratic values across Asia since 2001. The ABS covers countries spanning the full range of regime types</w:t>
      </w:r>
      <w:r>
        <w:t xml:space="preserve"> </w:t>
      </w:r>
      <w:r>
        <w:t xml:space="preserve">(Chu et al. 2016)</w:t>
      </w:r>
      <w:r>
        <w:t xml:space="preserve"> </w:t>
      </w:r>
      <w:r>
        <w:t xml:space="preserve">and employs forced-choice items requiring respondents to prioritize among competing democratic values, providing cleaner identification of relative orientations than agree-disagree batteries.</w:t>
      </w:r>
    </w:p>
    <w:p>
      <w:pPr>
        <w:pStyle w:val="BodyText"/>
      </w:pPr>
      <w:r>
        <w:t xml:space="preserve">Four waves are analyzed: Wave 2 (2005–2008), Wave 3 (2010–2012), Wave 4 (2014–2016), and Wave 6 (2019–2022). Wave 5 is excluded because it did not include the relevant items. China and Vietnam are excluded because their single-party systems do not produce meaningful electoral winners and losers. The analysis is restricted to respondents who reported voting in the most recent national election, as winner-loser status cannot be meaningfully assigned to non-voters. This restriction is not merely a methodological necessity but a theoretically motivated choice: voters are the citizens whose democratic conceptions most directly translate into political demands through electoral participation, party mobilization, and protest. A study of how electoral outcomes reshape democratic understanding is, by definition, a study of the electorally engaged. After these restrictions, the sample comprises 23,464 observations across 11 countries.</w:t>
      </w:r>
      <w:r>
        <w:rPr>
          <w:rStyle w:val="FootnoteReference"/>
        </w:rPr>
        <w:footnoteReference w:id="27"/>
      </w:r>
    </w:p>
    <w:bookmarkEnd w:id="28"/>
    <w:bookmarkStart w:id="30" w:name="measurement"/>
    <w:p>
      <w:pPr>
        <w:pStyle w:val="Heading2"/>
      </w:pPr>
      <w:r>
        <w:t xml:space="preserve">Measurement</w:t>
      </w:r>
    </w:p>
    <w:p>
      <w:pPr>
        <w:pStyle w:val="FirstParagraph"/>
      </w:pPr>
      <w:r>
        <w:t xml:space="preserve">In Waves 3, 4, and 6, the ABS presented respondents with four item sets, each containing four statements describing different aspects of democracy. Respondents indicated which statement they considered most important. Each set included procedural items (e.g.,</w:t>
      </w:r>
      <w:r>
        <w:t xml:space="preserve"> </w:t>
      </w:r>
      <w:r>
        <w:t xml:space="preserve">“People can choose their leaders in free and fair elections,”</w:t>
      </w:r>
      <w:r>
        <w:t xml:space="preserve"> </w:t>
      </w:r>
      <w:r>
        <w:t xml:space="preserve">“Government protects people’s freedom of speech”</w:t>
      </w:r>
      <w:r>
        <w:t xml:space="preserve">), substantive items (e.g.,</w:t>
      </w:r>
      <w:r>
        <w:t xml:space="preserve"> </w:t>
      </w:r>
      <w:r>
        <w:t xml:space="preserve">“Government reduces the gap between the rich and the poor,”</w:t>
      </w:r>
      <w:r>
        <w:t xml:space="preserve"> </w:t>
      </w:r>
      <w:r>
        <w:t xml:space="preserve">“Government provides everyone with the basic necessities of life”</w:t>
      </w:r>
      <w:r>
        <w:t xml:space="preserve">), and governance items (e.g.,</w:t>
      </w:r>
      <w:r>
        <w:t xml:space="preserve"> </w:t>
      </w:r>
      <w:r>
        <w:t xml:space="preserve">“Government does not waste public money,”</w:t>
      </w:r>
      <w:r>
        <w:t xml:space="preserve"> </w:t>
      </w:r>
      <w:r>
        <w:t xml:space="preserve">“People’s safety from crime is guaranteed”</w:t>
      </w:r>
      <w:r>
        <w:t xml:space="preserve">). Wave 2 employed a single forced-choice item with different response options and is analyzed separately.</w:t>
      </w:r>
    </w:p>
    <w:p>
      <w:pPr>
        <w:pStyle w:val="BodyText"/>
      </w:pPr>
      <w:r>
        <w:t xml:space="preserve">The key independent variable is electoral status, derived from the ABS vote-choice item (q34a in Waves 4 and 6, q33a in Wave 3, q39a in Wave 2). For each country-wave, the ABS research team codes each respondent’s self-reported vote choice against the outcome of the most recent national election prior to fieldwork, classifying respondents as winners (voted for the governing party, president, or coalition partner) or losers (voted for any non-governing party). The analysis adopts this binary coding throughout—a simplification, certainly, since it treats a voter for a marginal coalition partner identically to a voter for the dominant governing party, but one that is standard in the literature and that preserves comparability across very different party systems. Respondents who did not vote, refused to answer, or reported an invalid vote choice are excluded, restricting the sample to citizens whose electoral participation permits meaningful assignment of winner-loser status. Thailand Wave 4 (2014–2016) presents a distinctive case: fieldwork occurred after the May 2014 military coup, which followed the annulment of the February 2014 election. The ABS nevertheless coded winner/loser status for 382 respondents based on prior electoral behavior; the analysis retains this country-wave, and a robustness check verifies (Appendix Table K1) that all core findings hold when it is excluded.</w:t>
      </w:r>
      <w:r>
        <w:rPr>
          <w:rStyle w:val="FootnoteReference"/>
        </w:rPr>
        <w:footnoteReference w:id="29"/>
      </w:r>
    </w:p>
    <w:bookmarkEnd w:id="30"/>
    <w:bookmarkStart w:id="31" w:name="what-this-article-can-and-cannot-claim"/>
    <w:p>
      <w:pPr>
        <w:pStyle w:val="Heading2"/>
      </w:pPr>
      <w:r>
        <w:t xml:space="preserve">What This Article Can and Cannot Claim</w:t>
      </w:r>
    </w:p>
    <w:p>
      <w:pPr>
        <w:pStyle w:val="FirstParagraph"/>
      </w:pPr>
      <w:r>
        <w:t xml:space="preserve">The research design imposes constraints that shape every claim in this article. The Asian Barometer Survey is a repeated cross-section, not a panel: different respondents are sampled in each wave. Individual-level change—the gold standard for an</w:t>
      </w:r>
      <w:r>
        <w:t xml:space="preserve"> </w:t>
      </w:r>
      <w:r>
        <w:t xml:space="preserve">“updating”</w:t>
      </w:r>
      <w:r>
        <w:t xml:space="preserve"> </w:t>
      </w:r>
      <w:r>
        <w:t xml:space="preserve">claim—is unobservable. What the data</w:t>
      </w:r>
      <w:r>
        <w:t xml:space="preserve"> </w:t>
      </w:r>
      <w:r>
        <w:rPr>
          <w:i/>
          <w:iCs/>
        </w:rPr>
        <w:t xml:space="preserve">can</w:t>
      </w:r>
      <w:r>
        <w:t xml:space="preserve"> </w:t>
      </w:r>
      <w:r>
        <w:t xml:space="preserve">reveal is whether the aggregate relationship between electoral status and democratic conceptions shifts across institutional contexts and over time in ways that are consistent with positional updating and difficult to reconcile with the leading alternatives.</w:t>
      </w:r>
    </w:p>
    <w:p>
      <w:pPr>
        <w:pStyle w:val="BodyText"/>
      </w:pPr>
      <w:r>
        <w:t xml:space="preserve">Three patterns would jointly support such an inference. First, losers should prioritize procedural conceptions more than winners in the pooled cross-section—a necessary but not sufficient condition, since stable dispositional or cultural differences could produce the same pattern. Second, the gap should widen where democratic institutions deteriorate, as the stakes of exclusion rise. Third, the gap should respond to perceived procedural threat at the individual level, concentrating among losers who view elections as unfair rather than appearing uniformly across all losers. No single test is dispositive; the cumulative pattern is the evidence.</w:t>
      </w:r>
    </w:p>
    <w:p>
      <w:pPr>
        <w:pStyle w:val="BodyText"/>
      </w:pPr>
      <w:r>
        <w:t xml:space="preserve">Two identification threats deserve explicit attention. Compositional change—where the</w:t>
      </w:r>
      <w:r>
        <w:t xml:space="preserve"> </w:t>
      </w:r>
      <w:r>
        <w:rPr>
          <w:i/>
          <w:iCs/>
        </w:rPr>
        <w:t xml:space="preserve">type</w:t>
      </w:r>
      <w:r>
        <w:t xml:space="preserve"> </w:t>
      </w:r>
      <w:r>
        <w:t xml:space="preserve">of person supporting winners versus losers shifts across waves—could mimic updating even if no individual changes their views. Demographic reweighting tests (Appendix G) address this partially but cannot rule out realignment on unobserved political dimensions. Elite cueing, where parties reframe democratic rhetoric and supporters absorb it, represents a complementary rather than competing mechanism; the Discussion addresses how the observable implications differ.</w:t>
      </w:r>
    </w:p>
    <w:p>
      <w:pPr>
        <w:pStyle w:val="BodyText"/>
      </w:pPr>
      <w:r>
        <w:t xml:space="preserve">What would falsify the positional interpretation? Panel data showing that individual citizens do not revise their conceptions after switching from winner to loser status—or vice versa—would be the most direct disconfirmation. Short of that, two cross-sectional patterns would weaken the case substantially: if the fairness amplification extended equally to non-procedural domains (suggesting generalized negativity rather than procedural-specific updating), or if Thailand’s trajectory could be accounted for by observable demographic realignment between winning and losing coalitions. The mechanism tests below probe exactly these possibilities.</w:t>
      </w:r>
    </w:p>
    <w:p>
      <w:pPr>
        <w:pStyle w:val="BodyText"/>
      </w:pPr>
      <w:r>
        <w:t xml:space="preserve">Throughout the analysis, claims are calibrated to the design.</w:t>
      </w:r>
      <w:r>
        <w:t xml:space="preserve"> </w:t>
      </w:r>
      <w:r>
        <w:t xml:space="preserve">“The loser effect widens”</w:t>
      </w:r>
      <w:r>
        <w:t xml:space="preserve"> </w:t>
      </w:r>
      <w:r>
        <w:t xml:space="preserve">refers to the cross-sectional gap measured at different time points, not to individual trajectories.</w:t>
      </w:r>
      <w:r>
        <w:t xml:space="preserve"> </w:t>
      </w:r>
      <w:r>
        <w:t xml:space="preserve">“Consistent with positional updating”</w:t>
      </w:r>
      <w:r>
        <w:t xml:space="preserve"> </w:t>
      </w:r>
      <w:r>
        <w:t xml:space="preserve">denotes a pattern that the updating framework predicts and that rival accounts do not straightforwardly explain—not a demonstration that updating occurred.</w:t>
      </w:r>
    </w:p>
    <w:bookmarkEnd w:id="31"/>
    <w:bookmarkStart w:id="32" w:name="analytical-strategy"/>
    <w:p>
      <w:pPr>
        <w:pStyle w:val="Heading2"/>
      </w:pPr>
      <w:r>
        <w:t xml:space="preserve">Analytical Strategy</w:t>
      </w:r>
    </w:p>
    <w:p>
      <w:pPr>
        <w:pStyle w:val="FirstParagraph"/>
      </w:pPr>
      <w:r>
        <w:t xml:space="preserve">Collapsing responses into a binary procedural–substantive indicator would sacrifice the item-level heterogeneity that is central to the analysis. Instead, each item set is modeled as a separate multinomial logistic regression, preserving all four response categories within each set. For Waves 3, 4, and 6, which share a common instrument of four item sets (Sets 1–4), data are pooled across waves and modeled jointly. Each set takes the form:</w:t>
      </w:r>
    </w:p>
    <w:p>
      <w:pPr>
        <w:pStyle w:val="BodyText"/>
      </w:pPr>
      <m:oMathPara>
        <m:oMathParaPr>
          <m:jc m:val="center"/>
        </m:oMathParaPr>
        <m:oMath>
          <m:r>
            <m:rPr>
              <m:sty m:val="p"/>
            </m:rPr>
            <m:t>Pr</m:t>
          </m:r>
          <m:d>
            <m:dPr>
              <m:begChr m:val="("/>
              <m:sepChr m:val=""/>
              <m:endChr m:val=")"/>
              <m:grow/>
            </m:dPr>
            <m:e>
              <m:sSub>
                <m:e>
                  <m:r>
                    <m:t>Y</m:t>
                  </m:r>
                </m:e>
                <m:sub>
                  <m:r>
                    <m:t>i</m:t>
                  </m:r>
                  <m:r>
                    <m:t>j</m:t>
                  </m:r>
                </m:sub>
              </m:sSub>
              <m:r>
                <m:rPr>
                  <m:sty m:val="p"/>
                </m:rPr>
                <m:t>=</m:t>
              </m:r>
              <m:r>
                <m:t>k</m:t>
              </m:r>
            </m:e>
          </m:d>
          <m:r>
            <m:rPr>
              <m:sty m:val="p"/>
            </m:rPr>
            <m:t>=</m:t>
          </m:r>
          <m:f>
            <m:fPr>
              <m:type m:val="bar"/>
            </m:fPr>
            <m:num>
              <m:r>
                <m:rPr>
                  <m:sty m:val="p"/>
                </m:rPr>
                <m:t>exp</m:t>
              </m:r>
              <m:d>
                <m:dPr>
                  <m:begChr m:val="("/>
                  <m:sepChr m:val=""/>
                  <m:endChr m:val=")"/>
                  <m:grow/>
                </m:dPr>
                <m:e>
                  <m:sSub>
                    <m:e>
                      <m:r>
                        <m:t>β</m:t>
                      </m:r>
                    </m:e>
                    <m:sub>
                      <m:r>
                        <m:t>0</m:t>
                      </m:r>
                      <m:r>
                        <m:t>k</m:t>
                      </m:r>
                    </m:sub>
                  </m:sSub>
                  <m:r>
                    <m:rPr>
                      <m:sty m:val="p"/>
                    </m:rPr>
                    <m:t>+</m:t>
                  </m:r>
                  <m:sSub>
                    <m:e>
                      <m:r>
                        <m:t>β</m:t>
                      </m:r>
                    </m:e>
                    <m:sub>
                      <m:r>
                        <m:t>1</m:t>
                      </m:r>
                      <m:r>
                        <m:t>k</m:t>
                      </m:r>
                    </m:sub>
                  </m:sSub>
                  <m:sSub>
                    <m:e>
                      <m:r>
                        <m:rPr>
                          <m:nor/>
                          <m:sty m:val="p"/>
                        </m:rPr>
                        <m:t>Loser</m:t>
                      </m:r>
                    </m:e>
                    <m:sub>
                      <m:r>
                        <m:t>i</m:t>
                      </m:r>
                    </m:sub>
                  </m:sSub>
                  <m:r>
                    <m:rPr>
                      <m:sty m:val="p"/>
                    </m:rPr>
                    <m:t>+</m:t>
                  </m:r>
                  <m:sSub>
                    <m:e>
                      <m:r>
                        <m:rPr>
                          <m:sty m:val="b"/>
                        </m:rPr>
                        <m:t>X</m:t>
                      </m:r>
                    </m:e>
                    <m:sub>
                      <m:r>
                        <m:t>i</m:t>
                      </m:r>
                    </m:sub>
                  </m:sSub>
                  <m:sSub>
                    <m:e>
                      <m:r>
                        <m:rPr>
                          <m:sty m:val="b"/>
                        </m:rPr>
                        <m:t>γ</m:t>
                      </m:r>
                    </m:e>
                    <m:sub>
                      <m:r>
                        <m:t>k</m:t>
                      </m:r>
                    </m:sub>
                  </m:sSub>
                  <m:r>
                    <m:rPr>
                      <m:sty m:val="p"/>
                    </m:rPr>
                    <m:t>+</m:t>
                  </m:r>
                  <m:sSub>
                    <m:e>
                      <m:r>
                        <m:t>α</m:t>
                      </m:r>
                    </m:e>
                    <m:sub>
                      <m:r>
                        <m:t>c</m:t>
                      </m:r>
                      <m:r>
                        <m:t>k</m:t>
                      </m:r>
                    </m:sub>
                  </m:sSub>
                  <m:r>
                    <m:rPr>
                      <m:sty m:val="p"/>
                    </m:rPr>
                    <m:t>+</m:t>
                  </m:r>
                  <m:sSub>
                    <m:e>
                      <m:r>
                        <m:t>δ</m:t>
                      </m:r>
                    </m:e>
                    <m:sub>
                      <m:r>
                        <m:t>t</m:t>
                      </m:r>
                      <m:r>
                        <m:t>k</m:t>
                      </m:r>
                    </m:sub>
                  </m:sSub>
                </m:e>
              </m:d>
            </m:num>
            <m:den>
              <m:nary>
                <m:naryPr>
                  <m:chr m:val="∑"/>
                  <m:limLoc m:val="undOvr"/>
                  <m:subHide m:val="off"/>
                  <m:supHide m:val="off"/>
                </m:naryPr>
                <m:sub>
                  <m:r>
                    <m:t>m</m:t>
                  </m:r>
                  <m:r>
                    <m:rPr>
                      <m:sty m:val="p"/>
                    </m:rPr>
                    <m:t>=</m:t>
                  </m:r>
                  <m:r>
                    <m:t>1</m:t>
                  </m:r>
                </m:sub>
                <m:sup>
                  <m:r>
                    <m:t>4</m:t>
                  </m:r>
                </m:sup>
                <m:e>
                  <m:r>
                    <m:rPr>
                      <m:sty m:val="p"/>
                    </m:rPr>
                    <m:t>exp</m:t>
                  </m:r>
                </m:e>
              </m:nary>
              <m:d>
                <m:dPr>
                  <m:begChr m:val="("/>
                  <m:sepChr m:val=""/>
                  <m:endChr m:val=")"/>
                  <m:grow/>
                </m:dPr>
                <m:e>
                  <m:sSub>
                    <m:e>
                      <m:r>
                        <m:t>β</m:t>
                      </m:r>
                    </m:e>
                    <m:sub>
                      <m:r>
                        <m:t>0</m:t>
                      </m:r>
                      <m:r>
                        <m:t>m</m:t>
                      </m:r>
                    </m:sub>
                  </m:sSub>
                  <m:r>
                    <m:rPr>
                      <m:sty m:val="p"/>
                    </m:rPr>
                    <m:t>+</m:t>
                  </m:r>
                  <m:sSub>
                    <m:e>
                      <m:r>
                        <m:t>β</m:t>
                      </m:r>
                    </m:e>
                    <m:sub>
                      <m:r>
                        <m:t>1</m:t>
                      </m:r>
                      <m:r>
                        <m:t>m</m:t>
                      </m:r>
                    </m:sub>
                  </m:sSub>
                  <m:sSub>
                    <m:e>
                      <m:r>
                        <m:rPr>
                          <m:nor/>
                          <m:sty m:val="p"/>
                        </m:rPr>
                        <m:t>Loser</m:t>
                      </m:r>
                    </m:e>
                    <m:sub>
                      <m:r>
                        <m:t>i</m:t>
                      </m:r>
                    </m:sub>
                  </m:sSub>
                  <m:r>
                    <m:rPr>
                      <m:sty m:val="p"/>
                    </m:rPr>
                    <m:t>+</m:t>
                  </m:r>
                  <m:sSub>
                    <m:e>
                      <m:r>
                        <m:rPr>
                          <m:sty m:val="b"/>
                        </m:rPr>
                        <m:t>X</m:t>
                      </m:r>
                    </m:e>
                    <m:sub>
                      <m:r>
                        <m:t>i</m:t>
                      </m:r>
                    </m:sub>
                  </m:sSub>
                  <m:sSub>
                    <m:e>
                      <m:r>
                        <m:rPr>
                          <m:sty m:val="b"/>
                        </m:rPr>
                        <m:t>γ</m:t>
                      </m:r>
                    </m:e>
                    <m:sub>
                      <m:r>
                        <m:t>m</m:t>
                      </m:r>
                    </m:sub>
                  </m:sSub>
                  <m:r>
                    <m:rPr>
                      <m:sty m:val="p"/>
                    </m:rPr>
                    <m:t>+</m:t>
                  </m:r>
                  <m:sSub>
                    <m:e>
                      <m:r>
                        <m:t>α</m:t>
                      </m:r>
                    </m:e>
                    <m:sub>
                      <m:r>
                        <m:t>c</m:t>
                      </m:r>
                      <m:r>
                        <m:t>m</m:t>
                      </m:r>
                    </m:sub>
                  </m:sSub>
                  <m:r>
                    <m:rPr>
                      <m:sty m:val="p"/>
                    </m:rPr>
                    <m:t>+</m:t>
                  </m:r>
                  <m:sSub>
                    <m:e>
                      <m:r>
                        <m:t>δ</m:t>
                      </m:r>
                    </m:e>
                    <m:sub>
                      <m:r>
                        <m:t>t</m:t>
                      </m:r>
                      <m:r>
                        <m:t>m</m:t>
                      </m:r>
                    </m:sub>
                  </m:sSub>
                </m:e>
              </m:d>
            </m:den>
          </m:f>
        </m:oMath>
      </m:oMathPara>
    </w:p>
    <w:p>
      <w:pPr>
        <w:pStyle w:val="FirstParagraph"/>
      </w:pPr>
      <w:r>
        <w:t xml:space="preserve">where</w:t>
      </w:r>
      <w:r>
        <w:t xml:space="preserve"> </w:t>
      </w:r>
      <m:oMath>
        <m:sSub>
          <m:e>
            <m:r>
              <m:t>Y</m:t>
            </m:r>
          </m:e>
          <m:sub>
            <m:r>
              <m:t>i</m:t>
            </m:r>
            <m:r>
              <m:t>j</m:t>
            </m:r>
          </m:sub>
        </m:sSub>
      </m:oMath>
      <w:r>
        <w:t xml:space="preserve"> </w:t>
      </w:r>
      <w:r>
        <w:t xml:space="preserve">denotes the item selected by respondent</w:t>
      </w:r>
      <w:r>
        <w:t xml:space="preserve"> </w:t>
      </w:r>
      <m:oMath>
        <m:r>
          <m:t>i</m:t>
        </m:r>
      </m:oMath>
      <w:r>
        <w:t xml:space="preserve"> </w:t>
      </w:r>
      <w:r>
        <w:t xml:space="preserve">in set</w:t>
      </w:r>
      <w:r>
        <w:t xml:space="preserve"> </w:t>
      </w:r>
      <m:oMath>
        <m:r>
          <m:t>j</m:t>
        </m:r>
      </m:oMath>
      <w:r>
        <w:t xml:space="preserve">,</w:t>
      </w:r>
      <w:r>
        <w:t xml:space="preserve"> </w:t>
      </w:r>
      <m:oMath>
        <m:r>
          <m:t>k</m:t>
        </m:r>
      </m:oMath>
      <w:r>
        <w:t xml:space="preserve"> </w:t>
      </w:r>
      <w:r>
        <w:t xml:space="preserve">indexes the four response categories within each set,</w:t>
      </w:r>
      <w:r>
        <w:t xml:space="preserve"> </w:t>
      </w:r>
      <m:oMath>
        <m:sSub>
          <m:e>
            <m:r>
              <m:rPr>
                <m:sty m:val="b"/>
              </m:rPr>
              <m:t>X</m:t>
            </m:r>
          </m:e>
          <m:sub>
            <m:r>
              <m:t>i</m:t>
            </m:r>
          </m:sub>
        </m:sSub>
      </m:oMath>
      <w:r>
        <w:t xml:space="preserve"> </w:t>
      </w:r>
      <w:r>
        <w:t xml:space="preserve">is a vector of demographic controls (age, gender, education, and urban–rural residence), and</w:t>
      </w:r>
      <w:r>
        <w:t xml:space="preserve"> </w:t>
      </w:r>
      <m:oMath>
        <m:sSub>
          <m:e>
            <m:r>
              <m:t>α</m:t>
            </m:r>
          </m:e>
          <m:sub>
            <m:r>
              <m:t>c</m:t>
            </m:r>
            <m:r>
              <m:t>k</m:t>
            </m:r>
          </m:sub>
        </m:sSub>
      </m:oMath>
      <w:r>
        <w:t xml:space="preserve"> </w:t>
      </w:r>
      <w:r>
        <w:t xml:space="preserve">and</w:t>
      </w:r>
      <w:r>
        <w:t xml:space="preserve"> </w:t>
      </w:r>
      <m:oMath>
        <m:sSub>
          <m:e>
            <m:r>
              <m:t>δ</m:t>
            </m:r>
          </m:e>
          <m:sub>
            <m:r>
              <m:t>t</m:t>
            </m:r>
            <m:r>
              <m:t>k</m:t>
            </m:r>
          </m:sub>
        </m:sSub>
      </m:oMath>
      <w:r>
        <w:t xml:space="preserve"> </w:t>
      </w:r>
      <w:r>
        <w:t xml:space="preserve">represent category-specific country and wave fixed effects. The reference category is set internally by the estimation routine; because results are reported as average marginal effects (AMEs), the choice of baseline category does not affect interpretation. AMEs express the effect of loser status as percentage-point changes in the predicted probability of selecting each item—a quantity that is directly interpretable and comparable across all twenty items without requiring the reader to mentally translate log-odds ratios.</w:t>
      </w:r>
    </w:p>
    <w:p>
      <w:pPr>
        <w:pStyle w:val="BodyText"/>
      </w:pPr>
      <w:r>
        <w:t xml:space="preserve">Wave 2, which employed a single forced-choice item with a distinct set of response options, is modeled separately using the same multinomial logit specification (without wave fixed effects, as it draws from a single survey round). The inclusion is not merely a methodological nicety: because Wave 2’s instrument differs in structure from the later waves, replication across both formats provides a check on whether the loser effect is a feature of the underlying political psychology or an artifact of a particular battery design.</w:t>
      </w:r>
    </w:p>
    <w:p>
      <w:pPr>
        <w:pStyle w:val="BodyText"/>
      </w:pPr>
      <w:r>
        <w:t xml:space="preserve">Standard errors are computed via wild cluster bootstrap at the country level</w:t>
      </w:r>
      <w:r>
        <w:t xml:space="preserve"> </w:t>
      </w:r>
      <w:r>
        <w:t xml:space="preserve">(Cameron et al. 2008)</w:t>
      </w:r>
      <w:r>
        <w:t xml:space="preserve">. The rationale is straightforward—with only eleven country clusters, conventional cluster-robust variance estimators produce downward-biased standard errors and over-reject the null—but the practical consequences are worth stating. By imposing the null hypothesis on the bootstrap data-generating process, this procedure trades statistical power for honest inference. The tests throughout the analysis are accordingly conservative, which means that the effects reported below had to clear a higher bar than in most comparative survey research with similar sample sizes.</w:t>
      </w:r>
    </w:p>
    <w:p>
      <w:pPr>
        <w:pStyle w:val="BodyText"/>
      </w:pPr>
      <w:r>
        <w:t xml:space="preserve">To examine country-level variation and within-country trajectories (H2 and H3), the multinomial logit models are re-estimated separately for each country-wave combination. For each estimate, I compute the procedural–substantive gap: the difference between the mean AME of loser status across procedural items and the mean AME across substantive items within a given country-wave. A positive gap indicates that losers disproportionately favor procedural conceptions relative to substantive ones. Confidence intervals for these gaps are obtained via the same wild bootstrap procedure. Tracking these gaps across waves within countries is where the analysis moves beyond cross-sectional description, allowing direct assessment of whether conceptions of democracy respond to changing political conditions—the central prediction that distinguishes the positional account from cultural or dispositional alternatives.</w:t>
      </w:r>
    </w:p>
    <w:bookmarkEnd w:id="32"/>
    <w:bookmarkEnd w:id="33"/>
    <w:bookmarkStart w:id="50" w:name="results"/>
    <w:p>
      <w:pPr>
        <w:pStyle w:val="Heading1"/>
      </w:pPr>
      <w:r>
        <w:t xml:space="preserve">Results</w:t>
      </w:r>
    </w:p>
    <w:bookmarkStart w:id="35" w:name="the-baseline-loser-effect"/>
    <w:p>
      <w:pPr>
        <w:pStyle w:val="Heading2"/>
      </w:pPr>
      <w:r>
        <w:t xml:space="preserve">The Baseline Loser Effect</w:t>
      </w:r>
    </w:p>
    <w:p>
      <w:pPr>
        <w:pStyle w:val="FirstParagraph"/>
      </w:pPr>
      <w:r>
        <w:t xml:space="preserve">Table 1 reports the average marginal effect of loser status on the probability of selecting each of the twenty items across the pooled sample. The pattern is consistent with H1: 9 of 10 procedural items show positive effects (losers more likely to select), while all 6 substantive items show negative effects (winners more likely to select). Procedural effects range from 0.3 to 3.8 percentage points, with Media freedom showing the largest effect (+3.8 pp,</w:t>
      </w:r>
      <w:r>
        <w:t xml:space="preserve"> </w:t>
      </w:r>
      <m:oMath>
        <m:r>
          <m:t>p</m:t>
        </m:r>
      </m:oMath>
      <w:r>
        <w:t xml:space="preserve"> </w:t>
      </w:r>
      <w:r>
        <w:t xml:space="preserve">&lt; 0.001). Substantive effects range from -2.1 to -0.8 pp, with Basic necessities as the largest (-2.1 pp,</w:t>
      </w:r>
      <w:r>
        <w:t xml:space="preserve"> </w:t>
      </w:r>
      <m:oMath>
        <m:r>
          <m:t>p</m:t>
        </m:r>
      </m:oMath>
      <w:r>
        <w:t xml:space="preserve"> </w:t>
      </w:r>
      <w:r>
        <w:t xml:space="preserve">= 0.023).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AME (pp)</w:t>
            </w:r>
          </w:p>
        </w:tc>
        <w:tc>
          <w:tcPr/>
          <w:p>
            <w:pPr>
              <w:pStyle w:val="Compact"/>
              <w:jc w:val="right"/>
            </w:pPr>
            <w:r>
              <w:t xml:space="preserve">SE</w:t>
            </w:r>
          </w:p>
        </w:tc>
        <w:tc>
          <w:tcPr/>
          <w:p>
            <w:pPr>
              <w:pStyle w:val="Compact"/>
              <w:jc w:val="right"/>
            </w:pPr>
            <w:r>
              <w:t xml:space="preserve">Sig</w:t>
            </w:r>
          </w:p>
        </w:tc>
      </w:tr>
      <w:tr>
        <w:tc>
          <w:tcPr/>
          <w:p>
            <w:pPr>
              <w:pStyle w:val="Compact"/>
              <w:jc w:val="left"/>
            </w:pPr>
            <w:r>
              <w:t xml:space="preserve">Media freedom</w:t>
            </w:r>
          </w:p>
        </w:tc>
        <w:tc>
          <w:tcPr/>
          <w:p>
            <w:pPr>
              <w:pStyle w:val="Compact"/>
              <w:jc w:val="left"/>
            </w:pPr>
            <w:r>
              <w:t xml:space="preserve">Procedural</w:t>
            </w:r>
          </w:p>
        </w:tc>
        <w:tc>
          <w:tcPr/>
          <w:p>
            <w:pPr>
              <w:pStyle w:val="Compact"/>
              <w:jc w:val="left"/>
            </w:pPr>
            <w:r>
              <w:t xml:space="preserve">+3.8</w:t>
            </w:r>
          </w:p>
        </w:tc>
        <w:tc>
          <w:tcPr/>
          <w:p>
            <w:pPr>
              <w:pStyle w:val="Compact"/>
              <w:jc w:val="right"/>
            </w:pPr>
            <w:r>
              <w:t xml:space="preserve">0.7</w:t>
            </w:r>
          </w:p>
        </w:tc>
        <w:tc>
          <w:tcPr/>
          <w:p>
            <w:pPr>
              <w:pStyle w:val="Compact"/>
              <w:jc w:val="right"/>
            </w:pPr>
            <w:r>
              <w:t xml:space="preserve">***</w:t>
            </w:r>
          </w:p>
        </w:tc>
      </w:tr>
      <w:tr>
        <w:tc>
          <w:tcPr/>
          <w:p>
            <w:pPr>
              <w:pStyle w:val="Compact"/>
              <w:jc w:val="left"/>
            </w:pPr>
            <w:r>
              <w:t xml:space="preserve">Free expression</w:t>
            </w:r>
          </w:p>
        </w:tc>
        <w:tc>
          <w:tcPr/>
          <w:p>
            <w:pPr>
              <w:pStyle w:val="Compact"/>
              <w:jc w:val="left"/>
            </w:pPr>
            <w:r>
              <w:t xml:space="preserve">Procedural</w:t>
            </w:r>
          </w:p>
        </w:tc>
        <w:tc>
          <w:tcPr/>
          <w:p>
            <w:pPr>
              <w:pStyle w:val="Compact"/>
              <w:jc w:val="left"/>
            </w:pPr>
            <w:r>
              <w:t xml:space="preserve">+3.2</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Organize groups</w:t>
            </w:r>
          </w:p>
        </w:tc>
        <w:tc>
          <w:tcPr/>
          <w:p>
            <w:pPr>
              <w:pStyle w:val="Compact"/>
              <w:jc w:val="left"/>
            </w:pPr>
            <w:r>
              <w:t xml:space="preserve">Procedural</w:t>
            </w:r>
          </w:p>
        </w:tc>
        <w:tc>
          <w:tcPr/>
          <w:p>
            <w:pPr>
              <w:pStyle w:val="Compact"/>
              <w:jc w:val="left"/>
            </w:pPr>
            <w:r>
              <w:t xml:space="preserve">+2.3</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Party competition</w:t>
            </w:r>
          </w:p>
        </w:tc>
        <w:tc>
          <w:tcPr/>
          <w:p>
            <w:pPr>
              <w:pStyle w:val="Compact"/>
              <w:jc w:val="left"/>
            </w:pPr>
            <w:r>
              <w:t xml:space="preserve">Procedural</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Protest freedom</w:t>
            </w:r>
          </w:p>
        </w:tc>
        <w:tc>
          <w:tcPr/>
          <w:p>
            <w:pPr>
              <w:pStyle w:val="Compact"/>
              <w:jc w:val="left"/>
            </w:pPr>
            <w:r>
              <w:t xml:space="preserve">Procedural</w:t>
            </w:r>
          </w:p>
        </w:tc>
        <w:tc>
          <w:tcPr/>
          <w:p>
            <w:pPr>
              <w:pStyle w:val="Compact"/>
              <w:jc w:val="left"/>
            </w:pPr>
            <w:r>
              <w:t xml:space="preserve">+1.2</w:t>
            </w:r>
          </w:p>
        </w:tc>
        <w:tc>
          <w:tcPr/>
          <w:p>
            <w:pPr>
              <w:pStyle w:val="Compact"/>
              <w:jc w:val="right"/>
            </w:pPr>
            <w:r>
              <w:t xml:space="preserve">0.8</w:t>
            </w:r>
          </w:p>
        </w:tc>
        <w:tc>
          <w:tcPr/>
          <w:p>
            <w:pPr>
              <w:pStyle w:val="Compact"/>
            </w:pPr>
          </w:p>
        </w:tc>
      </w:tr>
      <w:tr>
        <w:tc>
          <w:tcPr/>
          <w:p>
            <w:pPr>
              <w:pStyle w:val="Compact"/>
              <w:jc w:val="left"/>
            </w:pPr>
            <w:r>
              <w:t xml:space="preserve">Legislature oversight</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0.9</w:t>
            </w:r>
          </w:p>
        </w:tc>
        <w:tc>
          <w:tcPr/>
          <w:p>
            <w:pPr>
              <w:pStyle w:val="Compact"/>
            </w:pPr>
          </w:p>
        </w:tc>
      </w:tr>
      <w:tr>
        <w:tc>
          <w:tcPr/>
          <w:p>
            <w:pPr>
              <w:pStyle w:val="Compact"/>
              <w:jc w:val="left"/>
            </w:pPr>
            <w:r>
              <w:t xml:space="preserve">Court protection</w:t>
            </w:r>
          </w:p>
        </w:tc>
        <w:tc>
          <w:tcPr/>
          <w:p>
            <w:pPr>
              <w:pStyle w:val="Compact"/>
              <w:jc w:val="left"/>
            </w:pPr>
            <w:r>
              <w:t xml:space="preserve">Procedural</w:t>
            </w:r>
          </w:p>
        </w:tc>
        <w:tc>
          <w:tcPr/>
          <w:p>
            <w:pPr>
              <w:pStyle w:val="Compact"/>
              <w:jc w:val="left"/>
            </w:pPr>
            <w:r>
              <w:t xml:space="preserve">+0.3</w:t>
            </w:r>
          </w:p>
        </w:tc>
        <w:tc>
          <w:tcPr/>
          <w:p>
            <w:pPr>
              <w:pStyle w:val="Compact"/>
              <w:jc w:val="right"/>
            </w:pPr>
            <w:r>
              <w:t xml:space="preserve">0.9</w:t>
            </w:r>
          </w:p>
        </w:tc>
        <w:tc>
          <w:tcPr/>
          <w:p>
            <w:pPr>
              <w:pStyle w:val="Compact"/>
            </w:pPr>
          </w:p>
        </w:tc>
      </w:tr>
      <w:tr>
        <w:tc>
          <w:tcPr/>
          <w:p>
            <w:pPr>
              <w:pStyle w:val="Compact"/>
              <w:jc w:val="left"/>
            </w:pPr>
            <w:r>
              <w:t xml:space="preserve">No waste</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0.8</w:t>
            </w:r>
          </w:p>
        </w:tc>
        <w:tc>
          <w:tcPr/>
          <w:p>
            <w:pPr>
              <w:pStyle w:val="Compact"/>
            </w:pPr>
          </w:p>
        </w:tc>
      </w:tr>
      <w:tr>
        <w:tc>
          <w:tcPr/>
          <w:p>
            <w:pPr>
              <w:pStyle w:val="Compact"/>
              <w:jc w:val="left"/>
            </w:pPr>
            <w:r>
              <w:t xml:space="preserve">Clean politics</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0.9</w:t>
            </w:r>
          </w:p>
        </w:tc>
        <w:tc>
          <w:tcPr/>
          <w:p>
            <w:pPr>
              <w:pStyle w:val="Compact"/>
            </w:pPr>
          </w:p>
        </w:tc>
      </w:tr>
      <w:tr>
        <w:tc>
          <w:tcPr/>
          <w:p>
            <w:pPr>
              <w:pStyle w:val="Compact"/>
              <w:jc w:val="left"/>
            </w:pPr>
            <w:r>
              <w:t xml:space="preserve">Unemployment aid</w:t>
            </w:r>
          </w:p>
        </w:tc>
        <w:tc>
          <w:tcPr/>
          <w:p>
            <w:pPr>
              <w:pStyle w:val="Compact"/>
              <w:jc w:val="left"/>
            </w:pPr>
            <w:r>
              <w:t xml:space="preserve">Substantive</w:t>
            </w:r>
          </w:p>
        </w:tc>
        <w:tc>
          <w:tcPr/>
          <w:p>
            <w:pPr>
              <w:pStyle w:val="Compact"/>
              <w:jc w:val="left"/>
            </w:pPr>
            <w:r>
              <w:t xml:space="preserve">-0.8</w:t>
            </w:r>
          </w:p>
        </w:tc>
        <w:tc>
          <w:tcPr/>
          <w:p>
            <w:pPr>
              <w:pStyle w:val="Compact"/>
              <w:jc w:val="right"/>
            </w:pPr>
            <w:r>
              <w:t xml:space="preserve">1.0</w:t>
            </w:r>
          </w:p>
        </w:tc>
        <w:tc>
          <w:tcPr/>
          <w:p>
            <w:pPr>
              <w:pStyle w:val="Compact"/>
            </w:pPr>
          </w:p>
        </w:tc>
      </w:tr>
      <w:tr>
        <w:tc>
          <w:tcPr/>
          <w:p>
            <w:pPr>
              <w:pStyle w:val="Compact"/>
              <w:jc w:val="left"/>
            </w:pPr>
            <w:r>
              <w:t xml:space="preserve">Jobs for all</w:t>
            </w:r>
          </w:p>
        </w:tc>
        <w:tc>
          <w:tcPr/>
          <w:p>
            <w:pPr>
              <w:pStyle w:val="Compact"/>
              <w:jc w:val="left"/>
            </w:pPr>
            <w:r>
              <w:t xml:space="preserve">Substantive</w:t>
            </w:r>
          </w:p>
        </w:tc>
        <w:tc>
          <w:tcPr/>
          <w:p>
            <w:pPr>
              <w:pStyle w:val="Compact"/>
              <w:jc w:val="left"/>
            </w:pPr>
            <w:r>
              <w:t xml:space="preserve">-0.9</w:t>
            </w:r>
          </w:p>
        </w:tc>
        <w:tc>
          <w:tcPr/>
          <w:p>
            <w:pPr>
              <w:pStyle w:val="Compact"/>
              <w:jc w:val="right"/>
            </w:pPr>
            <w:r>
              <w:t xml:space="preserve">1.3</w:t>
            </w:r>
          </w:p>
        </w:tc>
        <w:tc>
          <w:tcPr/>
          <w:p>
            <w:pPr>
              <w:pStyle w:val="Compact"/>
            </w:pPr>
          </w:p>
        </w:tc>
      </w:tr>
      <w:tr>
        <w:tc>
          <w:tcPr/>
          <w:p>
            <w:pPr>
              <w:pStyle w:val="Compact"/>
              <w:jc w:val="left"/>
            </w:pPr>
            <w:r>
              <w:t xml:space="preserve">Free elections</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0.8</w:t>
            </w:r>
          </w:p>
        </w:tc>
        <w:tc>
          <w:tcPr/>
          <w:p>
            <w:pPr>
              <w:pStyle w:val="Compact"/>
            </w:pPr>
          </w:p>
        </w:tc>
      </w:tr>
      <w:tr>
        <w:tc>
          <w:tcPr/>
          <w:p>
            <w:pPr>
              <w:pStyle w:val="Compact"/>
              <w:jc w:val="left"/>
            </w:pPr>
            <w:r>
              <w:t xml:space="preserve">Quality services</w:t>
            </w:r>
          </w:p>
        </w:tc>
        <w:tc>
          <w:tcPr/>
          <w:p>
            <w:pPr>
              <w:pStyle w:val="Compact"/>
              <w:jc w:val="left"/>
            </w:pPr>
            <w:r>
              <w:t xml:space="preserve">Governance</w:t>
            </w:r>
          </w:p>
        </w:tc>
        <w:tc>
          <w:tcPr/>
          <w:p>
            <w:pPr>
              <w:pStyle w:val="Compact"/>
              <w:jc w:val="left"/>
            </w:pPr>
            <w:r>
              <w:t xml:space="preserve">-1.2</w:t>
            </w:r>
          </w:p>
        </w:tc>
        <w:tc>
          <w:tcPr/>
          <w:p>
            <w:pPr>
              <w:pStyle w:val="Compact"/>
              <w:jc w:val="right"/>
            </w:pPr>
            <w:r>
              <w:t xml:space="preserve">1.6</w:t>
            </w:r>
          </w:p>
        </w:tc>
        <w:tc>
          <w:tcPr/>
          <w:p>
            <w:pPr>
              <w:pStyle w:val="Compact"/>
            </w:pPr>
          </w:p>
        </w:tc>
      </w:tr>
      <w:tr>
        <w:tc>
          <w:tcPr/>
          <w:p>
            <w:pPr>
              <w:pStyle w:val="Compact"/>
              <w:jc w:val="left"/>
            </w:pPr>
            <w:r>
              <w:t xml:space="preserve">Reduce gap rich/poor</w:t>
            </w:r>
          </w:p>
        </w:tc>
        <w:tc>
          <w:tcPr/>
          <w:p>
            <w:pPr>
              <w:pStyle w:val="Compact"/>
              <w:jc w:val="left"/>
            </w:pPr>
            <w:r>
              <w:t xml:space="preserve">Substantive</w:t>
            </w:r>
          </w:p>
        </w:tc>
        <w:tc>
          <w:tcPr/>
          <w:p>
            <w:pPr>
              <w:pStyle w:val="Compact"/>
              <w:jc w:val="left"/>
            </w:pPr>
            <w:r>
              <w:t xml:space="preserve">-1.5</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0.9</w:t>
            </w:r>
          </w:p>
        </w:tc>
        <w:tc>
          <w:tcPr/>
          <w:p>
            <w:pPr>
              <w:pStyle w:val="Compact"/>
              <w:jc w:val="right"/>
            </w:pPr>
            <w:r>
              <w:t xml:space="preserve">*</w:t>
            </w:r>
          </w:p>
        </w:tc>
      </w:tr>
      <w:tr>
        <w:tc>
          <w:tcPr/>
          <w:p>
            <w:pPr>
              <w:pStyle w:val="Compact"/>
              <w:jc w:val="left"/>
            </w:pPr>
            <w:r>
              <w:t xml:space="preserve">Law and order</w:t>
            </w:r>
          </w:p>
        </w:tc>
        <w:tc>
          <w:tcPr/>
          <w:p>
            <w:pPr>
              <w:pStyle w:val="Compact"/>
              <w:jc w:val="left"/>
            </w:pPr>
            <w:r>
              <w:t xml:space="preserve">Governance</w:t>
            </w:r>
          </w:p>
        </w:tc>
        <w:tc>
          <w:tcPr/>
          <w:p>
            <w:pPr>
              <w:pStyle w:val="Compact"/>
              <w:jc w:val="left"/>
            </w:pPr>
            <w:r>
              <w:t xml:space="preserve">-5.0</w:t>
            </w:r>
          </w:p>
        </w:tc>
        <w:tc>
          <w:tcPr/>
          <w:p>
            <w:pPr>
              <w:pStyle w:val="Compact"/>
              <w:jc w:val="right"/>
            </w:pPr>
            <w:r>
              <w:t xml:space="preserve">1.0</w:t>
            </w:r>
          </w:p>
        </w:tc>
        <w:tc>
          <w:tcPr/>
          <w:p>
            <w:pPr>
              <w:pStyle w:val="Compact"/>
              <w:jc w:val="right"/>
            </w:pPr>
            <w:r>
              <w:t xml:space="preserve">***</w:t>
            </w:r>
          </w:p>
        </w:tc>
      </w:tr>
      <w:tr>
        <w:tc>
          <w:tcPr/>
          <w:p>
            <w:pPr>
              <w:pStyle w:val="Compact"/>
              <w:jc w:val="left"/>
            </w:pPr>
            <w:r>
              <w:t xml:space="preserve">Elections</w:t>
            </w:r>
          </w:p>
        </w:tc>
        <w:tc>
          <w:tcPr/>
          <w:p>
            <w:pPr>
              <w:pStyle w:val="Compact"/>
              <w:jc w:val="left"/>
            </w:pPr>
            <w:r>
              <w:t xml:space="preserve">Procedural</w:t>
            </w:r>
          </w:p>
        </w:tc>
        <w:tc>
          <w:tcPr/>
          <w:p>
            <w:pPr>
              <w:pStyle w:val="Compact"/>
              <w:jc w:val="left"/>
            </w:pPr>
            <w:r>
              <w:t xml:space="preserve">+2.8</w:t>
            </w:r>
          </w:p>
        </w:tc>
        <w:tc>
          <w:tcPr/>
          <w:p>
            <w:pPr>
              <w:pStyle w:val="Compact"/>
              <w:jc w:val="right"/>
            </w:pPr>
            <w:r>
              <w:t xml:space="preserve">1.4</w:t>
            </w:r>
          </w:p>
        </w:tc>
        <w:tc>
          <w:tcPr/>
          <w:p>
            <w:pPr>
              <w:pStyle w:val="Compact"/>
              <w:jc w:val="right"/>
            </w:pPr>
            <w:r>
              <w:t xml:space="preserve">*</w:t>
            </w:r>
          </w:p>
        </w:tc>
      </w:tr>
      <w:tr>
        <w:tc>
          <w:tcPr/>
          <w:p>
            <w:pPr>
              <w:pStyle w:val="Compact"/>
              <w:jc w:val="left"/>
            </w:pPr>
            <w:r>
              <w:t xml:space="preserve">Criticize power</w:t>
            </w:r>
          </w:p>
        </w:tc>
        <w:tc>
          <w:tcPr/>
          <w:p>
            <w:pPr>
              <w:pStyle w:val="Compact"/>
              <w:jc w:val="left"/>
            </w:pPr>
            <w:r>
              <w:t xml:space="preserve">Procedural</w:t>
            </w:r>
          </w:p>
        </w:tc>
        <w:tc>
          <w:tcPr/>
          <w:p>
            <w:pPr>
              <w:pStyle w:val="Compact"/>
              <w:jc w:val="left"/>
            </w:pPr>
            <w:r>
              <w:t xml:space="preserve">+0.7</w:t>
            </w:r>
          </w:p>
        </w:tc>
        <w:tc>
          <w:tcPr/>
          <w:p>
            <w:pPr>
              <w:pStyle w:val="Compact"/>
              <w:jc w:val="right"/>
            </w:pPr>
            <w:r>
              <w:t xml:space="preserve">1.1</w:t>
            </w:r>
          </w:p>
        </w:tc>
        <w:tc>
          <w:tcPr/>
          <w:p>
            <w:pPr>
              <w:pStyle w:val="Compact"/>
            </w:pPr>
          </w:p>
        </w:tc>
      </w:tr>
      <w:tr>
        <w:tc>
          <w:tcPr/>
          <w:p>
            <w:pPr>
              <w:pStyle w:val="Compact"/>
              <w:jc w:val="left"/>
            </w:pPr>
            <w:r>
              <w:t xml:space="preserve">Income equality</w:t>
            </w:r>
          </w:p>
        </w:tc>
        <w:tc>
          <w:tcPr/>
          <w:p>
            <w:pPr>
              <w:pStyle w:val="Compact"/>
              <w:jc w:val="left"/>
            </w:pPr>
            <w:r>
              <w:t xml:space="preserve">Substantive</w:t>
            </w:r>
          </w:p>
        </w:tc>
        <w:tc>
          <w:tcPr/>
          <w:p>
            <w:pPr>
              <w:pStyle w:val="Compact"/>
              <w:jc w:val="left"/>
            </w:pPr>
            <w:r>
              <w:t xml:space="preserve">-1.3</w:t>
            </w:r>
          </w:p>
        </w:tc>
        <w:tc>
          <w:tcPr/>
          <w:p>
            <w:pPr>
              <w:pStyle w:val="Compact"/>
              <w:jc w:val="right"/>
            </w:pPr>
            <w:r>
              <w:t xml:space="preserve">0.6</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bl>
    <w:p>
      <w:pPr>
        <w:pStyle w:val="BodyText"/>
      </w:pPr>
      <w:r>
        <w:t xml:space="preserve">Individually, these effects are not large—on the order of two to four percentage points per item. But individual effect sizes are not the point. What stands out is the sheer consistency of the pattern across twenty items spread over five separate batteries. No single item drives the result; no single battery drives it. Winners and losers occupy measurably different positions in the conceptual space of democratic meaning, and they do so in the same direction virtually everywhere you look: losers zero in on the rules of political competition, winners on the material payoffs of governance.</w:t>
      </w:r>
    </w:p>
    <w:p>
      <w:pPr>
        <w:pStyle w:val="BodyText"/>
      </w:pPr>
      <w:r>
        <w:t xml:space="preserve">One item warrants specific attention. Free elections, the most canonical procedural item, shows a</w:t>
      </w:r>
      <w:r>
        <w:t xml:space="preserve"> </w:t>
      </w:r>
      <w:r>
        <w:rPr>
          <w:i/>
          <w:iCs/>
        </w:rPr>
        <w:t xml:space="preserve">negative</w:t>
      </w:r>
      <w:r>
        <w:t xml:space="preserve"> </w:t>
      </w:r>
      <w:r>
        <w:t xml:space="preserve">AME (-1.0 pp), meaning losers are slightly</w:t>
      </w:r>
      <w:r>
        <w:t xml:space="preserve"> </w:t>
      </w:r>
      <w:r>
        <w:rPr>
          <w:i/>
          <w:iCs/>
        </w:rPr>
        <w:t xml:space="preserve">less</w:t>
      </w:r>
      <w:r>
        <w:t xml:space="preserve"> </w:t>
      </w:r>
      <w:r>
        <w:t xml:space="preserve">likely than winners to identify free elections as the most important feature of democracy. This runs counter to H1’s general prediction, but the pattern becomes interpretable in light of the remaining procedural results. The items that losers</w:t>
      </w:r>
      <w:r>
        <w:t xml:space="preserve"> </w:t>
      </w:r>
      <w:r>
        <w:rPr>
          <w:i/>
          <w:iCs/>
        </w:rPr>
        <w:t xml:space="preserve">do</w:t>
      </w:r>
      <w:r>
        <w:t xml:space="preserve"> </w:t>
      </w:r>
      <w:r>
        <w:t xml:space="preserve">favor are the liberal components of democratic governance: free expression (+3.2 pp), media freedom (+3.8 pp), the right to organize groups (+2.3 pp), and party competition (+2.1 pp). Losers who have experienced electoral manipulation or whose preferred parties have been dissolved by courts may have reason to distrust the electoral mechanism itself while valuing the broader liberal ecosystem (media, expression, association, judicial accountability) that enables political contestation outside formal elections. The loser effect, in other words, is not an elections effect but a</w:t>
      </w:r>
      <w:r>
        <w:t xml:space="preserve"> </w:t>
      </w:r>
      <w:r>
        <w:rPr>
          <w:i/>
          <w:iCs/>
        </w:rPr>
        <w:t xml:space="preserve">liberal-democratic</w:t>
      </w:r>
      <w:r>
        <w:t xml:space="preserve"> </w:t>
      </w:r>
      <w:r>
        <w:t xml:space="preserve">effect: losers gravitate toward the institutional protections that sustain opposition rather than the specific electoral procedure that has failed to deliver victory.</w:t>
      </w:r>
    </w:p>
    <w:p>
      <w:pPr>
        <w:pStyle w:val="BodyText"/>
      </w:pPr>
      <w:r>
        <w:t xml:space="preserve">This pattern is consistent with what might be termed</w:t>
      </w:r>
      <w:r>
        <w:t xml:space="preserve"> </w:t>
      </w:r>
      <w:r>
        <w:rPr>
          <w:i/>
          <w:iCs/>
        </w:rPr>
        <w:t xml:space="preserve">cynical proceduralism</w:t>
      </w:r>
      <w:r>
        <w:t xml:space="preserve">: losers do not naively embrace all democratic procedures but discriminate between constraint-based safeguards (courts, media, expression) whose protective value is independent of electoral outcomes and selection-based mechanisms (elections) whose credibility is contingent on perceived integrity.</w:t>
      </w:r>
    </w:p>
    <w:p>
      <w:pPr>
        <w:pStyle w:val="BodyText"/>
      </w:pPr>
      <w:r>
        <w:t xml:space="preserve">The governance items reveal an additional pattern that complicates any account framing the winner-loser divide as purely procedural versus substantive. Winners are consistently more likely to select governance items emphasizing order and state capacity, with Law and order showing the largest effect (-5.0 pp,</w:t>
      </w:r>
      <w:r>
        <w:t xml:space="preserve"> </w:t>
      </w:r>
      <m:oMath>
        <m:r>
          <m:t>p</m:t>
        </m:r>
      </m:oMath>
      <w:r>
        <w:t xml:space="preserve"> </w:t>
      </w:r>
      <w:r>
        <w:t xml:space="preserve">&lt; 0.001)—the single largest coefficient in Table 1, exceeding even media freedom. Winners do not merely favor substantive outcomes; they favor a vision of democracy organized around stability, effective administration, and the suppression of disorder. This parallels</w:t>
      </w:r>
      <w:r>
        <w:t xml:space="preserve"> </w:t>
      </w:r>
      <w:r>
        <w:t xml:space="preserve">Eck and Paulis (2025)</w:t>
      </w:r>
      <w:r>
        <w:t xml:space="preserve">’s finding that electoral winners are less supportive of referendums and other institutional alternatives that might disrupt the status quo, especially under conditions of affective polarization. Losers, conversely, do not merely favor procedures; they favor the procedures of</w:t>
      </w:r>
      <w:r>
        <w:t xml:space="preserve"> </w:t>
      </w:r>
      <w:r>
        <w:rPr>
          <w:i/>
          <w:iCs/>
        </w:rPr>
        <w:t xml:space="preserve">contestation</w:t>
      </w:r>
      <w:r>
        <w:t xml:space="preserve">—the institutional infrastructure that enables challenge to incumbent power. The procedural-substantive gap computation used throughout this article, which sets governance items aside, is therefore conservative: it measures the dimension most directly predicted by the theory while leaving aside a pattern that reinforces the broader finding from a different angle. The order-versus-contestation tension is explored further in the discussion.</w:t>
      </w:r>
    </w:p>
    <w:bookmarkStart w:id="34" w:name="a-note-on-effect-sizes"/>
    <w:p>
      <w:pPr>
        <w:pStyle w:val="Heading3"/>
      </w:pPr>
      <w:r>
        <w:t xml:space="preserve">A Note on Effect Sizes</w:t>
      </w:r>
    </w:p>
    <w:p>
      <w:pPr>
        <w:pStyle w:val="FirstParagraph"/>
      </w:pPr>
      <w:r>
        <w:t xml:space="preserve">Individual item AMEs are small—typically one to three percentage points—which invites the objection that the loser effect is statistically detectable but substantively trivial. Two considerations complicate that conclusion. First, these are average marginal effects from a multinomial outcome with twenty items; probability mass that shifts toward one item must come from others. The consistency of the pattern—9 of 10 procedural items positive, 6 of 6 substantive items negative—matters more than any single coefficient. Under the null hypothesis that loser status is unrelated to democratic conceptions, each item has a 50% probability of showing a positive (or negative) loser effect. The observed directional consistency (15 of 16 items in the predicted direction) yields</w:t>
      </w:r>
      <w:r>
        <w:t xml:space="preserve"> </w:t>
      </w:r>
      <m:oMath>
        <m:r>
          <m:t>p</m:t>
        </m:r>
        <m:r>
          <m:rPr>
            <m:sty m:val="p"/>
          </m:rPr>
          <m:t>&lt;</m:t>
        </m:r>
        <m:r>
          <m:t>0.001</m:t>
        </m:r>
      </m:oMath>
      <w:r>
        <w:t xml:space="preserve"> </w:t>
      </w:r>
      <w:r>
        <w:t xml:space="preserve">on a one-sided binomial test, confirming that the pattern is unlikely to reflect chance.</w:t>
      </w:r>
    </w:p>
    <w:p>
      <w:pPr>
        <w:pStyle w:val="BodyText"/>
      </w:pPr>
      <w:r>
        <w:t xml:space="preserve">Second, the country-level magnitudes are far from trivial. In Thailand by Wave 6, winners and losers differ by 23.8 percentage points in the probability of selecting any procedural versus any substantive item as democracy’s most essential feature. That gap—moving from near zero at Wave 3 to a large and consistent divergence by Wave 6—has implications for the social foundations on which democratic institutions rest.</w:t>
      </w:r>
    </w:p>
    <w:bookmarkEnd w:id="34"/>
    <w:bookmarkEnd w:id="35"/>
    <w:bookmarkStart w:id="40" w:name="X77b8d0d5e817643f9801f7963d5da2645c9f997"/>
    <w:p>
      <w:pPr>
        <w:pStyle w:val="Heading2"/>
      </w:pPr>
      <w:r>
        <w:t xml:space="preserve">Democratic Erosion and Institutional Resilience</w:t>
      </w:r>
    </w:p>
    <w:p>
      <w:pPr>
        <w:pStyle w:val="FirstParagraph"/>
      </w:pPr>
      <w:r>
        <w:t xml:space="preserve">The pooled estimates establish that losers systematically favor procedural conceptions, but the theory predicts more than a cross-sectional association: it predicts that the gap should respond to changing political conditions within countries over time (H2 and H3). Figure 1 plots the procedural-substantive gap for each country across survey waves, where a positive value indicates that losers disproportionately favor procedural conceptions.</w:t>
      </w:r>
    </w:p>
    <w:tbl>
      <w:tblPr>
        <w:tblStyle w:val="Table"/>
        <w:tblW w:type="pct" w:w="5000"/>
        <w:tblLayout w:type="fixed"/>
        <w:tblLook w:firstRow="0" w:lastRow="0" w:firstColumn="0" w:lastColumn="0" w:noHBand="0" w:noVBand="0" w:val="0000"/>
      </w:tblPr>
      <w:tblGrid>
        <w:gridCol w:w="7920"/>
      </w:tblGrid>
      <w:tr>
        <w:tc>
          <w:tcPr/>
          <w:bookmarkStart w:id="39" w:name="fig-trajectories"/>
          <w:p>
            <w:pPr>
              <w:pStyle w:val="Compact"/>
              <w:jc w:val="center"/>
            </w:pPr>
            <w:r>
              <w:drawing>
                <wp:inline>
                  <wp:extent cx="5334000" cy="3200400"/>
                  <wp:effectExtent b="0" l="0" r="0" t="0"/>
                  <wp:docPr descr="" title="" id="37" name="Picture"/>
                  <a:graphic>
                    <a:graphicData uri="http://schemas.openxmlformats.org/drawingml/2006/picture">
                      <pic:pic>
                        <pic:nvPicPr>
                          <pic:cNvPr descr="md-manuscript_files/figure-docx/fig-trajectories-1.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Loser Effect Trajectories: Procedural–Substantive Gap by Country and Wave</w:t>
            </w:r>
          </w:p>
          <w:bookmarkEnd w:id="39"/>
        </w:tc>
      </w:tr>
    </w:tbl>
    <w:p>
      <w:pPr>
        <w:pStyle w:val="BodyText"/>
      </w:pPr>
      <w:r>
        <w:t xml:space="preserve">Thailand provides the most dramatic support for H3. In Wave 3 (2010–2012), during the Democrat Party government of Abhisit Vejjajiva, the procedural–substantive gap was negligible (-0.8 pp, not significant). Wave 4 (fielded in 2014–2016) followed the May 2014 coup that removed Prime Minister Yingluck Shinawatra and sits in an ambiguous institutional context. The ABS coded winner and loser status for only</w:t>
      </w:r>
      <w:r>
        <w:t xml:space="preserve"> </w:t>
      </w:r>
      <m:oMath>
        <m:r>
          <m:t>N</m:t>
        </m:r>
        <m:r>
          <m:rPr>
            <m:sty m:val="p"/>
          </m:rPr>
          <m:t>=</m:t>
        </m:r>
        <m:r>
          <m:t>382</m:t>
        </m:r>
      </m:oMath>
      <w:r>
        <w:t xml:space="preserve"> </w:t>
      </w:r>
      <w:r>
        <w:t xml:space="preserve">Thai respondents in Wave 4, with high missingness reflecting the difficulty of mapping vote choice onto governing coalitions during a period of military-backed transitional government. The key empirical claim does not depend on this wave. The dramatic widening of the procedural–substantive gap is driven primarily by the contrast between Wave 3 (2010–2012, gap near zero) and Wave 6 (2019–2022, gap of 23.8 percentage points). Dropping Wave 4 entirely yields an even starker trajectory: near-zero divergence before democratic erosion, substantial divergence after a decade of institutional deterioration, military intervention, and competitive authoritarian governance (Appendix K1). Wave 4 is retained in Figure 1 for completeness, but readers should note the reduced sample and interpret it as a transitional data point rather than a precisely estimated gap. By Wave 6 (2019–2022), after six years of military or military-backed governance, the gap reached 23.8 pp (</w:t>
      </w:r>
      <m:oMath>
        <m:r>
          <m:t>p</m:t>
        </m:r>
        <m:r>
          <m:rPr>
            <m:sty m:val="p"/>
          </m:rPr>
          <m:t>&lt;</m:t>
        </m:r>
        <m:r>
          <m:t>0.001</m:t>
        </m:r>
      </m:oMath>
      <w:r>
        <w:t xml:space="preserve">, 95% CI: [17.3, 30.2]). This trajectory, from near zero to over twenty percentage points across the period, tracks the contours of Thailand’s democratic erosion</w:t>
      </w:r>
      <w:r>
        <w:t xml:space="preserve"> </w:t>
      </w:r>
      <w:r>
        <w:t xml:space="preserve">(Kuhonta and Sinpeng 2014; Ricks 2019)</w:t>
      </w:r>
      <w:r>
        <w:t xml:space="preserve">. This period also saw the determinants of political engagement shift fundamentally, with conventional socioeconomic predictors giving way to group mobilization and party attachment as the primary drivers of participation</w:t>
      </w:r>
      <w:r>
        <w:t xml:space="preserve"> </w:t>
      </w:r>
      <w:r>
        <w:t xml:space="preserve">(Pankaew et al. 2022)</w:t>
      </w:r>
      <w:r>
        <w:t xml:space="preserve">. Where the coup and a string of judicial interventions overturned electoral results, voters aligned with the excluded Thaksin faction show increasingly procedural conceptions—free speech, media independence, accountability—while backers of the military-aligned establishment show stronger orientation toward substantive outcomes.</w:t>
      </w:r>
    </w:p>
    <w:p>
      <w:pPr>
        <w:pStyle w:val="BodyText"/>
      </w:pPr>
      <w:r>
        <w:t xml:space="preserve">South Korea presents a strikingly divergent trajectory. The country went through its own political earthquake during this same period—the impeachment and removal of President Park Geun-hye in 2016–2017, followed by the election of the progressive Moon Jae-in—yet the procedural–substantive gap barely moved. It hovered between 4.8 pp in Wave 3 and 1 pp in Wave 4, never cracking five percentage points. What separates the two cases is institutional: South Korea resolved its crisis through constitutional channels—impeachment, judicial review, a free election—rather than military intervention. The impeachment showed that accountability mechanisms actually worked, and the 2017 election produced genuine turnover. Under these conditions, the positional logic predicts convergence, and convergence is what the data show.</w:t>
      </w:r>
    </w:p>
    <w:p>
      <w:pPr>
        <w:pStyle w:val="BodyText"/>
      </w:pPr>
      <w:r>
        <w:t xml:space="preserve">Cambodia occupies a different position in the analysis: not a case of democratic erosion from a democratic baseline, but a competitive authoritarian regime that eliminated meaningful opposition entirely when the CNRP was dissolved in 2017. By Wave 6,</w:t>
      </w:r>
      <w:r>
        <w:t xml:space="preserve"> </w:t>
      </w:r>
      <w:r>
        <w:t xml:space="preserve">“loser”</w:t>
      </w:r>
      <w:r>
        <w:t xml:space="preserve"> </w:t>
      </w:r>
      <w:r>
        <w:t xml:space="preserve">status in Cambodia refers to supporters of minor parties operating under severe constraints—a qualitatively different form of exclusion than that experienced by Thai Red Shirts or Taiwanese DPP supporters after close electoral defeats. The persistently large gap (approximately 13 pp across all three waves) that, notably, did not grow following the dissolution is consistent with the exclusion mechanism operating even in the absence of a functioning opposition party: in a competitive authoritarian context, the stakes of losing were already effectively maximized, leaving losers’ procedural orientation little room to intensify further. The Cambodian data are included in the pooled analysis for transparency but should be understood as a boundary condition that tests whether the winner-loser gap persists even where</w:t>
      </w:r>
      <w:r>
        <w:t xml:space="preserve"> </w:t>
      </w:r>
      <w:r>
        <w:t xml:space="preserve">“losing”</w:t>
      </w:r>
      <w:r>
        <w:t xml:space="preserve"> </w:t>
      </w:r>
      <w:r>
        <w:t xml:space="preserve">has been stripped of its democratic content. That the gap does persist—albeit modestly—is consistent with the exclusion mechanism, though alternative interpretations (including generalized regime dissatisfaction) cannot be ruled out in this case. The remaining countries present a more varied picture that resists easy theoretical assimilation (Table 2). Taiwan reverses from a positive gap in Waves 3 and 4 to a negative gap by Wave 6 (–4.7 pp). The timing coincides with Tsai Ing-wen’s decisive 2020 victory and the DPP’s consolidation of power amid intensifying cross-strait tensions. Under these conditions, the KMT’s supporters—coded as losers—may have shifted toward sovereignty-related substantive concerns (economic ties with the mainland, cross-strait stability) rather than toward the procedural orientation the theory predicts, a pattern shaped more by the unique geopolitics of cross-strait identity than by the democratic erosion logic central to this article. The Philippines shows a different kind of instability: a positive gap in Waves 3 and 4 that collapses to near zero in Wave 6, coinciding with the transition from the Duterte presidency to the Marcos Jr. administration. Whether this reflects a genuine convergence in democratic conceptions or the disruption of stable partisan alignments by populist realignment deserves closer investigation than the present data permit. Malaysia’s narrowing gap across Waves 3 and 4 is more readily interpretable: the political opening that culminated in the extraordinary 2018 alternation—the first change in government since independence—plausibly reduced the stakes of losing and thereby compressed the procedural-substantive divide, consistent with H3’s prediction that the gap should shrink when institutional protections are restored. Mongolia’s trajectory, from near zero to +5.0 pp by Wave 6, may reflect the contested 2017 presidential election and subsequent political turbulence, though the magnitudes are modest and the confidence intervals wide.</w:t>
      </w:r>
    </w:p>
    <w:p>
      <w:pPr>
        <w:pStyle w:val="BodyText"/>
      </w:pPr>
      <w:r>
        <w:t xml:space="preserve">Japan, as expected for a consolidated democracy with regular alternation, shows a modest and stable gap throughout. (Myanmar’s single data point captures a strikingly large gap consistent with the stakes of its fragile transition, though little can be inferred from one observation.) The heterogeneity across these remaining cases does not invalidate the theoretical framework—the theory predicts context-dependence, not uniformity—but it does underscore that the Thailand-South Korea contrast, while the most dramatic and cleanest test, should not be mistaken for the full story.</w:t>
      </w:r>
    </w:p>
    <w:tbl>
      <w:tblPr>
        <w:tblStyle w:val="Table"/>
        <w:tblW w:type="pct" w:w="5000"/>
        <w:tblLayout w:type="fixed"/>
        <w:tblLook w:firstRow="1" w:lastRow="0" w:firstColumn="0" w:lastColumn="0" w:noHBand="0" w:noVBand="0" w:val="0020"/>
      </w:tblPr>
      <w:tblGrid>
        <w:gridCol w:w="1234"/>
        <w:gridCol w:w="2160"/>
        <w:gridCol w:w="2262"/>
        <w:gridCol w:w="2262"/>
      </w:tblGrid>
      <w:tr>
        <w:trPr>
          <w:tblHeader w:val="on"/>
        </w:trPr>
        <w:tc>
          <w:tcPr/>
          <w:p>
            <w:pPr>
              <w:pStyle w:val="Compact"/>
              <w:jc w:val="left"/>
            </w:pPr>
            <w:r>
              <w:t xml:space="preserve">Country</w:t>
            </w:r>
          </w:p>
        </w:tc>
        <w:tc>
          <w:tcPr/>
          <w:p>
            <w:pPr>
              <w:pStyle w:val="Compact"/>
              <w:jc w:val="center"/>
            </w:pPr>
            <w:r>
              <w:t xml:space="preserve">W3</w:t>
            </w:r>
          </w:p>
        </w:tc>
        <w:tc>
          <w:tcPr/>
          <w:p>
            <w:pPr>
              <w:pStyle w:val="Compact"/>
              <w:jc w:val="center"/>
            </w:pPr>
            <w:r>
              <w:t xml:space="preserve">W4</w:t>
            </w:r>
          </w:p>
        </w:tc>
        <w:tc>
          <w:tcPr/>
          <w:p>
            <w:pPr>
              <w:pStyle w:val="Compact"/>
              <w:jc w:val="center"/>
            </w:pPr>
            <w:r>
              <w:t xml:space="preserve">W6</w:t>
            </w:r>
          </w:p>
        </w:tc>
      </w:tr>
      <w:tr>
        <w:tc>
          <w:tcPr/>
          <w:p>
            <w:pPr>
              <w:pStyle w:val="Compact"/>
              <w:jc w:val="left"/>
            </w:pPr>
            <w:r>
              <w:t xml:space="preserve">Australia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+3.8 [+0.8, +6.8]</w:t>
            </w:r>
          </w:p>
        </w:tc>
      </w:tr>
      <w:tr>
        <w:tc>
          <w:tcPr/>
          <w:p>
            <w:pPr>
              <w:pStyle w:val="Compact"/>
              <w:jc w:val="left"/>
            </w:pPr>
            <w:r>
              <w:t xml:space="preserve">Cambodia</w:t>
            </w:r>
          </w:p>
        </w:tc>
        <w:tc>
          <w:tcPr/>
          <w:p>
            <w:pPr>
              <w:pStyle w:val="Compact"/>
              <w:jc w:val="center"/>
            </w:pPr>
            <w:r>
              <w:t xml:space="preserve">+13.2 [+8.9, +17.5]</w:t>
            </w:r>
          </w:p>
        </w:tc>
        <w:tc>
          <w:tcPr/>
          <w:p>
            <w:pPr>
              <w:pStyle w:val="Compact"/>
              <w:jc w:val="center"/>
            </w:pPr>
            <w:r>
              <w:t xml:space="preserve">+13.2 [+9.7, +16.8]</w:t>
            </w:r>
          </w:p>
        </w:tc>
        <w:tc>
          <w:tcPr/>
          <w:p>
            <w:pPr>
              <w:pStyle w:val="Compact"/>
              <w:jc w:val="center"/>
            </w:pPr>
            <w:r>
              <w:t xml:space="preserve">+13.8 [+6.5, +21.0]</w:t>
            </w:r>
          </w:p>
        </w:tc>
      </w:tr>
      <w:tr>
        <w:tc>
          <w:tcPr/>
          <w:p>
            <w:pPr>
              <w:pStyle w:val="Compact"/>
              <w:jc w:val="left"/>
            </w:pPr>
            <w:r>
              <w:t xml:space="preserve">Indonesia</w:t>
            </w:r>
          </w:p>
        </w:tc>
        <w:tc>
          <w:tcPr/>
          <w:p>
            <w:pPr>
              <w:pStyle w:val="Compact"/>
              <w:jc w:val="center"/>
            </w:pPr>
            <w:r>
              <w:t xml:space="preserve">-3.7 [-6.8, -0.5]</w:t>
            </w:r>
          </w:p>
        </w:tc>
        <w:tc>
          <w:tcPr/>
          <w:p>
            <w:pPr>
              <w:pStyle w:val="Compact"/>
              <w:jc w:val="center"/>
            </w:pPr>
            <w:r>
              <w:t xml:space="preserve">+1.8 [-1.4, +5.0]</w:t>
            </w:r>
          </w:p>
        </w:tc>
        <w:tc>
          <w:tcPr/>
          <w:p>
            <w:pPr>
              <w:pStyle w:val="Compact"/>
              <w:jc w:val="center"/>
            </w:pPr>
            <w:r>
              <w:t xml:space="preserve">+0.4 [-2.8, +3.5]</w:t>
            </w:r>
          </w:p>
        </w:tc>
      </w:tr>
      <w:tr>
        <w:tc>
          <w:tcPr/>
          <w:p>
            <w:pPr>
              <w:pStyle w:val="Compact"/>
              <w:jc w:val="left"/>
            </w:pPr>
            <w:r>
              <w:t xml:space="preserve">Japan</w:t>
            </w:r>
          </w:p>
        </w:tc>
        <w:tc>
          <w:tcPr/>
          <w:p>
            <w:pPr>
              <w:pStyle w:val="Compact"/>
              <w:jc w:val="center"/>
            </w:pPr>
            <w:r>
              <w:t xml:space="preserve">-1.2 [-4.0, +1.5]</w:t>
            </w:r>
          </w:p>
        </w:tc>
        <w:tc>
          <w:tcPr/>
          <w:p>
            <w:pPr>
              <w:pStyle w:val="Compact"/>
              <w:jc w:val="center"/>
            </w:pPr>
            <w:r>
              <w:t xml:space="preserve">+5.1 [+1.5, +8.8]</w:t>
            </w:r>
          </w:p>
        </w:tc>
        <w:tc>
          <w:tcPr/>
          <w:p>
            <w:pPr>
              <w:pStyle w:val="Compact"/>
              <w:jc w:val="center"/>
            </w:pPr>
            <w:r>
              <w:t xml:space="preserve">—</w:t>
            </w:r>
          </w:p>
        </w:tc>
      </w:tr>
      <w:tr>
        <w:tc>
          <w:tcPr/>
          <w:p>
            <w:pPr>
              <w:pStyle w:val="Compact"/>
              <w:jc w:val="left"/>
            </w:pPr>
            <w:r>
              <w:t xml:space="preserve">Malaysia</w:t>
            </w:r>
          </w:p>
        </w:tc>
        <w:tc>
          <w:tcPr/>
          <w:p>
            <w:pPr>
              <w:pStyle w:val="Compact"/>
              <w:jc w:val="center"/>
            </w:pPr>
            <w:r>
              <w:t xml:space="preserve">+15.2 [+9.7, +20.8]</w:t>
            </w:r>
          </w:p>
        </w:tc>
        <w:tc>
          <w:tcPr/>
          <w:p>
            <w:pPr>
              <w:pStyle w:val="Compact"/>
              <w:jc w:val="center"/>
            </w:pPr>
            <w:r>
              <w:t xml:space="preserve">+8.2 [+3.6, +12.8]</w:t>
            </w:r>
          </w:p>
        </w:tc>
        <w:tc>
          <w:tcPr/>
          <w:p>
            <w:pPr>
              <w:pStyle w:val="Compact"/>
              <w:jc w:val="center"/>
            </w:pPr>
            <w:r>
              <w:t xml:space="preserve">—</w:t>
            </w:r>
          </w:p>
        </w:tc>
      </w:tr>
      <w:tr>
        <w:tc>
          <w:tcPr/>
          <w:p>
            <w:pPr>
              <w:pStyle w:val="Compact"/>
              <w:jc w:val="left"/>
            </w:pPr>
            <w:r>
              <w:t xml:space="preserve">Mongolia</w:t>
            </w:r>
          </w:p>
        </w:tc>
        <w:tc>
          <w:tcPr/>
          <w:p>
            <w:pPr>
              <w:pStyle w:val="Compact"/>
              <w:jc w:val="center"/>
            </w:pPr>
            <w:r>
              <w:t xml:space="preserve">-0.7 [-3.9, +2.5]</w:t>
            </w:r>
          </w:p>
        </w:tc>
        <w:tc>
          <w:tcPr/>
          <w:p>
            <w:pPr>
              <w:pStyle w:val="Compact"/>
              <w:jc w:val="center"/>
            </w:pPr>
            <w:r>
              <w:t xml:space="preserve">-2.1 [-5.4, +1.2]</w:t>
            </w:r>
          </w:p>
        </w:tc>
        <w:tc>
          <w:tcPr/>
          <w:p>
            <w:pPr>
              <w:pStyle w:val="Compact"/>
              <w:jc w:val="center"/>
            </w:pPr>
            <w:r>
              <w:t xml:space="preserve">+5.0 [+1.2, +8.7]</w:t>
            </w:r>
          </w:p>
        </w:tc>
      </w:tr>
      <w:tr>
        <w:tc>
          <w:tcPr/>
          <w:p>
            <w:pPr>
              <w:pStyle w:val="Compact"/>
              <w:jc w:val="left"/>
            </w:pPr>
            <w:r>
              <w:t xml:space="preserve">Myanmar</w:t>
            </w:r>
          </w:p>
        </w:tc>
        <w:tc>
          <w:tcPr/>
          <w:p>
            <w:pPr>
              <w:pStyle w:val="Compact"/>
              <w:jc w:val="center"/>
            </w:pPr>
            <w:r>
              <w:t xml:space="preserve">—</w:t>
            </w:r>
          </w:p>
        </w:tc>
        <w:tc>
          <w:tcPr/>
          <w:p>
            <w:pPr>
              <w:pStyle w:val="Compact"/>
              <w:jc w:val="center"/>
            </w:pPr>
            <w:r>
              <w:t xml:space="preserve">+16.6 [+12.6, +20.6]</w:t>
            </w:r>
          </w:p>
        </w:tc>
        <w:tc>
          <w:tcPr/>
          <w:p>
            <w:pPr>
              <w:pStyle w:val="Compact"/>
              <w:jc w:val="center"/>
            </w:pPr>
            <w:r>
              <w:t xml:space="preserve">—</w:t>
            </w:r>
          </w:p>
        </w:tc>
      </w:tr>
      <w:tr>
        <w:tc>
          <w:tcPr/>
          <w:p>
            <w:pPr>
              <w:pStyle w:val="Compact"/>
              <w:jc w:val="left"/>
            </w:pPr>
            <w:r>
              <w:t xml:space="preserve">Philippines</w:t>
            </w:r>
          </w:p>
        </w:tc>
        <w:tc>
          <w:tcPr/>
          <w:p>
            <w:pPr>
              <w:pStyle w:val="Compact"/>
              <w:jc w:val="center"/>
            </w:pPr>
            <w:r>
              <w:t xml:space="preserve">+4.5 [+0.6, +8.3]</w:t>
            </w:r>
          </w:p>
        </w:tc>
        <w:tc>
          <w:tcPr/>
          <w:p>
            <w:pPr>
              <w:pStyle w:val="Compact"/>
              <w:jc w:val="center"/>
            </w:pPr>
            <w:r>
              <w:t xml:space="preserve">+5.1 [+0.8, +9.4]</w:t>
            </w:r>
          </w:p>
        </w:tc>
        <w:tc>
          <w:tcPr/>
          <w:p>
            <w:pPr>
              <w:pStyle w:val="Compact"/>
              <w:jc w:val="center"/>
            </w:pPr>
            <w:r>
              <w:t xml:space="preserve">-0.7 [-4.6, +3.3]</w:t>
            </w:r>
          </w:p>
        </w:tc>
      </w:tr>
      <w:tr>
        <w:tc>
          <w:tcPr/>
          <w:p>
            <w:pPr>
              <w:pStyle w:val="Compact"/>
              <w:jc w:val="left"/>
            </w:pPr>
            <w:r>
              <w:t xml:space="preserve">South Korea</w:t>
            </w:r>
          </w:p>
        </w:tc>
        <w:tc>
          <w:tcPr/>
          <w:p>
            <w:pPr>
              <w:pStyle w:val="Compact"/>
              <w:jc w:val="center"/>
            </w:pPr>
            <w:r>
              <w:t xml:space="preserve">+4.8 [+1.1, +8.4]</w:t>
            </w:r>
          </w:p>
        </w:tc>
        <w:tc>
          <w:tcPr/>
          <w:p>
            <w:pPr>
              <w:pStyle w:val="Compact"/>
              <w:jc w:val="center"/>
            </w:pPr>
            <w:r>
              <w:t xml:space="preserve">+1.0 [-2.5, +4.5]</w:t>
            </w:r>
          </w:p>
        </w:tc>
        <w:tc>
          <w:tcPr/>
          <w:p>
            <w:pPr>
              <w:pStyle w:val="Compact"/>
              <w:jc w:val="center"/>
            </w:pPr>
            <w:r>
              <w:t xml:space="preserve">+2.8 [-0.5, +6.1]</w:t>
            </w:r>
          </w:p>
        </w:tc>
      </w:tr>
      <w:tr>
        <w:tc>
          <w:tcPr/>
          <w:p>
            <w:pPr>
              <w:pStyle w:val="Compact"/>
              <w:jc w:val="left"/>
            </w:pPr>
            <w:r>
              <w:t xml:space="preserve">Taiwan</w:t>
            </w:r>
          </w:p>
        </w:tc>
        <w:tc>
          <w:tcPr/>
          <w:p>
            <w:pPr>
              <w:pStyle w:val="Compact"/>
              <w:jc w:val="center"/>
            </w:pPr>
            <w:r>
              <w:t xml:space="preserve">+3.1 [-0.3, +6.4]</w:t>
            </w:r>
          </w:p>
        </w:tc>
        <w:tc>
          <w:tcPr/>
          <w:p>
            <w:pPr>
              <w:pStyle w:val="Compact"/>
              <w:jc w:val="center"/>
            </w:pPr>
            <w:r>
              <w:t xml:space="preserve">+5.5 [+2.4, +8.6]</w:t>
            </w:r>
          </w:p>
        </w:tc>
        <w:tc>
          <w:tcPr/>
          <w:p>
            <w:pPr>
              <w:pStyle w:val="Compact"/>
              <w:jc w:val="center"/>
            </w:pPr>
            <w:r>
              <w:t xml:space="preserve">-4.7 [-8.2, -1.3]</w:t>
            </w:r>
          </w:p>
        </w:tc>
      </w:tr>
      <w:tr>
        <w:tc>
          <w:tcPr/>
          <w:p>
            <w:pPr>
              <w:pStyle w:val="Compact"/>
              <w:jc w:val="left"/>
            </w:pPr>
            <w:r>
              <w:t xml:space="preserve">Thailand</w:t>
            </w:r>
          </w:p>
        </w:tc>
        <w:tc>
          <w:tcPr/>
          <w:p>
            <w:pPr>
              <w:pStyle w:val="Compact"/>
              <w:jc w:val="center"/>
            </w:pPr>
            <w:r>
              <w:t xml:space="preserve">-0.8 [-4.5, +2.9]</w:t>
            </w:r>
          </w:p>
        </w:tc>
        <w:tc>
          <w:tcPr/>
          <w:p>
            <w:pPr>
              <w:pStyle w:val="Compact"/>
              <w:jc w:val="center"/>
            </w:pPr>
            <w:r>
              <w:t xml:space="preserve">+11.0 [+5.9, +16.2]</w:t>
            </w:r>
          </w:p>
        </w:tc>
        <w:tc>
          <w:tcPr/>
          <w:p>
            <w:pPr>
              <w:pStyle w:val="Compact"/>
              <w:jc w:val="center"/>
            </w:pPr>
            <w:r>
              <w:t xml:space="preserve">+23.8 [+17.3, +30.2]</w:t>
            </w:r>
          </w:p>
        </w:tc>
      </w:tr>
    </w:tbl>
    <w:bookmarkEnd w:id="40"/>
    <w:bookmarkStart w:id="49" w:name="testing-the-positional-mechanism"/>
    <w:p>
      <w:pPr>
        <w:pStyle w:val="Heading2"/>
      </w:pPr>
      <w:r>
        <w:t xml:space="preserve">Testing the Positional Mechanism</w:t>
      </w:r>
    </w:p>
    <w:p>
      <w:pPr>
        <w:pStyle w:val="FirstParagraph"/>
      </w:pPr>
      <w:r>
        <w:t xml:space="preserve">The twenty-item pattern and the divergent country trajectories raise the question of mechanism. Are losers actually revising what democracy means to them in response to the political stakes they face? Or are we simply observing the fact that different sorts of people end up on the winning and losing sides? Three tests, each targeting a different alternative explanation, help adjudicate.</w:t>
      </w:r>
    </w:p>
    <w:bookmarkStart w:id="45" w:name="test-1-fairness-amplification"/>
    <w:p>
      <w:pPr>
        <w:pStyle w:val="Heading3"/>
      </w:pPr>
      <w:r>
        <w:t xml:space="preserve">Test 1: Fairness Amplification</w:t>
      </w:r>
    </w:p>
    <w:p>
      <w:pPr>
        <w:pStyle w:val="FirstParagraph"/>
      </w:pPr>
      <w:r>
        <w:t xml:space="preserve">If conceptions reflect positional updating, the loser effect should amplify when procedural threat is salient, that is, among losers who perceive elections as unfair. If instead it reflects stable normative commitments, it should appear regardless of fairness perceptions.</w:t>
      </w:r>
    </w:p>
    <w:p>
      <w:pPr>
        <w:pStyle w:val="BodyText"/>
      </w:pPr>
      <w:r>
        <w:t xml:space="preserve">However, not all procedural conceptions carry the same relationship to electoral status, and specifying this structure</w:t>
      </w:r>
      <w:r>
        <w:t xml:space="preserve"> </w:t>
      </w:r>
      <w:r>
        <w:rPr>
          <w:i/>
          <w:iCs/>
        </w:rPr>
        <w:t xml:space="preserve">ex ante</w:t>
      </w:r>
      <w:r>
        <w:t xml:space="preserve"> </w:t>
      </w:r>
      <w:r>
        <w:t xml:space="preserve">disciplines the interpretation of the interaction results. A distinction can be drawn between two classes of procedural items. The first encompasses</w:t>
      </w:r>
      <w:r>
        <w:t xml:space="preserve"> </w:t>
      </w:r>
      <w:r>
        <w:rPr>
          <w:i/>
          <w:iCs/>
        </w:rPr>
        <w:t xml:space="preserve">protective</w:t>
      </w:r>
      <w:r>
        <w:t xml:space="preserve"> </w:t>
      </w:r>
      <w:r>
        <w:t xml:space="preserve">procedural elements: institutional safeguards that constrain incumbent power and protect political minorities regardless of who governs, including an independent judiciary, media freedom, and free expression. For electoral losers, these protections are unambiguously valuable—they represent the institutional infrastructure that prevents winners from converting temporary electoral mandates into permanent domination. If losers are updating their conceptions in response to positional threat, we should expect the loser effect on protective items to remain positive regardless of whether respondents think elections are fair—courts and a free press are useful to the excluded either way. But what the positional framework predicts for</w:t>
      </w:r>
      <w:r>
        <w:t xml:space="preserve"> </w:t>
      </w:r>
      <w:r>
        <w:rPr>
          <w:i/>
          <w:iCs/>
        </w:rPr>
        <w:t xml:space="preserve">participatory</w:t>
      </w:r>
      <w:r>
        <w:t xml:space="preserve"> </w:t>
      </w:r>
      <w:r>
        <w:t xml:space="preserve">items is less obvious and more interesting.</w:t>
      </w:r>
    </w:p>
    <w:p>
      <w:pPr>
        <w:pStyle w:val="BodyText"/>
      </w:pPr>
      <w:r>
        <w:t xml:space="preserve">In a well-functioning democracy, losers have good reason to prize elections: elections are how you get back into power. But when democratic erosion has corrupted the electoral process itself, losers face a bind. The institution that is supposed to enable turnover has, in their view, been rigged. Under those circumstances, losers may start to discount elections</w:t>
      </w:r>
      <w:r>
        <w:t xml:space="preserve"> </w:t>
      </w:r>
      <w:r>
        <w:rPr>
          <w:i/>
          <w:iCs/>
        </w:rPr>
        <w:t xml:space="preserve">specifically</w:t>
      </w:r>
      <w:r>
        <w:t xml:space="preserve"> </w:t>
      </w:r>
      <w:r>
        <w:t xml:space="preserve">while doubling down on non-electoral safeguards. The prediction is not a generic amplification of all procedural items among disaffected losers; it is a structured pattern where protective items strengthen and participatory items weaken or reverse.</w:t>
      </w:r>
    </w:p>
    <w:p>
      <w:pPr>
        <w:pStyle w:val="BodyText"/>
      </w:pPr>
      <w:r>
        <w:t xml:space="preserve">This yields a set of conditional expectations: (a) protective procedural items should show a positive loser effect under both fairness conditions, strengthening where elections are seen as manipulated; (b) participatory procedural items should show a positive loser effect where elections are seen as fair; and (c) participatory items should attenuate or flip negative where losers believe the electoral process itself has been compromised.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Perceived Electoral Integrity</w:t>
            </w:r>
          </w:p>
        </w:tc>
        <w:tc>
          <w:tcPr/>
          <w:p>
            <w:pPr>
              <w:pStyle w:val="Compact"/>
            </w:pPr>
            <w:r>
              <w:t xml:space="preserve">Perceived Electoral Manipulation</w:t>
            </w:r>
          </w:p>
        </w:tc>
      </w:tr>
      <w:tr>
        <w:tc>
          <w:tcPr/>
          <w:p>
            <w:pPr>
              <w:pStyle w:val="Compact"/>
            </w:pPr>
            <w:r>
              <w:rPr>
                <w:b/>
                <w:bCs/>
              </w:rPr>
              <w:t xml:space="preserve">Protective procedures</w:t>
            </w:r>
            <w:r>
              <w:t xml:space="preserve"> </w:t>
            </w:r>
            <w:r>
              <w:t xml:space="preserve">(courts, media, expression)</w:t>
            </w:r>
          </w:p>
        </w:tc>
        <w:tc>
          <w:tcPr/>
          <w:p>
            <w:pPr>
              <w:pStyle w:val="Compact"/>
            </w:pPr>
            <w:r>
              <w:t xml:space="preserve">Loser effect positive</w:t>
            </w:r>
          </w:p>
        </w:tc>
        <w:tc>
          <w:tcPr/>
          <w:p>
            <w:pPr>
              <w:pStyle w:val="Compact"/>
            </w:pPr>
            <w:r>
              <w:t xml:space="preserve">Loser effect positive (strengthened)</w:t>
            </w:r>
          </w:p>
        </w:tc>
      </w:tr>
      <w:tr>
        <w:tc>
          <w:tcPr/>
          <w:p>
            <w:pPr>
              <w:pStyle w:val="Compact"/>
            </w:pPr>
            <w:r>
              <w:rPr>
                <w:b/>
                <w:bCs/>
              </w:rPr>
              <w:t xml:space="preserve">Participatory procedures</w:t>
            </w:r>
            <w:r>
              <w:t xml:space="preserve"> </w:t>
            </w:r>
            <w:r>
              <w:t xml:space="preserve">(free elections, multiparty competition)</w:t>
            </w:r>
          </w:p>
        </w:tc>
        <w:tc>
          <w:tcPr/>
          <w:p>
            <w:pPr>
              <w:pStyle w:val="Compact"/>
            </w:pPr>
            <w:r>
              <w:t xml:space="preserve">Loser effect positive</w:t>
            </w:r>
          </w:p>
        </w:tc>
        <w:tc>
          <w:tcPr/>
          <w:p>
            <w:pPr>
              <w:pStyle w:val="Compact"/>
            </w:pPr>
            <w:r>
              <w:t xml:space="preserve">Loser effect attenuated or negative</w:t>
            </w:r>
          </w:p>
        </w:tc>
      </w:tr>
    </w:tbl>
    <w:p>
      <w:pPr>
        <w:pStyle w:val="BodyText"/>
      </w:pPr>
      <w:r>
        <w:t xml:space="preserve">The fairness interaction results align closely with the conditional expectations derived from the protective-participatory distinction. Among 8 procedural items, 5 show a positive interaction—meaning the loser effect is larger among those perceiving elections as unfair. The amplification is especially pronounced for protective procedural items: court protection shows an interaction of +6.0 percentage points, media freedom +3.5 pp, and free expression +1.5 pp. Losers who perceive the electoral process as compromised do not simply withdraw from procedural commitments; they double down on precisely the non-electoral safeguards that would constrain those who benefit from unfair elections.</w:t>
      </w:r>
    </w:p>
    <w:p>
      <w:pPr>
        <w:pStyle w:val="BodyText"/>
      </w:pPr>
      <w:r>
        <w:t xml:space="preserve">The participatory items tell a different story, exactly as the theory anticipated. For free elections, the interaction between loser status and perceived fairness runs</w:t>
      </w:r>
      <w:r>
        <w:t xml:space="preserve"> </w:t>
      </w:r>
      <w:r>
        <w:rPr>
          <w:i/>
          <w:iCs/>
        </w:rPr>
        <w:t xml:space="preserve">negative</w:t>
      </w:r>
      <w:r>
        <w:t xml:space="preserve"> </w:t>
      </w:r>
      <w:r>
        <w:t xml:space="preserve">(-2.4 pp): losers who think the electoral process is rigged are actually</w:t>
      </w:r>
      <w:r>
        <w:t xml:space="preserve"> </w:t>
      </w:r>
      <w:r>
        <w:rPr>
          <w:i/>
          <w:iCs/>
        </w:rPr>
        <w:t xml:space="preserve">less</w:t>
      </w:r>
      <w:r>
        <w:t xml:space="preserve"> </w:t>
      </w:r>
      <w:r>
        <w:t xml:space="preserve">inclined to name free elections as democracy’s most important feature. This is not a puzzle—it is a coherent response. If you believe that the primary mechanism for changing governments has been corrupted, you do not abandon democracy; you redefine it around the safeguards that still work independently of elections. The negative coefficient does not undercut the positional updating framework. It reveals the framework’s internal architecture. Losers are not mechanically inflating everything procedural; they are paying closest attention to whichever procedures offer real protection given the specific threats they perceive.</w:t>
      </w:r>
    </w:p>
    <w:p>
      <w:pPr>
        <w:pStyle w:val="BodyText"/>
      </w:pPr>
      <w:r>
        <w:t xml:space="preserve">This structured divergence also helps dispose of a simpler alternative reading—that the loser effect is just generalized electoral discontent expressed through procedural vocabulary. If losers who feel cheated were merely being negative about the whole system, the interaction should push in the same direction for every procedural item. Instead we see the opposite: protective items go up, participatory items go down. That is harder to square with generalized grievance and easier to square with a discriminating assessment of which institutions still function as credible constraints.</w:t>
      </w:r>
    </w:p>
    <w:tbl>
      <w:tblPr>
        <w:tblStyle w:val="Table"/>
        <w:tblW w:type="pct" w:w="5000"/>
        <w:tblLayout w:type="fixed"/>
        <w:tblLook w:firstRow="0" w:lastRow="0" w:firstColumn="0" w:lastColumn="0" w:noHBand="0" w:noVBand="0" w:val="0000"/>
      </w:tblPr>
      <w:tblGrid>
        <w:gridCol w:w="7920"/>
      </w:tblGrid>
      <w:tr>
        <w:tc>
          <w:tcPr/>
          <w:bookmarkStart w:id="44" w:name="fig-fairness"/>
          <w:p>
            <w:pPr>
              <w:pStyle w:val="Compact"/>
              <w:jc w:val="center"/>
            </w:pPr>
            <w:r>
              <w:drawing>
                <wp:inline>
                  <wp:extent cx="5334000" cy="4000500"/>
                  <wp:effectExtent b="0" l="0" r="0" t="0"/>
                  <wp:docPr descr="" title="" id="42" name="Picture"/>
                  <a:graphic>
                    <a:graphicData uri="http://schemas.openxmlformats.org/drawingml/2006/picture">
                      <pic:pic>
                        <pic:nvPicPr>
                          <pic:cNvPr descr="md-manuscript_files/figure-docx/fig-fairness-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Fairness Interaction: Loser Effect by Perceived Electoral Fairness</w:t>
            </w:r>
          </w:p>
          <w:bookmarkEnd w:id="44"/>
        </w:tc>
      </w:tr>
    </w:tbl>
    <w:p>
      <w:pPr>
        <w:pStyle w:val="BodyText"/>
      </w:pPr>
      <w:r>
        <w:t xml:space="preserve">A qualification is necessary. Perceived unfairness is endogenous to loser status: losers are approximately 2.4 times more likely to perceive elections as unfair (30.6% vs. 12.9% of winners), though the point-biserial correlation is modest (</w:t>
      </w:r>
      <m:oMath>
        <m:r>
          <m:t>r</m:t>
        </m:r>
      </m:oMath>
      <w:r>
        <w:t xml:space="preserve"> </w:t>
      </w:r>
      <w:r>
        <w:t xml:space="preserve">= 0.216,</w:t>
      </w:r>
      <w:r>
        <w:t xml:space="preserve"> </w:t>
      </w:r>
      <m:oMath>
        <m:r>
          <m:t>N</m:t>
        </m:r>
      </m:oMath>
      <w:r>
        <w:t xml:space="preserve"> </w:t>
      </w:r>
      <w:r>
        <w:t xml:space="preserve">= 23,124), indicating substantial overlap rather than collinearity. The interaction could reflect genuine updating in response to perceived procedural threat, or it could reflect motivated reasoning: losers who feel cheated may gravitate toward whichever procedural vocabulary best validates their grievance. The protective-participatory divergence constrains the set of plausible accounts—generalized negativity would not produce domain-specific patterns—but does not eliminate motivated reasoning as a contributor, since motivated cognition can itself be domain-specific. The strongest version of the positional claim is therefore not that motivated reasoning plays no role, but that the</w:t>
      </w:r>
      <w:r>
        <w:t xml:space="preserve"> </w:t>
      </w:r>
      <w:r>
        <w:rPr>
          <w:i/>
          <w:iCs/>
        </w:rPr>
        <w:t xml:space="preserve">structure</w:t>
      </w:r>
      <w:r>
        <w:t xml:space="preserve"> </w:t>
      </w:r>
      <w:r>
        <w:t xml:space="preserve">of the domain-specific pattern—protective items up, participatory items down, material welfare flat—is more parsimoniously explained by differential institutional salience than by a grievance account that would need to explain why losers’ resentment selectively targets elections but not courts. An alternative specification would treat perceived fairness as a mediator rather than a moderator—electoral loss shaping fairness perceptions, which in turn shape conceptions. This causal ordering is plausible but cannot be tested with cross-sectional data; the two framings yield complementary rather than competing insights. Because this test alone cannot definitively distinguish the mechanisms, two additional tests are needed.</w:t>
      </w:r>
    </w:p>
    <w:bookmarkEnd w:id="45"/>
    <w:bookmarkStart w:id="46" w:name="test-2-domain-specificity-placebo"/>
    <w:p>
      <w:pPr>
        <w:pStyle w:val="Heading3"/>
      </w:pPr>
      <w:r>
        <w:t xml:space="preserve">Test 2: Domain Specificity (Placebo)</w:t>
      </w:r>
    </w:p>
    <w:p>
      <w:pPr>
        <w:pStyle w:val="FirstParagraph"/>
      </w:pPr>
      <w:r>
        <w:t xml:space="preserve">If the loser-unfairness interaction simply captures generalized discontent (</w:t>
      </w:r>
      <w:r>
        <w:t xml:space="preserve">“losers who think elections are unfair are negative about everything”</w:t>
      </w:r>
      <w:r>
        <w:t xml:space="preserve">), it should extend to non-procedural domains like material welfare. If it reflects procedural-specific updating, the amplification should be confined to procedural safeguards.</w:t>
      </w:r>
    </w:p>
    <w:p>
      <w:pPr>
        <w:pStyle w:val="BodyText"/>
      </w:pPr>
      <w:r>
        <w:t xml:space="preserve">I test whether the interaction extends to perceptions of basic necessities (q109:</w:t>
      </w:r>
      <w:r>
        <w:t xml:space="preserve"> </w:t>
      </w:r>
      <w:r>
        <w:t xml:space="preserve">“People have food, clothes, and shelter”</w:t>
      </w:r>
      <w:r>
        <w:t xml:space="preserve">). While losers are slightly more likely than winners to agree people have basic necessities (</w:t>
      </w:r>
      <m:oMath>
        <m:r>
          <m:t>β</m:t>
        </m:r>
      </m:oMath>
      <w:r>
        <w:t xml:space="preserve"> </w:t>
      </w:r>
      <w:r>
        <w:t xml:space="preserve">= 0.131, SE = 0.034, p &lt; 0.001)—a level effect potentially reflecting socioeconomic composition—the Loser × Unfairness interaction is not significant (</w:t>
      </w:r>
      <m:oMath>
        <m:r>
          <m:t>β</m:t>
        </m:r>
      </m:oMath>
      <w:r>
        <w:t xml:space="preserve"> </w:t>
      </w:r>
      <w:r>
        <w:t xml:space="preserve">= 0.046, SE = 0.080, p = 0.564).</w:t>
      </w:r>
    </w:p>
    <w:p>
      <w:pPr>
        <w:pStyle w:val="BodyText"/>
      </w:pPr>
      <w:r>
        <w:t xml:space="preserve">Among those perceiving fair elections, the loser effect is 2.1 percentage points; among those perceiving unfair elections, it is 3.1 points—a difference of only 1.1pp (95% CI: [-1.8, 4.0]pp). This near-zero interaction contrasts sharply with procedural items, where the amplification averages 5–8 percentage points for liberal safeguards.</w:t>
      </w:r>
    </w:p>
    <w:p>
      <w:pPr>
        <w:pStyle w:val="BodyText"/>
      </w:pPr>
      <w:r>
        <w:t xml:space="preserve">The mechanism is domain-specific, not a general pattern of negativity. Material welfare taps output legitimacy (whether government delivers); procedural items tap input legitimacy (whether processes are fair). The fact that unfairness perceptions amplify the loser effect for the latter but not the former is consistent with positional updating focused on procedural threat rather than motivated reasoning or diffuse discontent.</w:t>
      </w:r>
    </w:p>
    <w:bookmarkEnd w:id="46"/>
    <w:bookmarkStart w:id="47" w:name="Xe8d292e88129d7a565fe0a196bc650212ae93b3"/>
    <w:p>
      <w:pPr>
        <w:pStyle w:val="Heading3"/>
      </w:pPr>
      <w:r>
        <w:t xml:space="preserve">Test 3: Not Compositional (Thailand Reweighting)</w:t>
      </w:r>
    </w:p>
    <w:p>
      <w:pPr>
        <w:pStyle w:val="FirstParagraph"/>
      </w:pPr>
      <w:r>
        <w:t xml:space="preserve">Thailand’s dramatic trajectory—from near-zero to over 20 percentage points—invites a compositional objection. Perhaps opposition coalitions reshuffled over the decade, pulling in more urban and educated voters who were already predisposed toward procedural definitions. If so, the gap could widen without anyone actually changing their mind.</w:t>
      </w:r>
    </w:p>
    <w:p>
      <w:pPr>
        <w:pStyle w:val="BodyText"/>
      </w:pPr>
      <w:r>
        <w:t xml:space="preserve">To address this, I reweight each Thailand wave to match the Wave 3 demographic profile along age, gender, education, and urban residence, creating a counterfactual trajectory that holds demographics constant. The exercise barely moves the needle. Loser effects shift by an average of 0.83 percentage points (the largest shift is 1.75pp, for Services (Set 2)). Only 1 of 16 item-level effects changes sign, and the item in question (Courts (Set 4): +0.4pp → -0.8pp) flips between values that are both essentially zero. Every substantively meaningful effect keeps its direction and its size.</w:t>
      </w:r>
    </w:p>
    <w:p>
      <w:pPr>
        <w:pStyle w:val="BodyText"/>
      </w:pPr>
      <w:r>
        <w:t xml:space="preserve">The trajectory, then, is not about who ended up in the winner and loser camps—it is about how people in those camps differ in how they conceptualize democracy, with that divergence growing across waves. The reweighting covers age, gender, education, and urban residence—the observable dimensions that most powerfully structure Thai political alignments</w:t>
      </w:r>
      <w:r>
        <w:t xml:space="preserve"> </w:t>
      </w:r>
      <w:r>
        <w:t xml:space="preserve">(Ockey 2004; McCargo 2019)</w:t>
      </w:r>
      <w:r>
        <w:t xml:space="preserve">—and controlling for them changes almost nothing. Realignment along unmeasured dimensions (partisan ideology, media consumption, political sophistication) remains a possible confound that these data cannot rule out. Adding political interest as a control changes the mean procedural average marginal effect by 0.1 percentage point, indicating the trajectory is not driven by differential political engagement across coalitions.</w:t>
      </w:r>
    </w:p>
    <w:bookmarkEnd w:id="47"/>
    <w:bookmarkStart w:id="48" w:name="cumulative-interpretation"/>
    <w:p>
      <w:pPr>
        <w:pStyle w:val="Heading3"/>
      </w:pPr>
      <w:r>
        <w:t xml:space="preserve">Cumulative Interpretation</w:t>
      </w:r>
    </w:p>
    <w:p>
      <w:pPr>
        <w:pStyle w:val="FirstParagraph"/>
      </w:pPr>
      <w:r>
        <w:t xml:space="preserve">No single test is definitive. But the three converge on the positional interpretation in a way that would be hard to orchestrate from any of the rival accounts. The fairness amplification shows that the loser effect responds to perceived threat—5–8 percentage points for liberal items among those perceiving unfair elections, compared with 2–3 among those perceiving fairness. That the placebo test finds no such amplification for basic necessities (1.1pp, p = 0.564) rules out generalized discontent as the driver. And Thailand’s demographic story holds up under reweighting: pinning age, education, gender, and urban residence to their Wave 3 distributions shifts the loser effects by 0.8pp on average, with a single near-zero sign flip.</w:t>
      </w:r>
    </w:p>
    <w:p>
      <w:pPr>
        <w:pStyle w:val="BodyText"/>
      </w:pPr>
      <w:r>
        <w:t xml:space="preserve">A supplementary within-loser analysis sharpens the mechanism interpretation. Restricting the sample to electoral losers and examining variation in perceived electoral fairness, protective procedural items—media freedom, free expression, legislative oversight, protest freedom—show a mean unfairness amplification of approximately 2.2 percentage points among the 30.8% of losers who perceive elections as unfair, while participatory items (free elections, party competition) show a smaller and less consistent pattern. The domain structure—concentrated on liberal protections rather than elections or material welfare—is consistent with perceived threat activating specific institutional commitments rather than generalized negativity.</w:t>
      </w:r>
    </w:p>
    <w:p>
      <w:pPr>
        <w:pStyle w:val="BodyText"/>
      </w:pPr>
      <w:r>
        <w:t xml:space="preserve">These tests do not amount to proof that individuals changed their minds. But the patterns are hard to square with the idea that democratic conceptions are stable cultural inheritances, hardwired personality traits, or byproducts of coalition shuffling. The evidence at hand, taken as a whole, fits the positional account better than any of the alternatives considered: the patterns are systematically organized in ways that stable cultural accounts do not predict and that compositional change does not explain.</w:t>
      </w:r>
    </w:p>
    <w:bookmarkEnd w:id="48"/>
    <w:bookmarkEnd w:id="49"/>
    <w:bookmarkEnd w:id="50"/>
    <w:bookmarkStart w:id="52" w:name="robustness"/>
    <w:p>
      <w:pPr>
        <w:pStyle w:val="Heading1"/>
      </w:pPr>
      <w:r>
        <w:t xml:space="preserve">Robustness</w:t>
      </w:r>
    </w:p>
    <w:p>
      <w:pPr>
        <w:pStyle w:val="FirstParagraph"/>
      </w:pPr>
      <w:r>
        <w:t xml:space="preserve">The main findings survive a battery of sensitivity checks, each targeting a different potential vulnerability.</w:t>
      </w:r>
    </w:p>
    <w:p>
      <w:pPr>
        <w:pStyle w:val="BodyText"/>
      </w:pPr>
      <w:r>
        <w:t xml:space="preserve">Wave 2 of the ABS provides the most stringent independent replication, since it employed a different forced-choice instrument with different response options than the Sets 1–4 used in later waves. Both procedural items show positive AMEs and both substantive items show negative AMEs, reinforcing confidence that the loser effect is not an artifact of the Wave 3–6 battery design. Open-ended responses from Wave 2 offer an additional form of validation: respondents selecting procedural items were significantly more likely to offer procedural definitions spontaneously (</w:t>
      </w:r>
      <m:oMath>
        <m:r>
          <m:t>r</m:t>
        </m:r>
        <m:r>
          <m:rPr>
            <m:sty m:val="p"/>
          </m:rPr>
          <m:t>=</m:t>
        </m:r>
        <m:r>
          <m:t>0.28</m:t>
        </m:r>
      </m:oMath>
      <w:r>
        <w:t xml:space="preserve">,</w:t>
      </w:r>
      <w:r>
        <w:t xml:space="preserve"> </w:t>
      </w:r>
      <m:oMath>
        <m:r>
          <m:t>p</m:t>
        </m:r>
        <m:r>
          <m:rPr>
            <m:sty m:val="p"/>
          </m:rPr>
          <m:t>&lt;</m:t>
        </m:r>
        <m:r>
          <m:t>.001</m:t>
        </m:r>
      </m:oMath>
      <w:r>
        <w:t xml:space="preserve">; Appendix F), confirming that the forced-choice items capture something real about how people think rather than an artifact of how the questions were framed.</w:t>
      </w:r>
      <w:r>
        <w:rPr>
          <w:rStyle w:val="FootnoteReference"/>
        </w:rPr>
        <w:footnoteReference w:id="51"/>
      </w:r>
    </w:p>
    <w:p>
      <w:pPr>
        <w:pStyle w:val="BodyText"/>
      </w:pPr>
      <w:r>
        <w:t xml:space="preserve">A range of more routine checks confirm the same pattern. WLS estimation at the country-wave level, COVID-attitude controls on Wave 6 models, and re-estimation excluding Thailand Wave 4 entirely all replicate the core findings (Appendix G, K1). That the pattern holds at two levels of analysis—individual respondents and country-wave cells—and survives a pandemic-period confound and an unusual post-coup country-wave makes it harder to attribute to any single modeling decision.</w:t>
      </w:r>
    </w:p>
    <w:p>
      <w:pPr>
        <w:pStyle w:val="BodyText"/>
      </w:pPr>
      <w:r>
        <w:t xml:space="preserve">The qualitative case comparison invites the question of whether the pattern generalizes beyond the Thailand–South Korea contrast. A country-wave-level analysis correlating the procedural-substantive gap with changes in the V-Dem Liberal Democracy Index yields a negative association (</w:t>
      </w:r>
      <m:oMath>
        <m:r>
          <m:t>r</m:t>
        </m:r>
        <m:r>
          <m:rPr>
            <m:sty m:val="p"/>
          </m:rPr>
          <m:t>=</m:t>
        </m:r>
        <m:r>
          <m:rPr>
            <m:sty m:val="p"/>
          </m:rPr>
          <m:t>−</m:t>
        </m:r>
        <m:r>
          <m:t>0.23</m:t>
        </m:r>
      </m:oMath>
      <w:r>
        <w:t xml:space="preserve">,</w:t>
      </w:r>
      <w:r>
        <w:t xml:space="preserve"> </w:t>
      </w:r>
      <m:oMath>
        <m:r>
          <m:t>N</m:t>
        </m:r>
        <m:r>
          <m:rPr>
            <m:sty m:val="p"/>
          </m:rPr>
          <m:t>=</m:t>
        </m:r>
        <m:r>
          <m:t>27</m:t>
        </m:r>
      </m:oMath>
      <w:r>
        <w:t xml:space="preserve">): country-waves experiencing greater democratic erosion tend to show larger winner-loser gaps in procedural orientations. The direction is consistent with the case evidence, but the association does not reach conventional significance (</w:t>
      </w:r>
      <m:oMath>
        <m:r>
          <m:t>p</m:t>
        </m:r>
        <m:r>
          <m:rPr>
            <m:sty m:val="p"/>
          </m:rPr>
          <m:t>=</m:t>
        </m:r>
        <m:r>
          <m:t>0.253</m:t>
        </m:r>
      </m:oMath>
      <w:r>
        <w:t xml:space="preserve">). With 27 observations and a single continuous moderator, the analysis is substantially underpowered—detecting a correlation of this magnitude at conventional thresholds would require roughly 140 country-wave cells. The V-Dem result should therefore be read as descriptively consistent with the theoretical framework rather than as a formal test of it (Appendix L). The case evidence—Thailand’s dramatic widening set against South Korea’s stability—carries the inferential weight; the cross-national correlation provides modest corroboration but cannot substitute for additional cases of erosion and resilience.</w:t>
      </w:r>
    </w:p>
    <w:p>
      <w:pPr>
        <w:pStyle w:val="BodyText"/>
      </w:pPr>
      <w:r>
        <w:t xml:space="preserve">Non-voters provide another angle on the voter-restriction choice. Their procedural-substantive gap (14.3 pp) resembles that of winners (13.9 pp) rather than losers (17.3 pp), confirming that restricting the sample to voters does not inflate the estimated loser effect (Appendix H). A three-way decomposition distinguishing key opposition supporters from other losers pushes on the mechanism from a different direction: both subgroups display comparable procedural orientations across the three countries where decomposition was feasible (Appendix J). If the effect were driven by partisan strategic signaling—opposition leaders rallying their base around procedural rhetoric—it should concentrate among principal opposition supporters. That it does not is more consistent with the exclusion-based mechanism, where distance from state authority rather than organizational affiliation drives procedural attention.</w:t>
      </w:r>
    </w:p>
    <w:p>
      <w:pPr>
        <w:pStyle w:val="BodyText"/>
      </w:pPr>
      <w:r>
        <w:t xml:space="preserve">Party loyalties in Thailand’s color-coded politics are notably stable, and the gap’s tracking of documented political events, rather than gradual demographic shifts, favors the positional interpretation over compositional change.</w:t>
      </w:r>
    </w:p>
    <w:bookmarkEnd w:id="52"/>
    <w:bookmarkStart w:id="53" w:name="discussion"/>
    <w:p>
      <w:pPr>
        <w:pStyle w:val="Heading1"/>
      </w:pPr>
      <w:r>
        <w:t xml:space="preserve">Discussion</w:t>
      </w:r>
    </w:p>
    <w:p>
      <w:pPr>
        <w:pStyle w:val="FirstParagraph"/>
      </w:pPr>
      <w:r>
        <w:t xml:space="preserve">The central finding of this article is not simply that electoral losers prefer procedural democracy, though they do, consistently, across twenty items and eleven countries. The more consequential finding is that this association varies systematically with political context. Thailand’s trajectory from near-zero to over twenty percentage points across a single decade of democratic erosion is difficult to reconcile with accounts treating democratic conceptions as stable cultural inheritances or fixed psychological dispositions</w:t>
      </w:r>
      <w:r>
        <w:t xml:space="preserve"> </w:t>
      </w:r>
      <w:r>
        <w:t xml:space="preserve">(Norris 2011; Inglehart 1997)</w:t>
      </w:r>
      <w:r>
        <w:t xml:space="preserve">. Nor is it plausibly compositional: Thailand’s color-coded partisan alignments remained remarkably stable even as the parties themselves were repeatedly dissolved and reconstituted</w:t>
      </w:r>
      <w:r>
        <w:t xml:space="preserve"> </w:t>
      </w:r>
      <w:r>
        <w:t xml:space="preserve">(Sinpeng 2021; McCargo 2019)</w:t>
      </w:r>
      <w:r>
        <w:t xml:space="preserve">. The geographic concentration of pro-Thaksin support in the north and northeast was effectively unchanged across the three elections bracketing this period</w:t>
      </w:r>
      <w:r>
        <w:t xml:space="preserve"> </w:t>
      </w:r>
      <w:r>
        <w:t xml:space="preserve">(Ricks 2019; McCargo 2019)</w:t>
      </w:r>
      <w:r>
        <w:t xml:space="preserve">, and the demographic reweighting exercise (Appendix G)—which holds the age, education, gender, and urban-rural profile of winning and losing coalitions constant at their Wave 3 distributions—shifts the loser effects by less than one percentage point on average. The cumulative evidence—fairness amplification, domain specificity, and compositional stability—tilts toward the positional interpretation.</w:t>
      </w:r>
    </w:p>
    <w:p>
      <w:pPr>
        <w:pStyle w:val="BodyText"/>
      </w:pPr>
      <w:r>
        <w:t xml:space="preserve">The within-country dynamics—especially the Thailand–South Korea contrast—are more readily explained by the positional account than by stable sorting on unobservable characteristics, though repeated cross-sections cannot pin down individual-level attitude change and a definitive test awaits panel data. The strongest alternative is not cultural determinism but ideological sorting: the possibility that Thai winners and losers diverged on procedural values because the coalitions themselves were reshuffled along ideological lines that the demographic reweighting does not capture—media consumption, political sophistication, urban-rural identity beyond the binary control variable. For this sorting account to explain the full pattern, ideological or dispositional differences between winning and losing coalitions would need to have widened dramatically in Thailand during this period while staying flat in South Korea, Cambodia, and nearly everywhere else. No independent evidence supports that kind of asymmetric realignment, but the possibility cannot be ruled out with the available data. The conditional character of the effect also helps distinguish positional updating from the motivated reasoning account advanced by</w:t>
      </w:r>
      <w:r>
        <w:t xml:space="preserve"> </w:t>
      </w:r>
      <w:r>
        <w:t xml:space="preserve">Bryan (2023)</w:t>
      </w:r>
      <w:r>
        <w:t xml:space="preserve">, who treats conceptual divergence as an automatic consequence of holding power. If the mechanism were purely cognitive—partisans reflexively molding democratic meaning to fit their position—then South Korea’s crisis should have produced comparable divergence, since both cases involved sharp partisan conflict over institutional legitimacy. That it did not suggests the mechanism responds to the institutional stakes of exclusion rather than to partisan status per se.</w:t>
      </w:r>
    </w:p>
    <w:p>
      <w:pPr>
        <w:pStyle w:val="BodyText"/>
      </w:pPr>
      <w:r>
        <w:t xml:space="preserve">What does this mean for democratic resilience? The answer depends on whether we are looking at updating or sorting, and the two scenarios lead to quite different places. A growing body of work has asked whether broadly shared democratic attitudes can act as a brake on backsliding</w:t>
      </w:r>
      <w:r>
        <w:t xml:space="preserve"> </w:t>
      </w:r>
      <w:r>
        <w:t xml:space="preserve">(Claassen 2020; Svolik 2019; Graham and Svolik 2020)</w:t>
      </w:r>
      <w:r>
        <w:t xml:space="preserve">. If what I have documented here really is positional updating, then those hopes face a structural problem: in the countries where erosion has gone furthest, the people who care most about procedural safeguards are precisely the people who have been pushed to the political margins. Aggregate measures of democratic support would then paint a misleadingly rosy picture—blending together winners who are indifferent to procedures with losers who are passionately committed but politically sidelined. And here is the bitter irony: the very tools through which democracies erode—executive overreach, the capture of courts, the muzzling of media</w:t>
      </w:r>
      <w:r>
        <w:t xml:space="preserve"> </w:t>
      </w:r>
      <w:r>
        <w:t xml:space="preserve">(Levitsky and Ziblatt 2018; Waldner and Lust 2018; Lührmann and Lindberg 2019)</w:t>
      </w:r>
      <w:r>
        <w:t xml:space="preserve">—are also the tools that neutralize the constituency most invested in procedural norms.</w:t>
      </w:r>
      <w:r>
        <w:t xml:space="preserve"> </w:t>
      </w:r>
      <w:r>
        <w:t xml:space="preserve">Cohen et al. (2023)</w:t>
      </w:r>
      <w:r>
        <w:t xml:space="preserve"> </w:t>
      </w:r>
      <w:r>
        <w:t xml:space="preserve">document a parallel dynamic in Brazil: after Bolsonaro’s victory, winners who expressed broad support for the democratic system simultaneously became more willing to countenance executive overreach, suggesting that system-level endorsement and procedural commitment can move in opposite directions.</w:t>
      </w:r>
      <w:r>
        <w:t xml:space="preserve"> </w:t>
      </w:r>
      <w:r>
        <w:t xml:space="preserve">Sadowski (2024)</w:t>
      </w:r>
      <w:r>
        <w:t xml:space="preserve"> </w:t>
      </w:r>
      <w:r>
        <w:t xml:space="preserve">identifies a similar paradox in Poland, where democratic backsliding under PiS was accompanied by</w:t>
      </w:r>
      <w:r>
        <w:t xml:space="preserve"> </w:t>
      </w:r>
      <w:r>
        <w:rPr>
          <w:i/>
          <w:iCs/>
        </w:rPr>
        <w:t xml:space="preserve">rising</w:t>
      </w:r>
      <w:r>
        <w:t xml:space="preserve"> </w:t>
      </w:r>
      <w:r>
        <w:t xml:space="preserve">aggregate support for democracy—a pattern consistent with losers intensifying their procedural commitments even as winners hollowed them out. The Asian patterns reported here indicate that this decoupling is not confined to dramatic authoritarian victories but unfolds gradually across extended erosion trajectories.</w:t>
      </w:r>
    </w:p>
    <w:p>
      <w:pPr>
        <w:pStyle w:val="BodyText"/>
      </w:pPr>
      <w:r>
        <w:t xml:space="preserve">If the patterns instead reflect stable sorting, the implications are less alarming but not trivial. It would mean that procedural commitment is clustered demographically or ideologically in ways that make it vulnerable to electoral fortunes. Either way, whether losers’ procedural orientation ever translates into effective resistance—through protest, civil disobedience, transnational advocacy—is a question that remains wide open.</w:t>
      </w:r>
    </w:p>
    <w:p>
      <w:pPr>
        <w:pStyle w:val="BodyText"/>
      </w:pPr>
      <w:r>
        <w:t xml:space="preserve">The results also complicate the winner-loser gap literature in a way that has implications for survey research. Previous work has assumed that winners and losers share a common understanding of democracy when they report their satisfaction with it or their trust in its institutions</w:t>
      </w:r>
      <w:r>
        <w:t xml:space="preserve"> </w:t>
      </w:r>
      <w:r>
        <w:t xml:space="preserve">(Anderson et al. 2005; Esaiasson 2011; Norris 2012)</w:t>
      </w:r>
      <w:r>
        <w:t xml:space="preserve">. If winners and losers define democracy differently—winners emphasizing outcomes, losers emphasizing procedures—then the standard</w:t>
      </w:r>
      <w:r>
        <w:t xml:space="preserve"> </w:t>
      </w:r>
      <w:r>
        <w:t xml:space="preserve">“satisfaction with democracy”</w:t>
      </w:r>
      <w:r>
        <w:t xml:space="preserve"> </w:t>
      </w:r>
      <w:r>
        <w:t xml:space="preserve">question is not measuring the same thing for both groups. This is a measurement problem masquerading as a substantive finding. Losers may report dissatisfaction because they perceive procedural violations; winners may report satisfaction because they perceive policy delivery.</w:t>
      </w:r>
      <w:r>
        <w:t xml:space="preserve"> </w:t>
      </w:r>
      <w:r>
        <w:t xml:space="preserve">Rich (2025)</w:t>
      </w:r>
      <w:r>
        <w:t xml:space="preserve"> </w:t>
      </w:r>
      <w:r>
        <w:t xml:space="preserve">offers suggestive evidence for this interpretation: using Asian Barometer data from Taiwan, he documents that the winner-loser gap materializes in trust toward electoral institutions but not in overall satisfaction with democracy, consistent with winners and losers differentiating between dimensions of democratic performance rather than evaluating a single shared object. This disconnect suggests that the much-studied winner-loser gap in democratic satisfaction may partly reflect a</w:t>
      </w:r>
      <w:r>
        <w:t xml:space="preserve"> </w:t>
      </w:r>
      <w:r>
        <w:rPr>
          <w:i/>
          <w:iCs/>
        </w:rPr>
        <w:t xml:space="preserve">measurement</w:t>
      </w:r>
      <w:r>
        <w:t xml:space="preserve"> </w:t>
      </w:r>
      <w:r>
        <w:t xml:space="preserve">artifact: not different evaluations of the same object, but evaluations of different objects.</w:t>
      </w:r>
      <w:r>
        <w:t xml:space="preserve"> </w:t>
      </w:r>
      <w:r>
        <w:t xml:space="preserve">Wu and Wu (2022)</w:t>
      </w:r>
      <w:r>
        <w:t xml:space="preserve"> </w:t>
      </w:r>
      <w:r>
        <w:t xml:space="preserve">identify this problem in the East Asian context specifically, noting that in competitive authoritarian regimes, ruling party supporters who report high</w:t>
      </w:r>
      <w:r>
        <w:t xml:space="preserve"> </w:t>
      </w:r>
      <w:r>
        <w:t xml:space="preserve">“support for democracy”</w:t>
      </w:r>
      <w:r>
        <w:t xml:space="preserve"> </w:t>
      </w:r>
      <w:r>
        <w:t xml:space="preserve">may be endorsing a substantive vision centered on economic delivery rather than the procedural safeguards that external observers associate with the term. The present findings extend their insight temporally: the measurement disconnect is not simply a feature of regime type but one that deepens as democratic institutions erode within a given country.</w:t>
      </w:r>
    </w:p>
    <w:p>
      <w:pPr>
        <w:pStyle w:val="BodyText"/>
      </w:pPr>
      <w:r>
        <w:t xml:space="preserve">The item-level results add a further dimension. The loser effect is not a generic procedural orientation but a specifically</w:t>
      </w:r>
      <w:r>
        <w:t xml:space="preserve"> </w:t>
      </w:r>
      <w:r>
        <w:rPr>
          <w:i/>
          <w:iCs/>
        </w:rPr>
        <w:t xml:space="preserve">liberal-democratic</w:t>
      </w:r>
      <w:r>
        <w:t xml:space="preserve"> </w:t>
      </w:r>
      <w:r>
        <w:t xml:space="preserve">one. Losers gravitate toward media freedom, free expression, the right to organize, and judicial accountability—the institutional infrastructure that sustains political opposition—rather than toward elections per se. The protective-participatory distinction introduced in the fairness analysis clarifies this pattern: losers consistently favor protective procedural elements (non-electoral safeguards that constrain incumbent power) while their orientation toward participatory elements (elections and multiparty competition) is conditional on whether they perceive the electoral process as compromised. The negative fairness interaction on the free elections item reflects not an anomaly but a coherent response—citizens who believe the mechanism of democratic alternation has been corrupted shift their definitional emphasis toward safeguards that operate independently of elections. The protective-participatory distinction, which has been implicit in theoretical treatments from</w:t>
      </w:r>
      <w:r>
        <w:t xml:space="preserve"> </w:t>
      </w:r>
      <w:r>
        <w:t xml:space="preserve">Dahl (1977)</w:t>
      </w:r>
      <w:r>
        <w:t xml:space="preserve"> </w:t>
      </w:r>
      <w:r>
        <w:t xml:space="preserve">through</w:t>
      </w:r>
      <w:r>
        <w:t xml:space="preserve"> </w:t>
      </w:r>
      <w:r>
        <w:t xml:space="preserve">Schedler (1998)</w:t>
      </w:r>
      <w:r>
        <w:t xml:space="preserve">, appears to be psychologically real for citizens living through the consequences of electoral defeat. People do not relate to</w:t>
      </w:r>
      <w:r>
        <w:t xml:space="preserve"> </w:t>
      </w:r>
      <w:r>
        <w:t xml:space="preserve">“procedural democracy”</w:t>
      </w:r>
      <w:r>
        <w:t xml:space="preserve"> </w:t>
      </w:r>
      <w:r>
        <w:t xml:space="preserve">as a monolith; they parse it into the pieces that matter given the particular threats they face.</w:t>
      </w:r>
    </w:p>
    <w:p>
      <w:pPr>
        <w:pStyle w:val="BodyText"/>
      </w:pPr>
      <w:r>
        <w:t xml:space="preserve">The order-versus-contestation tension visible in the governance items opens up another line of inquiry. Winners’ marked preference for law and order as a defining feature of democracy, set against losers’ emphasis on civil liberties and accountability, maps onto what</w:t>
      </w:r>
      <w:r>
        <w:t xml:space="preserve"> </w:t>
      </w:r>
      <w:r>
        <w:t xml:space="preserve">Slater (2010)</w:t>
      </w:r>
      <w:r>
        <w:t xml:space="preserve"> </w:t>
      </w:r>
      <w:r>
        <w:t xml:space="preserve">has called the politics of order in Southeast Asia. Where democratic institutions are sturdy enough, these two impulses—order and contestation—coexist in a productive tension. Where institutions are weak, the two visions of democracy can become mutually exclusive. In an era of global democratic recession</w:t>
      </w:r>
      <w:r>
        <w:t xml:space="preserve"> </w:t>
      </w:r>
      <w:r>
        <w:t xml:space="preserve">(Diamond 2015; Foa and Mounk 2016; though see Norris 2017; Wuttke et al. 2022 for challenges to the deconsolidation thesis)</w:t>
      </w:r>
      <w:r>
        <w:t xml:space="preserve">, knowing which vision predominates, and among whom, matters well beyond the region examined here.</w:t>
      </w:r>
    </w:p>
    <w:p>
      <w:pPr>
        <w:pStyle w:val="BodyText"/>
      </w:pPr>
      <w:r>
        <w:t xml:space="preserve">The analysis faces limitations that constrain interpretation. The repeated cross-sectional design—the most consequential constraint, discussed in detail in the methods section—means the within-country trajectories are suggestive rather than dispositive. Recent causal evidence on the winner-loser gap in satisfaction underscores both the challenge and the potential distinctiveness of the conceptual dimension studied here:</w:t>
      </w:r>
      <w:r>
        <w:t xml:space="preserve"> </w:t>
      </w:r>
      <w:r>
        <w:t xml:space="preserve">Daoust et al. (2024)</w:t>
      </w:r>
      <w:r>
        <w:t xml:space="preserve"> </w:t>
      </w:r>
      <w:r>
        <w:t xml:space="preserve">use a regression discontinuity design around government formation and find that the causal impact of winning or losing on satisfaction is indistinguishable from zero, while</w:t>
      </w:r>
      <w:r>
        <w:t xml:space="preserve"> </w:t>
      </w:r>
      <w:r>
        <w:t xml:space="preserve">Erhardt (2023)</w:t>
      </w:r>
      <w:r>
        <w:t xml:space="preserve"> </w:t>
      </w:r>
      <w:r>
        <w:t xml:space="preserve">shows with Dutch panel data that satisfaction effects are largely short-run. If the satisfaction gap is causally fragile, the persistent and context-sensitive</w:t>
      </w:r>
      <w:r>
        <w:t xml:space="preserve"> </w:t>
      </w:r>
      <w:r>
        <w:rPr>
          <w:i/>
          <w:iCs/>
        </w:rPr>
        <w:t xml:space="preserve">conceptual</w:t>
      </w:r>
      <w:r>
        <w:t xml:space="preserve"> </w:t>
      </w:r>
      <w:r>
        <w:t xml:space="preserve">gap documented here may operate through a different mechanism entirely—one that panel data on democratic conceptions, when available, could help identify. Eleven countries is not a large sample for cross-national inference—though it is worth noting that the Asian Barometer is among the very few surveys that has tracked democratic conceptions with forced-choice items over nearly two decades, and the consistency of the loser effect across such diverse political systems is itself informative. The compression of the gap in Wave 6 across most countries outside Thailand remains a puzzle. A natural candidate explanation—that the pandemic made state capacity salient for everyone, compressing the winner-loser distinction by pulling respondents toward governance-oriented definitions—is not supported by the data. Governance items (no waste, quality services, law and order, clean politics) fell by an average of 3.8 percentage points from Wave 4 to Wave 6 rather than rising, ruling out a blanket pandemic-salience account. The compression is real but unexplained, and future survey rounds in the post-pandemic period will be needed to determine whether it persists or proves transient. Political engagement is a further concern: unobserved shifts in political interest or partisan intensity within winning and losing coalitions could account for some portion of the within-country trajectories. The ABS includes a political interest measure with coverage exceeding 95% across Thailand’s survey waves. Adding political interest as a control to the Thailand-specific models changes the mean procedural AME by 0.1 percentage point—a negligible shift that indicates the trajectory is not driven by differential political engagement across coalitions. Partisan intensity, however, is not directly measured in the ABS and remains a plausible unmeasured confounder. The demographic reweighting results (Appendix G), which hold coalition composition constant on age, education, gender, and urban residence without altering the substantive findings, provide partial reassurance. And the restriction to voters, while theoretically justified, means the findings describe the electorally active public, not the population at large.</w:t>
      </w:r>
    </w:p>
    <w:bookmarkEnd w:id="53"/>
    <w:bookmarkStart w:id="54" w:name="conclusion"/>
    <w:p>
      <w:pPr>
        <w:pStyle w:val="Heading1"/>
      </w:pPr>
      <w:r>
        <w:t xml:space="preserve">Conclusion</w:t>
      </w:r>
    </w:p>
    <w:p>
      <w:pPr>
        <w:pStyle w:val="FirstParagraph"/>
      </w:pPr>
      <w:r>
        <w:t xml:space="preserve">This article has documented that electoral status is systematically associated with how citizens conceptualize democracy. Losers prioritize the liberal-procedural infrastructure—free expression, media freedom, judicial accountability, the right to organize—that sustains the possibility of political contestation. Winners prioritize substantive outcomes and the governance of order. The positional updating interpretation draws support from three converging empirical checks: the loser effect amplifies among those perceiving electoral unfairness, does not extend to non-procedural domains, and persists after demographic reweighting. The within-country trajectories do the heaviest lifting. Thailand and South Korea, pulling apart precisely as their institutional paths diverged, sit poorly with any account that treats democratic conceptions as fixed cultural products.</w:t>
      </w:r>
    </w:p>
    <w:p>
      <w:pPr>
        <w:pStyle w:val="BodyText"/>
      </w:pPr>
      <w:r>
        <w:t xml:space="preserve">If this positional logic extends beyond Asia—and comparative work in Latin America and Africa is well placed to find out—then the link between public attitudes and democratic resilience may be more fragile than the literature has assumed. Democratic erosion would not merely degrade governance or shrink civil liberties; it would fracture the very meaning of democracy along the winner-loser divide, concentrating procedural commitments among the people least positioned to act on them. A priority for future research is whether losers’ procedural orientation actually shapes what they do politically—whether it feeds into protest, civil disobedience, or transnational advocacy, or whether it remains, in the end, a pattern that shows up in surveys and nowhere else.</w:t>
      </w:r>
    </w:p>
    <w:p>
      <w:pPr>
        <w:pStyle w:val="BodyText"/>
      </w:pPr>
      <w:r>
        <w:t xml:space="preserve">The associations documented here—their consistency across items, their responsiveness to political context, their concentration among those who perceive procedural threats—point toward a dynamic relationship between electoral experience and democratic meaning that previous work has overlooked. Whether that relationship is best described as updating, sorting, or some blend of the two remains to be settled. What the evidence does suggest, fairly clearly, is that the positional account has more going for it than cultural determinism does.</w:t>
      </w:r>
    </w:p>
    <w:bookmarkEnd w:id="54"/>
    <w:bookmarkStart w:id="182" w:name="references"/>
    <w:p>
      <w:pPr>
        <w:pStyle w:val="Heading1"/>
      </w:pPr>
      <w:r>
        <w:t xml:space="preserve">References</w:t>
      </w:r>
    </w:p>
    <w:bookmarkStart w:id="181" w:name="refs"/>
    <w:bookmarkStart w:id="56" w:name="ref-Anderson2005-uk"/>
    <w:p>
      <w:pPr>
        <w:pStyle w:val="Bibliography"/>
      </w:pPr>
      <w:r>
        <w:t xml:space="preserve">Anderson, Christopher J, André Blais, Shaun Bowler, Todd Donovan, and Ola Listhaug. 2005.</w:t>
      </w:r>
      <w:r>
        <w:t xml:space="preserve"> </w:t>
      </w:r>
      <w:r>
        <w:rPr>
          <w:i/>
          <w:iCs/>
        </w:rPr>
        <w:t xml:space="preserve">Losers’ consent: Elections and democratic legitimacy. Comparative politics</w:t>
      </w:r>
      <w:r>
        <w:t xml:space="preserve">. Comparative Politics. Oxford University Press.</w:t>
      </w:r>
      <w:r>
        <w:t xml:space="preserve"> </w:t>
      </w:r>
      <w:hyperlink r:id="rId55">
        <w:r>
          <w:rPr>
            <w:rStyle w:val="Hyperlink"/>
          </w:rPr>
          <w:t xml:space="preserve">https://doi.org/10.1093/0199276382.001.0001</w:t>
        </w:r>
      </w:hyperlink>
      <w:r>
        <w:t xml:space="preserve">.</w:t>
      </w:r>
    </w:p>
    <w:bookmarkEnd w:id="56"/>
    <w:bookmarkStart w:id="58" w:name="ref-Anderson1997-dh"/>
    <w:p>
      <w:pPr>
        <w:pStyle w:val="Bibliography"/>
      </w:pPr>
      <w:r>
        <w:t xml:space="preserve">Anderson, Christopher J, and Christine A Guillory. 1997.</w:t>
      </w:r>
      <w:r>
        <w:t xml:space="preserve"> </w:t>
      </w:r>
      <w:r>
        <w:t xml:space="preserve">“</w:t>
      </w:r>
      <w:r>
        <w:t xml:space="preserve">Political institutions and satisfaction with democracy: A cross-national analysis of consensus and majoritarian systems</w:t>
      </w:r>
      <w:r>
        <w:t xml:space="preserve">.”</w:t>
      </w:r>
      <w:r>
        <w:t xml:space="preserve"> </w:t>
      </w:r>
      <w:r>
        <w:rPr>
          <w:i/>
          <w:iCs/>
        </w:rPr>
        <w:t xml:space="preserve">The American Political Science Review</w:t>
      </w:r>
      <w:r>
        <w:t xml:space="preserve"> </w:t>
      </w:r>
      <w:r>
        <w:t xml:space="preserve">91 (March): 66–81.</w:t>
      </w:r>
      <w:r>
        <w:t xml:space="preserve"> </w:t>
      </w:r>
      <w:hyperlink r:id="rId57">
        <w:r>
          <w:rPr>
            <w:rStyle w:val="Hyperlink"/>
          </w:rPr>
          <w:t xml:space="preserve">https://doi.org/10.2307/2952259</w:t>
        </w:r>
      </w:hyperlink>
      <w:r>
        <w:t xml:space="preserve">.</w:t>
      </w:r>
    </w:p>
    <w:bookmarkEnd w:id="58"/>
    <w:bookmarkStart w:id="60" w:name="ref-Anderson2002-cv"/>
    <w:p>
      <w:pPr>
        <w:pStyle w:val="Bibliography"/>
      </w:pPr>
      <w:r>
        <w:t xml:space="preserve">Anderson, Christopher J, and Andrew J LoTempio. 2002.</w:t>
      </w:r>
      <w:r>
        <w:t xml:space="preserve"> </w:t>
      </w:r>
      <w:r>
        <w:t xml:space="preserve">“</w:t>
      </w:r>
      <w:r>
        <w:t xml:space="preserve">Winning, losing and political trust in America</w:t>
      </w:r>
      <w:r>
        <w:t xml:space="preserve">.”</w:t>
      </w:r>
      <w:r>
        <w:t xml:space="preserve"> </w:t>
      </w:r>
      <w:r>
        <w:rPr>
          <w:i/>
          <w:iCs/>
        </w:rPr>
        <w:t xml:space="preserve">British Journal of Political Science</w:t>
      </w:r>
      <w:r>
        <w:t xml:space="preserve"> </w:t>
      </w:r>
      <w:r>
        <w:t xml:space="preserve">32 (April): 335–51.</w:t>
      </w:r>
      <w:r>
        <w:t xml:space="preserve"> </w:t>
      </w:r>
      <w:hyperlink r:id="rId59">
        <w:r>
          <w:rPr>
            <w:rStyle w:val="Hyperlink"/>
          </w:rPr>
          <w:t xml:space="preserve">https://doi.org/10.1017/s0007123402000133</w:t>
        </w:r>
      </w:hyperlink>
      <w:r>
        <w:t xml:space="preserve">.</w:t>
      </w:r>
    </w:p>
    <w:bookmarkEnd w:id="60"/>
    <w:bookmarkStart w:id="62" w:name="ref-Blais2025-qq"/>
    <w:p>
      <w:pPr>
        <w:pStyle w:val="Bibliography"/>
      </w:pPr>
      <w:r>
        <w:t xml:space="preserve">Blais, André, Jean-François Daoust, Ruth Dassonneville, and Patrick Fournier. 2025.</w:t>
      </w:r>
      <w:r>
        <w:t xml:space="preserve"> </w:t>
      </w:r>
      <w:r>
        <w:t xml:space="preserve">“</w:t>
      </w:r>
      <w:r>
        <w:t xml:space="preserve">Losers’ consent in a deliberative assembly</w:t>
      </w:r>
      <w:r>
        <w:t xml:space="preserve">.”</w:t>
      </w:r>
      <w:r>
        <w:t xml:space="preserve"> </w:t>
      </w:r>
      <w:r>
        <w:rPr>
          <w:i/>
          <w:iCs/>
        </w:rPr>
        <w:t xml:space="preserve">Canadian Journal of Political Science. Revue Canadienne de Science Politique</w:t>
      </w:r>
      <w:r>
        <w:t xml:space="preserve"> </w:t>
      </w:r>
      <w:r>
        <w:t xml:space="preserve">58 (June): 470–80.</w:t>
      </w:r>
      <w:r>
        <w:t xml:space="preserve"> </w:t>
      </w:r>
      <w:hyperlink r:id="rId61">
        <w:r>
          <w:rPr>
            <w:rStyle w:val="Hyperlink"/>
          </w:rPr>
          <w:t xml:space="preserve">https://doi.org/10.1017/s0008423924000775</w:t>
        </w:r>
      </w:hyperlink>
      <w:r>
        <w:t xml:space="preserve">.</w:t>
      </w:r>
    </w:p>
    <w:bookmarkEnd w:id="62"/>
    <w:bookmarkStart w:id="64" w:name="ref-Bratton2001-ug"/>
    <w:p>
      <w:pPr>
        <w:pStyle w:val="Bibliography"/>
      </w:pPr>
      <w:r>
        <w:t xml:space="preserve">Bratton, Michael, and Robert Mattes. 2001.</w:t>
      </w:r>
      <w:r>
        <w:t xml:space="preserve"> </w:t>
      </w:r>
      <w:r>
        <w:t xml:space="preserve">“</w:t>
      </w:r>
      <w:r>
        <w:t xml:space="preserve">Support for democracy in Africa: Intrinsic or instrumental?</w:t>
      </w:r>
      <w:r>
        <w:t xml:space="preserve">”</w:t>
      </w:r>
      <w:r>
        <w:t xml:space="preserve"> </w:t>
      </w:r>
      <w:r>
        <w:rPr>
          <w:i/>
          <w:iCs/>
        </w:rPr>
        <w:t xml:space="preserve">British Journal of Political Science</w:t>
      </w:r>
      <w:r>
        <w:t xml:space="preserve"> </w:t>
      </w:r>
      <w:r>
        <w:t xml:space="preserve">31: 447–74.</w:t>
      </w:r>
      <w:r>
        <w:t xml:space="preserve"> </w:t>
      </w:r>
      <w:hyperlink r:id="rId63">
        <w:r>
          <w:rPr>
            <w:rStyle w:val="Hyperlink"/>
          </w:rPr>
          <w:t xml:space="preserve">https://doi.org/10.1017/s0007123401000175</w:t>
        </w:r>
      </w:hyperlink>
      <w:r>
        <w:t xml:space="preserve">.</w:t>
      </w:r>
    </w:p>
    <w:bookmarkEnd w:id="64"/>
    <w:bookmarkStart w:id="66" w:name="ref-Bryan2023-eu"/>
    <w:p>
      <w:pPr>
        <w:pStyle w:val="Bibliography"/>
      </w:pPr>
      <w:r>
        <w:t xml:space="preserve">Bryan, James D. 2023.</w:t>
      </w:r>
      <w:r>
        <w:t xml:space="preserve"> </w:t>
      </w:r>
      <w:r>
        <w:t xml:space="preserve">“</w:t>
      </w:r>
      <w:r>
        <w:t xml:space="preserve">What kind of democracy do we all support? How partisan interest impacts a citizen’s conceptualization of democracy</w:t>
      </w:r>
      <w:r>
        <w:t xml:space="preserve">.”</w:t>
      </w:r>
      <w:r>
        <w:t xml:space="preserve"> </w:t>
      </w:r>
      <w:r>
        <w:rPr>
          <w:i/>
          <w:iCs/>
        </w:rPr>
        <w:t xml:space="preserve">Comparative Political Studies</w:t>
      </w:r>
      <w:r>
        <w:t xml:space="preserve"> </w:t>
      </w:r>
      <w:r>
        <w:t xml:space="preserve">56 (September): 1597–627.</w:t>
      </w:r>
      <w:r>
        <w:t xml:space="preserve"> </w:t>
      </w:r>
      <w:hyperlink r:id="rId65">
        <w:r>
          <w:rPr>
            <w:rStyle w:val="Hyperlink"/>
          </w:rPr>
          <w:t xml:space="preserve">https://doi.org/10.1177/00104140231152784</w:t>
        </w:r>
      </w:hyperlink>
      <w:r>
        <w:t xml:space="preserve">.</w:t>
      </w:r>
    </w:p>
    <w:bookmarkEnd w:id="66"/>
    <w:bookmarkStart w:id="68" w:name="ref-Cameron2008-aw"/>
    <w:p>
      <w:pPr>
        <w:pStyle w:val="Bibliography"/>
      </w:pPr>
      <w:r>
        <w:t xml:space="preserve">Cameron, A Colin, Jonah B Gelbach, and Douglas L Miller. 2008.</w:t>
      </w:r>
      <w:r>
        <w:t xml:space="preserve"> </w:t>
      </w:r>
      <w:r>
        <w:t xml:space="preserve">“</w:t>
      </w:r>
      <w:r>
        <w:t xml:space="preserve">Bootstrap-based improvements for inference with clustered errors</w:t>
      </w:r>
      <w:r>
        <w:t xml:space="preserve">.”</w:t>
      </w:r>
      <w:r>
        <w:t xml:space="preserve"> </w:t>
      </w:r>
      <w:r>
        <w:rPr>
          <w:i/>
          <w:iCs/>
        </w:rPr>
        <w:t xml:space="preserve">The Review of Economics and Statistics</w:t>
      </w:r>
      <w:r>
        <w:t xml:space="preserve"> </w:t>
      </w:r>
      <w:r>
        <w:t xml:space="preserve">90 (August): 414–27.</w:t>
      </w:r>
      <w:r>
        <w:t xml:space="preserve"> </w:t>
      </w:r>
      <w:hyperlink r:id="rId67">
        <w:r>
          <w:rPr>
            <w:rStyle w:val="Hyperlink"/>
          </w:rPr>
          <w:t xml:space="preserve">https://doi.org/10.1162/rest.90.3.414</w:t>
        </w:r>
      </w:hyperlink>
      <w:r>
        <w:t xml:space="preserve">.</w:t>
      </w:r>
    </w:p>
    <w:bookmarkEnd w:id="68"/>
    <w:bookmarkStart w:id="70" w:name="ref-Canache2012-fb"/>
    <w:p>
      <w:pPr>
        <w:pStyle w:val="Bibliography"/>
      </w:pPr>
      <w:r>
        <w:t xml:space="preserve">Canache, Damarys. 2012.</w:t>
      </w:r>
      <w:r>
        <w:t xml:space="preserve"> </w:t>
      </w:r>
      <w:r>
        <w:t xml:space="preserve">“</w:t>
      </w:r>
      <w:r>
        <w:t xml:space="preserve">Citizens’ conceptualizations of democracy: Structural complexity, substantive content, and political significance</w:t>
      </w:r>
      <w:r>
        <w:t xml:space="preserve">.”</w:t>
      </w:r>
      <w:r>
        <w:t xml:space="preserve"> </w:t>
      </w:r>
      <w:r>
        <w:rPr>
          <w:i/>
          <w:iCs/>
        </w:rPr>
        <w:t xml:space="preserve">Comparative Political Studies</w:t>
      </w:r>
      <w:r>
        <w:t xml:space="preserve"> </w:t>
      </w:r>
      <w:r>
        <w:t xml:space="preserve">45 (September): 1132–58.</w:t>
      </w:r>
      <w:r>
        <w:t xml:space="preserve"> </w:t>
      </w:r>
      <w:hyperlink r:id="rId69">
        <w:r>
          <w:rPr>
            <w:rStyle w:val="Hyperlink"/>
          </w:rPr>
          <w:t xml:space="preserve">https://doi.org/10.1177/0010414011434009</w:t>
        </w:r>
      </w:hyperlink>
      <w:r>
        <w:t xml:space="preserve">.</w:t>
      </w:r>
    </w:p>
    <w:bookmarkEnd w:id="70"/>
    <w:bookmarkStart w:id="72" w:name="ref-Cho2014-ut"/>
    <w:p>
      <w:pPr>
        <w:pStyle w:val="Bibliography"/>
      </w:pPr>
      <w:r>
        <w:t xml:space="preserve">Cho, Youngho. 2014.</w:t>
      </w:r>
      <w:r>
        <w:t xml:space="preserve"> </w:t>
      </w:r>
      <w:r>
        <w:t xml:space="preserve">“</w:t>
      </w:r>
      <w:r>
        <w:t xml:space="preserve">To know democracy is to love it: A cross-national analysis of democratic understanding and political support for democracy</w:t>
      </w:r>
      <w:r>
        <w:t xml:space="preserve">.”</w:t>
      </w:r>
      <w:r>
        <w:t xml:space="preserve"> </w:t>
      </w:r>
      <w:r>
        <w:rPr>
          <w:i/>
          <w:iCs/>
        </w:rPr>
        <w:t xml:space="preserve">Political Research Quarterly</w:t>
      </w:r>
      <w:r>
        <w:t xml:space="preserve"> </w:t>
      </w:r>
      <w:r>
        <w:t xml:space="preserve">67 (September): 478–88.</w:t>
      </w:r>
      <w:r>
        <w:t xml:space="preserve"> </w:t>
      </w:r>
      <w:hyperlink r:id="rId71">
        <w:r>
          <w:rPr>
            <w:rStyle w:val="Hyperlink"/>
          </w:rPr>
          <w:t xml:space="preserve">https://doi.org/10.1177/1065912914532721</w:t>
        </w:r>
      </w:hyperlink>
      <w:r>
        <w:t xml:space="preserve">.</w:t>
      </w:r>
    </w:p>
    <w:bookmarkEnd w:id="72"/>
    <w:bookmarkStart w:id="73" w:name="ref-Chu2016-va"/>
    <w:p>
      <w:pPr>
        <w:pStyle w:val="Bibliography"/>
      </w:pPr>
      <w:r>
        <w:t xml:space="preserve">Chu, Yun-Han, Yu-Tzung Chang, Min-Hua Huang, and Mark Weatherall. 2016.</w:t>
      </w:r>
      <w:r>
        <w:t xml:space="preserve"> </w:t>
      </w:r>
      <w:r>
        <w:rPr>
          <w:i/>
          <w:iCs/>
        </w:rPr>
        <w:t xml:space="preserve">Re-assessing the popular foundation of Asian democracies: findings from four waves of the Asian Barometer Survey</w:t>
      </w:r>
      <w:r>
        <w:t xml:space="preserve">. Research Report Report 120. Asian Barometer.</w:t>
      </w:r>
    </w:p>
    <w:bookmarkEnd w:id="73"/>
    <w:bookmarkStart w:id="75" w:name="ref-Chu2008-fk"/>
    <w:p>
      <w:pPr>
        <w:pStyle w:val="Bibliography"/>
      </w:pPr>
      <w:r>
        <w:t xml:space="preserve">Chu, Yun-Han, Larry Diamond, Andrew J Nathan, and Doh Chull Shin. 2008.</w:t>
      </w:r>
      <w:r>
        <w:t xml:space="preserve"> </w:t>
      </w:r>
      <w:r>
        <w:rPr>
          <w:i/>
          <w:iCs/>
        </w:rPr>
        <w:t xml:space="preserve">How East Asians view democracy</w:t>
      </w:r>
      <w:r>
        <w:t xml:space="preserve">. Columbia University Press.</w:t>
      </w:r>
      <w:r>
        <w:t xml:space="preserve"> </w:t>
      </w:r>
      <w:hyperlink r:id="rId74">
        <w:r>
          <w:rPr>
            <w:rStyle w:val="Hyperlink"/>
          </w:rPr>
          <w:t xml:space="preserve">https://doi.org/10.7312/chu-14534</w:t>
        </w:r>
      </w:hyperlink>
      <w:r>
        <w:t xml:space="preserve">.</w:t>
      </w:r>
    </w:p>
    <w:bookmarkEnd w:id="75"/>
    <w:bookmarkStart w:id="77" w:name="ref-Chu2010-nb"/>
    <w:p>
      <w:pPr>
        <w:pStyle w:val="Bibliography"/>
      </w:pPr>
      <w:r>
        <w:t xml:space="preserve">Chu, Yun-Han, and Min-Hua Huang. 2010.</w:t>
      </w:r>
      <w:r>
        <w:t xml:space="preserve"> </w:t>
      </w:r>
      <w:r>
        <w:t xml:space="preserve">“</w:t>
      </w:r>
      <w:r>
        <w:t xml:space="preserve">Solving an Asian Puzzle</w:t>
      </w:r>
      <w:r>
        <w:t xml:space="preserve">.”</w:t>
      </w:r>
      <w:r>
        <w:t xml:space="preserve"> </w:t>
      </w:r>
      <w:r>
        <w:rPr>
          <w:i/>
          <w:iCs/>
        </w:rPr>
        <w:t xml:space="preserve">Journal of Democracy</w:t>
      </w:r>
      <w:r>
        <w:t xml:space="preserve"> </w:t>
      </w:r>
      <w:r>
        <w:t xml:space="preserve">21: 114–22.</w:t>
      </w:r>
      <w:r>
        <w:t xml:space="preserve"> </w:t>
      </w:r>
      <w:hyperlink r:id="rId76">
        <w:r>
          <w:rPr>
            <w:rStyle w:val="Hyperlink"/>
          </w:rPr>
          <w:t xml:space="preserve">https://doi.org/10.1353/jod.2010.0009</w:t>
        </w:r>
      </w:hyperlink>
      <w:r>
        <w:t xml:space="preserve">.</w:t>
      </w:r>
    </w:p>
    <w:bookmarkEnd w:id="77"/>
    <w:bookmarkStart w:id="78" w:name="ref-ABS-W6"/>
    <w:p>
      <w:pPr>
        <w:pStyle w:val="Bibliography"/>
      </w:pPr>
      <w:r>
        <w:t xml:space="preserve">Chu, Yun-Han, Min-Hua Huang, and Asian Barometer Survey. 2022.</w:t>
      </w:r>
      <w:r>
        <w:t xml:space="preserve"> </w:t>
      </w:r>
      <w:r>
        <w:rPr>
          <w:i/>
          <w:iCs/>
        </w:rPr>
        <w:t xml:space="preserve">Asian Barometer Survey of Democracy, Governance and Development, Wave 6 Data</w:t>
      </w:r>
      <w:r>
        <w:t xml:space="preserve">. Taipei: National Taiwan University; Academia Sinica.</w:t>
      </w:r>
    </w:p>
    <w:bookmarkEnd w:id="78"/>
    <w:bookmarkStart w:id="80" w:name="ref-Claassen2020-hk"/>
    <w:p>
      <w:pPr>
        <w:pStyle w:val="Bibliography"/>
      </w:pPr>
      <w:r>
        <w:t xml:space="preserve">Claassen, Christopher. 2020.</w:t>
      </w:r>
      <w:r>
        <w:t xml:space="preserve"> </w:t>
      </w:r>
      <w:r>
        <w:t xml:space="preserve">“</w:t>
      </w:r>
      <w:r>
        <w:t xml:space="preserve">Does public support help democracy survive?</w:t>
      </w:r>
      <w:r>
        <w:t xml:space="preserve">”</w:t>
      </w:r>
      <w:r>
        <w:t xml:space="preserve"> </w:t>
      </w:r>
      <w:r>
        <w:rPr>
          <w:i/>
          <w:iCs/>
        </w:rPr>
        <w:t xml:space="preserve">American Journal of Political Science</w:t>
      </w:r>
      <w:r>
        <w:t xml:space="preserve"> </w:t>
      </w:r>
      <w:r>
        <w:t xml:space="preserve">64 (January): 118–34.</w:t>
      </w:r>
      <w:r>
        <w:t xml:space="preserve"> </w:t>
      </w:r>
      <w:hyperlink r:id="rId79">
        <w:r>
          <w:rPr>
            <w:rStyle w:val="Hyperlink"/>
          </w:rPr>
          <w:t xml:space="preserve">https://doi.org/10.1111/ajps.12452</w:t>
        </w:r>
      </w:hyperlink>
      <w:r>
        <w:t xml:space="preserve">.</w:t>
      </w:r>
    </w:p>
    <w:bookmarkEnd w:id="80"/>
    <w:bookmarkStart w:id="82" w:name="ref-Cohen2023-sm"/>
    <w:p>
      <w:pPr>
        <w:pStyle w:val="Bibliography"/>
      </w:pPr>
      <w:r>
        <w:t xml:space="preserve">Cohen, Mollie J, Amy Erica Smith, Mason W Moseley, and Matthew L Layton. 2023.</w:t>
      </w:r>
      <w:r>
        <w:t xml:space="preserve"> </w:t>
      </w:r>
      <w:r>
        <w:t xml:space="preserve">“</w:t>
      </w:r>
      <w:r>
        <w:t xml:space="preserve">Winners’ consent? Citizen commitment to democracy when illiberal candidates win elections</w:t>
      </w:r>
      <w:r>
        <w:t xml:space="preserve">.”</w:t>
      </w:r>
      <w:r>
        <w:t xml:space="preserve"> </w:t>
      </w:r>
      <w:r>
        <w:rPr>
          <w:i/>
          <w:iCs/>
        </w:rPr>
        <w:t xml:space="preserve">American Journal of Political Science</w:t>
      </w:r>
      <w:r>
        <w:t xml:space="preserve"> </w:t>
      </w:r>
      <w:r>
        <w:t xml:space="preserve">67 (April): 261–76.</w:t>
      </w:r>
      <w:r>
        <w:t xml:space="preserve"> </w:t>
      </w:r>
      <w:hyperlink r:id="rId81">
        <w:r>
          <w:rPr>
            <w:rStyle w:val="Hyperlink"/>
          </w:rPr>
          <w:t xml:space="preserve">https://doi.org/10.1111/ajps.12690</w:t>
        </w:r>
      </w:hyperlink>
      <w:r>
        <w:t xml:space="preserve">.</w:t>
      </w:r>
    </w:p>
    <w:bookmarkEnd w:id="82"/>
    <w:bookmarkStart w:id="83" w:name="ref-Dahl1977-wj"/>
    <w:p>
      <w:pPr>
        <w:pStyle w:val="Bibliography"/>
      </w:pPr>
      <w:r>
        <w:t xml:space="preserve">Dahl, Robert A. 1977.</w:t>
      </w:r>
      <w:r>
        <w:t xml:space="preserve"> </w:t>
      </w:r>
      <w:r>
        <w:rPr>
          <w:i/>
          <w:iCs/>
        </w:rPr>
        <w:t xml:space="preserve">Polyarchy: Participation and Opposition</w:t>
      </w:r>
      <w:r>
        <w:t xml:space="preserve">. Yale University Press.</w:t>
      </w:r>
    </w:p>
    <w:bookmarkEnd w:id="83"/>
    <w:bookmarkStart w:id="85" w:name="ref-Dalton2007-ei"/>
    <w:p>
      <w:pPr>
        <w:pStyle w:val="Bibliography"/>
      </w:pPr>
      <w:r>
        <w:t xml:space="preserve">Dalton, Russell J, and Hans-Dieter Klingemann, eds. 2007.</w:t>
      </w:r>
      <w:r>
        <w:t xml:space="preserve"> </w:t>
      </w:r>
      <w:r>
        <w:rPr>
          <w:i/>
          <w:iCs/>
        </w:rPr>
        <w:t xml:space="preserve">The</w:t>
      </w:r>
      <w:r>
        <w:rPr>
          <w:i/>
          <w:iCs/>
        </w:rPr>
        <w:t xml:space="preserve"> </w:t>
      </w:r>
      <w:r>
        <w:rPr>
          <w:i/>
          <w:iCs/>
        </w:rPr>
        <w:t xml:space="preserve">oxford</w:t>
      </w:r>
      <w:r>
        <w:rPr>
          <w:i/>
          <w:iCs/>
        </w:rPr>
        <w:t xml:space="preserve"> </w:t>
      </w:r>
      <w:r>
        <w:rPr>
          <w:i/>
          <w:iCs/>
        </w:rPr>
        <w:t xml:space="preserve">handbook</w:t>
      </w:r>
      <w:r>
        <w:rPr>
          <w:i/>
          <w:iCs/>
        </w:rPr>
        <w:t xml:space="preserve"> </w:t>
      </w:r>
      <w:r>
        <w:rPr>
          <w:i/>
          <w:iCs/>
        </w:rPr>
        <w:t xml:space="preserve">of</w:t>
      </w:r>
      <w:r>
        <w:rPr>
          <w:i/>
          <w:iCs/>
        </w:rPr>
        <w:t xml:space="preserve"> </w:t>
      </w:r>
      <w:r>
        <w:rPr>
          <w:i/>
          <w:iCs/>
        </w:rPr>
        <w:t xml:space="preserve">political</w:t>
      </w:r>
      <w:r>
        <w:rPr>
          <w:i/>
          <w:iCs/>
        </w:rPr>
        <w:t xml:space="preserve"> </w:t>
      </w:r>
      <w:r>
        <w:rPr>
          <w:i/>
          <w:iCs/>
        </w:rPr>
        <w:t xml:space="preserve">behavior</w:t>
      </w:r>
      <w:r>
        <w:t xml:space="preserve">. Oxford Handbooks. Oxford University Press.</w:t>
      </w:r>
      <w:r>
        <w:t xml:space="preserve"> </w:t>
      </w:r>
      <w:hyperlink r:id="rId84">
        <w:r>
          <w:rPr>
            <w:rStyle w:val="Hyperlink"/>
          </w:rPr>
          <w:t xml:space="preserve">https://doi.org/10.1093/oxfordhb/9780199270125.001.0001</w:t>
        </w:r>
      </w:hyperlink>
      <w:r>
        <w:t xml:space="preserve">.</w:t>
      </w:r>
    </w:p>
    <w:bookmarkEnd w:id="85"/>
    <w:bookmarkStart w:id="87" w:name="ref-Daoust2024-ie"/>
    <w:p>
      <w:pPr>
        <w:pStyle w:val="Bibliography"/>
      </w:pPr>
      <w:r>
        <w:t xml:space="preserve">Daoust, Jean-François, Miroslav Nemčok, Philipp Broniecki, and Peter J Loewen. 2024.</w:t>
      </w:r>
      <w:r>
        <w:t xml:space="preserve"> </w:t>
      </w:r>
      <w:r>
        <w:t xml:space="preserve">“</w:t>
      </w:r>
      <w:r>
        <w:t xml:space="preserve">Reassessing the winner-loser gap in satisfaction with democracy</w:t>
      </w:r>
      <w:r>
        <w:t xml:space="preserve">.”</w:t>
      </w:r>
      <w:r>
        <w:t xml:space="preserve"> </w:t>
      </w:r>
      <w:r>
        <w:rPr>
          <w:i/>
          <w:iCs/>
        </w:rPr>
        <w:t xml:space="preserve">PloS One</w:t>
      </w:r>
      <w:r>
        <w:t xml:space="preserve"> </w:t>
      </w:r>
      <w:r>
        <w:t xml:space="preserve">19 (December): e0314967.</w:t>
      </w:r>
      <w:r>
        <w:t xml:space="preserve"> </w:t>
      </w:r>
      <w:hyperlink r:id="rId86">
        <w:r>
          <w:rPr>
            <w:rStyle w:val="Hyperlink"/>
          </w:rPr>
          <w:t xml:space="preserve">https://doi.org/10.1371/journal.pone.0314967</w:t>
        </w:r>
      </w:hyperlink>
      <w:r>
        <w:t xml:space="preserve">.</w:t>
      </w:r>
    </w:p>
    <w:bookmarkEnd w:id="87"/>
    <w:bookmarkStart w:id="89"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r>
        <w:t xml:space="preserve"> </w:t>
      </w:r>
      <w:hyperlink r:id="rId88">
        <w:r>
          <w:rPr>
            <w:rStyle w:val="Hyperlink"/>
          </w:rPr>
          <w:t xml:space="preserve">https://doi.org/10.56021/9780801860140</w:t>
        </w:r>
      </w:hyperlink>
      <w:r>
        <w:t xml:space="preserve">.</w:t>
      </w:r>
    </w:p>
    <w:bookmarkEnd w:id="89"/>
    <w:bookmarkStart w:id="91" w:name="ref-Diamond2015-yb"/>
    <w:p>
      <w:pPr>
        <w:pStyle w:val="Bibliography"/>
      </w:pPr>
      <w:r>
        <w:t xml:space="preserve">Diamond, Larry. 2015.</w:t>
      </w:r>
      <w:r>
        <w:t xml:space="preserve"> </w:t>
      </w:r>
      <w:r>
        <w:t xml:space="preserve">“</w:t>
      </w:r>
      <w:r>
        <w:t xml:space="preserve">Facing up to the democratic recession</w:t>
      </w:r>
      <w:r>
        <w:t xml:space="preserve">.”</w:t>
      </w:r>
      <w:r>
        <w:t xml:space="preserve"> </w:t>
      </w:r>
      <w:r>
        <w:rPr>
          <w:i/>
          <w:iCs/>
        </w:rPr>
        <w:t xml:space="preserve">Journal of Democracy</w:t>
      </w:r>
      <w:r>
        <w:t xml:space="preserve"> </w:t>
      </w:r>
      <w:r>
        <w:t xml:space="preserve">26: 141–55.</w:t>
      </w:r>
      <w:r>
        <w:t xml:space="preserve"> </w:t>
      </w:r>
      <w:hyperlink r:id="rId90">
        <w:r>
          <w:rPr>
            <w:rStyle w:val="Hyperlink"/>
          </w:rPr>
          <w:t xml:space="preserve">https://doi.org/10.1353/jod.2015.0009</w:t>
        </w:r>
      </w:hyperlink>
      <w:r>
        <w:t xml:space="preserve">.</w:t>
      </w:r>
    </w:p>
    <w:bookmarkEnd w:id="91"/>
    <w:bookmarkStart w:id="93" w:name="ref-Eck2025-jl"/>
    <w:p>
      <w:pPr>
        <w:pStyle w:val="Bibliography"/>
      </w:pPr>
      <w:r>
        <w:t xml:space="preserve">Eck, Bjarn, and Emilien Paulis. 2025.</w:t>
      </w:r>
      <w:r>
        <w:t xml:space="preserve"> </w:t>
      </w:r>
      <w:r>
        <w:t xml:space="preserve">“</w:t>
      </w:r>
      <w:r>
        <w:t xml:space="preserve">Defending the status quo or seeking change? Electoral outcomes, affective polarization, and support for referendums</w:t>
      </w:r>
      <w:r>
        <w:t xml:space="preserve">.”</w:t>
      </w:r>
      <w:r>
        <w:t xml:space="preserve"> </w:t>
      </w:r>
      <w:r>
        <w:rPr>
          <w:i/>
          <w:iCs/>
        </w:rPr>
        <w:t xml:space="preserve">British Journal of Political Science</w:t>
      </w:r>
      <w:r>
        <w:t xml:space="preserve"> </w:t>
      </w:r>
      <w:r>
        <w:t xml:space="preserve">55.</w:t>
      </w:r>
      <w:r>
        <w:t xml:space="preserve"> </w:t>
      </w:r>
      <w:hyperlink r:id="rId92">
        <w:r>
          <w:rPr>
            <w:rStyle w:val="Hyperlink"/>
          </w:rPr>
          <w:t xml:space="preserve">https://doi.org/10.1017/s0007123425000365</w:t>
        </w:r>
      </w:hyperlink>
      <w:r>
        <w:t xml:space="preserve">.</w:t>
      </w:r>
    </w:p>
    <w:bookmarkEnd w:id="93"/>
    <w:bookmarkStart w:id="95" w:name="ref-Erhardt2023-um"/>
    <w:p>
      <w:pPr>
        <w:pStyle w:val="Bibliography"/>
      </w:pPr>
      <w:r>
        <w:t xml:space="preserve">Erhardt, Julian. 2023.</w:t>
      </w:r>
      <w:r>
        <w:t xml:space="preserve"> </w:t>
      </w:r>
      <w:r>
        <w:t xml:space="preserve">“</w:t>
      </w:r>
      <w:r>
        <w:t xml:space="preserve">Political support through representation by the government. Evidence from Dutch panel data</w:t>
      </w:r>
      <w:r>
        <w:t xml:space="preserve">.”</w:t>
      </w:r>
      <w:r>
        <w:t xml:space="preserve"> </w:t>
      </w:r>
      <w:r>
        <w:rPr>
          <w:i/>
          <w:iCs/>
        </w:rPr>
        <w:t xml:space="preserve">Swiss Political Science Review</w:t>
      </w:r>
      <w:r>
        <w:t xml:space="preserve"> </w:t>
      </w:r>
      <w:r>
        <w:t xml:space="preserve">29 (June): 202–22.</w:t>
      </w:r>
      <w:r>
        <w:t xml:space="preserve"> </w:t>
      </w:r>
      <w:hyperlink r:id="rId94">
        <w:r>
          <w:rPr>
            <w:rStyle w:val="Hyperlink"/>
          </w:rPr>
          <w:t xml:space="preserve">https://doi.org/10.1111/spsr.12561</w:t>
        </w:r>
      </w:hyperlink>
      <w:r>
        <w:t xml:space="preserve">.</w:t>
      </w:r>
    </w:p>
    <w:bookmarkEnd w:id="95"/>
    <w:bookmarkStart w:id="97" w:name="ref-Esaiasson2011-po"/>
    <w:p>
      <w:pPr>
        <w:pStyle w:val="Bibliography"/>
      </w:pPr>
      <w:r>
        <w:t xml:space="preserve">Esaiasson, Peter. 2011.</w:t>
      </w:r>
      <w:r>
        <w:t xml:space="preserve"> </w:t>
      </w:r>
      <w:r>
        <w:t xml:space="preserve">“</w:t>
      </w:r>
      <w:r>
        <w:t xml:space="preserve">Electoral losers revisited – How citizens react to defeat at the ballot box</w:t>
      </w:r>
      <w:r>
        <w:t xml:space="preserve">.”</w:t>
      </w:r>
      <w:r>
        <w:t xml:space="preserve"> </w:t>
      </w:r>
      <w:r>
        <w:rPr>
          <w:i/>
          <w:iCs/>
        </w:rPr>
        <w:t xml:space="preserve">Electoral Studies</w:t>
      </w:r>
      <w:r>
        <w:t xml:space="preserve"> </w:t>
      </w:r>
      <w:r>
        <w:t xml:space="preserve">30 (March): 102–13.</w:t>
      </w:r>
      <w:r>
        <w:t xml:space="preserve"> </w:t>
      </w:r>
      <w:hyperlink r:id="rId96">
        <w:r>
          <w:rPr>
            <w:rStyle w:val="Hyperlink"/>
          </w:rPr>
          <w:t xml:space="preserve">https://doi.org/10.1016/j.electstud.2010.09.009</w:t>
        </w:r>
      </w:hyperlink>
      <w:r>
        <w:t xml:space="preserve">.</w:t>
      </w:r>
    </w:p>
    <w:bookmarkEnd w:id="97"/>
    <w:bookmarkStart w:id="99" w:name="ref-Esaiasson2020-av"/>
    <w:p>
      <w:pPr>
        <w:pStyle w:val="Bibliography"/>
      </w:pPr>
      <w:r>
        <w:t xml:space="preserve">Esaiasson, Peter, and Patrik Öhberg. 2020.</w:t>
      </w:r>
      <w:r>
        <w:t xml:space="preserve"> </w:t>
      </w:r>
      <w:r>
        <w:t xml:space="preserve">“</w:t>
      </w:r>
      <w:r>
        <w:t xml:space="preserve">The moment you decide, you divide: How politicians assess procedural fairness</w:t>
      </w:r>
      <w:r>
        <w:t xml:space="preserve">.”</w:t>
      </w:r>
      <w:r>
        <w:t xml:space="preserve"> </w:t>
      </w:r>
      <w:r>
        <w:rPr>
          <w:i/>
          <w:iCs/>
        </w:rPr>
        <w:t xml:space="preserve">European Journal of Political Research</w:t>
      </w:r>
      <w:r>
        <w:t xml:space="preserve"> </w:t>
      </w:r>
      <w:r>
        <w:t xml:space="preserve">59 (August): 714–30.</w:t>
      </w:r>
      <w:r>
        <w:t xml:space="preserve"> </w:t>
      </w:r>
      <w:hyperlink r:id="rId98">
        <w:r>
          <w:rPr>
            <w:rStyle w:val="Hyperlink"/>
          </w:rPr>
          <w:t xml:space="preserve">https://doi.org/10.1111/1475-6765.12370</w:t>
        </w:r>
      </w:hyperlink>
      <w:r>
        <w:t xml:space="preserve">.</w:t>
      </w:r>
    </w:p>
    <w:bookmarkEnd w:id="99"/>
    <w:bookmarkStart w:id="101" w:name="ref-Evans2006-np"/>
    <w:p>
      <w:pPr>
        <w:pStyle w:val="Bibliography"/>
      </w:pPr>
      <w:r>
        <w:t xml:space="preserve">Evans, Geoffrey, and Robert Andersen. 2006.</w:t>
      </w:r>
      <w:r>
        <w:t xml:space="preserve"> </w:t>
      </w:r>
      <w:r>
        <w:t xml:space="preserve">“</w:t>
      </w:r>
      <w:r>
        <w:t xml:space="preserve">The political conditioning of economic perceptions</w:t>
      </w:r>
      <w:r>
        <w:t xml:space="preserve">.”</w:t>
      </w:r>
      <w:r>
        <w:t xml:space="preserve"> </w:t>
      </w:r>
      <w:r>
        <w:rPr>
          <w:i/>
          <w:iCs/>
        </w:rPr>
        <w:t xml:space="preserve">The Journal of Politics</w:t>
      </w:r>
      <w:r>
        <w:t xml:space="preserve"> </w:t>
      </w:r>
      <w:r>
        <w:t xml:space="preserve">68 (February): 194–207.</w:t>
      </w:r>
      <w:r>
        <w:t xml:space="preserve"> </w:t>
      </w:r>
      <w:hyperlink r:id="rId100">
        <w:r>
          <w:rPr>
            <w:rStyle w:val="Hyperlink"/>
          </w:rPr>
          <w:t xml:space="preserve">https://doi.org/10.1111/j.1468-2508.2006.00380.x</w:t>
        </w:r>
      </w:hyperlink>
      <w:r>
        <w:t xml:space="preserve">.</w:t>
      </w:r>
    </w:p>
    <w:bookmarkEnd w:id="101"/>
    <w:bookmarkStart w:id="103" w:name="ref-Ferrin2016-se"/>
    <w:p>
      <w:pPr>
        <w:pStyle w:val="Bibliography"/>
      </w:pPr>
      <w:r>
        <w:t xml:space="preserve">Ferrin, Monica, and Hanspeter Kriesi, eds. 2016.</w:t>
      </w:r>
      <w:r>
        <w:t xml:space="preserve"> </w:t>
      </w:r>
      <w:r>
        <w:rPr>
          <w:i/>
          <w:iCs/>
        </w:rPr>
        <w:t xml:space="preserve">How Europeans view and evaluate democracy</w:t>
      </w:r>
      <w:r>
        <w:t xml:space="preserve">. Comparative Politics. Oxford University Press.</w:t>
      </w:r>
      <w:r>
        <w:t xml:space="preserve"> </w:t>
      </w:r>
      <w:hyperlink r:id="rId102">
        <w:r>
          <w:rPr>
            <w:rStyle w:val="Hyperlink"/>
          </w:rPr>
          <w:t xml:space="preserve">https://doi.org/10.1093/acprof:oso/9780198766902.001.0001</w:t>
        </w:r>
      </w:hyperlink>
      <w:r>
        <w:t xml:space="preserve">.</w:t>
      </w:r>
    </w:p>
    <w:bookmarkEnd w:id="103"/>
    <w:bookmarkStart w:id="105" w:name="ref-Fiorina1978-wf"/>
    <w:p>
      <w:pPr>
        <w:pStyle w:val="Bibliography"/>
      </w:pPr>
      <w:r>
        <w:t xml:space="preserve">Fiorina, Morris P. 1978.</w:t>
      </w:r>
      <w:r>
        <w:t xml:space="preserve"> </w:t>
      </w:r>
      <w:r>
        <w:t xml:space="preserve">“</w:t>
      </w:r>
      <w:r>
        <w:t xml:space="preserve">Economic retrospective voting in American national elections: A micro-analysis</w:t>
      </w:r>
      <w:r>
        <w:t xml:space="preserve">.”</w:t>
      </w:r>
      <w:r>
        <w:t xml:space="preserve"> </w:t>
      </w:r>
      <w:r>
        <w:rPr>
          <w:i/>
          <w:iCs/>
        </w:rPr>
        <w:t xml:space="preserve">American Journal of Political Science</w:t>
      </w:r>
      <w:r>
        <w:t xml:space="preserve"> </w:t>
      </w:r>
      <w:r>
        <w:t xml:space="preserve">22 (May): 426.</w:t>
      </w:r>
      <w:r>
        <w:t xml:space="preserve"> </w:t>
      </w:r>
      <w:hyperlink r:id="rId104">
        <w:r>
          <w:rPr>
            <w:rStyle w:val="Hyperlink"/>
          </w:rPr>
          <w:t xml:space="preserve">https://doi.org/10.2307/2110623</w:t>
        </w:r>
      </w:hyperlink>
      <w:r>
        <w:t xml:space="preserve">.</w:t>
      </w:r>
    </w:p>
    <w:bookmarkEnd w:id="105"/>
    <w:bookmarkStart w:id="107" w:name="ref-Foa2016-lq"/>
    <w:p>
      <w:pPr>
        <w:pStyle w:val="Bibliography"/>
      </w:pPr>
      <w:r>
        <w:t xml:space="preserve">Foa, Roberto Stefan, and Yascha Mounk. 2016.</w:t>
      </w:r>
      <w:r>
        <w:t xml:space="preserve"> </w:t>
      </w:r>
      <w:r>
        <w:t xml:space="preserve">“</w:t>
      </w:r>
      <w:r>
        <w:t xml:space="preserve">The democratic disconnect</w:t>
      </w:r>
      <w:r>
        <w:t xml:space="preserve">.”</w:t>
      </w:r>
      <w:r>
        <w:t xml:space="preserve"> </w:t>
      </w:r>
      <w:r>
        <w:rPr>
          <w:i/>
          <w:iCs/>
        </w:rPr>
        <w:t xml:space="preserve">Journal of Democracy</w:t>
      </w:r>
      <w:r>
        <w:t xml:space="preserve"> </w:t>
      </w:r>
      <w:r>
        <w:t xml:space="preserve">27: 5–17.</w:t>
      </w:r>
      <w:r>
        <w:t xml:space="preserve"> </w:t>
      </w:r>
      <w:hyperlink r:id="rId106">
        <w:r>
          <w:rPr>
            <w:rStyle w:val="Hyperlink"/>
          </w:rPr>
          <w:t xml:space="preserve">https://doi.org/10.1353/jod.2016.0049</w:t>
        </w:r>
      </w:hyperlink>
      <w:r>
        <w:t xml:space="preserve">.</w:t>
      </w:r>
    </w:p>
    <w:bookmarkEnd w:id="107"/>
    <w:bookmarkStart w:id="109" w:name="ref-Graham2020-jr"/>
    <w:p>
      <w:pPr>
        <w:pStyle w:val="Bibliography"/>
      </w:pPr>
      <w:r>
        <w:t xml:space="preserve">Graham, Matthew H, and Milan W Svolik. 2020.</w:t>
      </w:r>
      <w:r>
        <w:t xml:space="preserve"> </w:t>
      </w:r>
      <w:r>
        <w:t xml:space="preserve">“</w:t>
      </w:r>
      <w:r>
        <w:t xml:space="preserve">Democracy in America? Partisanship, polarization, and the robustness of support for democracy in the United States</w:t>
      </w:r>
      <w:r>
        <w:t xml:space="preserve">.”</w:t>
      </w:r>
      <w:r>
        <w:t xml:space="preserve"> </w:t>
      </w:r>
      <w:r>
        <w:rPr>
          <w:i/>
          <w:iCs/>
        </w:rPr>
        <w:t xml:space="preserve">The American Political Science Review</w:t>
      </w:r>
      <w:r>
        <w:t xml:space="preserve"> </w:t>
      </w:r>
      <w:r>
        <w:t xml:space="preserve">114 (May): 392–409.</w:t>
      </w:r>
      <w:r>
        <w:t xml:space="preserve"> </w:t>
      </w:r>
      <w:hyperlink r:id="rId108">
        <w:r>
          <w:rPr>
            <w:rStyle w:val="Hyperlink"/>
          </w:rPr>
          <w:t xml:space="preserve">https://doi.org/10.1017/s0003055420000052</w:t>
        </w:r>
      </w:hyperlink>
      <w:r>
        <w:t xml:space="preserve">.</w:t>
      </w:r>
    </w:p>
    <w:bookmarkEnd w:id="109"/>
    <w:bookmarkStart w:id="111" w:name="ref-Halliez2023-zu"/>
    <w:p>
      <w:pPr>
        <w:pStyle w:val="Bibliography"/>
      </w:pPr>
      <w:r>
        <w:t xml:space="preserve">Halliez, Adrien A, and Judd R Thornton. 2023.</w:t>
      </w:r>
      <w:r>
        <w:t xml:space="preserve"> </w:t>
      </w:r>
      <w:r>
        <w:t xml:space="preserve">“</w:t>
      </w:r>
      <w:r>
        <w:t xml:space="preserve">The winner-loser satisfaction gap in the absence of a clear outcome</w:t>
      </w:r>
      <w:r>
        <w:t xml:space="preserve">.”</w:t>
      </w:r>
      <w:r>
        <w:t xml:space="preserve"> </w:t>
      </w:r>
      <w:r>
        <w:rPr>
          <w:i/>
          <w:iCs/>
        </w:rPr>
        <w:t xml:space="preserve">Party Politics</w:t>
      </w:r>
      <w:r>
        <w:t xml:space="preserve"> </w:t>
      </w:r>
      <w:r>
        <w:t xml:space="preserve">29 (March): 260–69.</w:t>
      </w:r>
      <w:r>
        <w:t xml:space="preserve"> </w:t>
      </w:r>
      <w:hyperlink r:id="rId110">
        <w:r>
          <w:rPr>
            <w:rStyle w:val="Hyperlink"/>
          </w:rPr>
          <w:t xml:space="preserve">https://doi.org/10.1177/13540688211058111</w:t>
        </w:r>
      </w:hyperlink>
      <w:r>
        <w:t xml:space="preserve">.</w:t>
      </w:r>
    </w:p>
    <w:bookmarkEnd w:id="111"/>
    <w:bookmarkStart w:id="113" w:name="ref-Hsiao2020-fz"/>
    <w:p>
      <w:pPr>
        <w:pStyle w:val="Bibliography"/>
      </w:pPr>
      <w:r>
        <w:t xml:space="preserve">Hsiao, Yi-Ching, and Eric Chen-Hua Yu. 2020.</w:t>
      </w:r>
      <w:r>
        <w:t xml:space="preserve"> </w:t>
      </w:r>
      <w:r>
        <w:t xml:space="preserve">“</w:t>
      </w:r>
      <w:r>
        <w:t xml:space="preserve">Polarization perception and support for democracy: The case of Taiwan</w:t>
      </w:r>
      <w:r>
        <w:t xml:space="preserve">.”</w:t>
      </w:r>
      <w:r>
        <w:t xml:space="preserve"> </w:t>
      </w:r>
      <w:r>
        <w:rPr>
          <w:i/>
          <w:iCs/>
        </w:rPr>
        <w:t xml:space="preserve">Journal of Asian and African Studies</w:t>
      </w:r>
      <w:r>
        <w:t xml:space="preserve"> </w:t>
      </w:r>
      <w:r>
        <w:t xml:space="preserve">55 (December): 1143–62.</w:t>
      </w:r>
      <w:r>
        <w:t xml:space="preserve"> </w:t>
      </w:r>
      <w:hyperlink r:id="rId112">
        <w:r>
          <w:rPr>
            <w:rStyle w:val="Hyperlink"/>
          </w:rPr>
          <w:t xml:space="preserve">https://doi.org/10.1177/0021909620911150</w:t>
        </w:r>
      </w:hyperlink>
      <w:r>
        <w:t xml:space="preserve">.</w:t>
      </w:r>
    </w:p>
    <w:bookmarkEnd w:id="113"/>
    <w:bookmarkStart w:id="114" w:name="ref-ABS-W2"/>
    <w:p>
      <w:pPr>
        <w:pStyle w:val="Bibliography"/>
      </w:pPr>
      <w:r>
        <w:t xml:space="preserve">Hu, Fu, Yun-Han Chu, and Asian Barometer Survey. 2008.</w:t>
      </w:r>
      <w:r>
        <w:t xml:space="preserve"> </w:t>
      </w:r>
      <w:r>
        <w:rPr>
          <w:i/>
          <w:iCs/>
        </w:rPr>
        <w:t xml:space="preserve">Asian Barometer Survey of Democracy, Governance and Development, Wave 2 Data</w:t>
      </w:r>
      <w:r>
        <w:t xml:space="preserve">. Taipei: National Taiwan University; Academia Sinica.</w:t>
      </w:r>
    </w:p>
    <w:bookmarkEnd w:id="114"/>
    <w:bookmarkStart w:id="115" w:name="ref-ABS-W3"/>
    <w:p>
      <w:pPr>
        <w:pStyle w:val="Bibliography"/>
      </w:pPr>
      <w:r>
        <w:t xml:space="preserve">Hu, Fu, Yun-Han Chu, and Asian Barometer Survey. 2012.</w:t>
      </w:r>
      <w:r>
        <w:t xml:space="preserve"> </w:t>
      </w:r>
      <w:r>
        <w:rPr>
          <w:i/>
          <w:iCs/>
        </w:rPr>
        <w:t xml:space="preserve">Asian Barometer Survey of Democracy, Governance and Development, Wave 3 Data</w:t>
      </w:r>
      <w:r>
        <w:t xml:space="preserve">. Taipei: National Taiwan University; Academia Sinica.</w:t>
      </w:r>
    </w:p>
    <w:bookmarkEnd w:id="115"/>
    <w:bookmarkStart w:id="116" w:name="ref-ABS-W4"/>
    <w:p>
      <w:pPr>
        <w:pStyle w:val="Bibliography"/>
      </w:pPr>
      <w:r>
        <w:t xml:space="preserve">Hu, Fu, Yun-Han Chu, and Asian Barometer Survey. 2016.</w:t>
      </w:r>
      <w:r>
        <w:t xml:space="preserve"> </w:t>
      </w:r>
      <w:r>
        <w:rPr>
          <w:i/>
          <w:iCs/>
        </w:rPr>
        <w:t xml:space="preserve">Asian Barometer Survey of Democracy, Governance and Development, Wave 4 Data</w:t>
      </w:r>
      <w:r>
        <w:t xml:space="preserve">. Taipei: National Taiwan University; Academia Sinica.</w:t>
      </w:r>
    </w:p>
    <w:bookmarkEnd w:id="116"/>
    <w:bookmarkStart w:id="118" w:name="ref-Inglehart1997-gw"/>
    <w:p>
      <w:pPr>
        <w:pStyle w:val="Bibliography"/>
      </w:pPr>
      <w:r>
        <w:t xml:space="preserve">Inglehart, Ronald. 1997.</w:t>
      </w:r>
      <w:r>
        <w:t xml:space="preserve"> </w:t>
      </w:r>
      <w:r>
        <w:rPr>
          <w:i/>
          <w:iCs/>
        </w:rPr>
        <w:t xml:space="preserve">Modernization and postmodernization: Cultural, economic, and political change in 43 societies</w:t>
      </w:r>
      <w:r>
        <w:t xml:space="preserve">. Princeton University Press.</w:t>
      </w:r>
      <w:r>
        <w:t xml:space="preserve"> </w:t>
      </w:r>
      <w:hyperlink r:id="rId117">
        <w:r>
          <w:rPr>
            <w:rStyle w:val="Hyperlink"/>
          </w:rPr>
          <w:t xml:space="preserve">https://doi.org/10.1515/9780691214429</w:t>
        </w:r>
      </w:hyperlink>
      <w:r>
        <w:t xml:space="preserve">.</w:t>
      </w:r>
    </w:p>
    <w:bookmarkEnd w:id="118"/>
    <w:bookmarkStart w:id="120" w:name="ref-Kahneman1979-af"/>
    <w:p>
      <w:pPr>
        <w:pStyle w:val="Bibliography"/>
      </w:pPr>
      <w:r>
        <w:t xml:space="preserve">Kahneman, Daniel, and Amos Tversky. 1979.</w:t>
      </w:r>
      <w:r>
        <w:t xml:space="preserve"> </w:t>
      </w:r>
      <w:r>
        <w:t xml:space="preserve">“</w:t>
      </w:r>
      <w:r>
        <w:t xml:space="preserve">Prospect theory: An analysis of decision under risk</w:t>
      </w:r>
      <w:r>
        <w:t xml:space="preserve">.”</w:t>
      </w:r>
      <w:r>
        <w:t xml:space="preserve"> </w:t>
      </w:r>
      <w:r>
        <w:rPr>
          <w:i/>
          <w:iCs/>
        </w:rPr>
        <w:t xml:space="preserve">Econometrica: Journal of the Econometric Society</w:t>
      </w:r>
      <w:r>
        <w:t xml:space="preserve"> </w:t>
      </w:r>
      <w:r>
        <w:t xml:space="preserve">47 (March): 263–92.</w:t>
      </w:r>
      <w:r>
        <w:t xml:space="preserve"> </w:t>
      </w:r>
      <w:hyperlink r:id="rId119">
        <w:r>
          <w:rPr>
            <w:rStyle w:val="Hyperlink"/>
          </w:rPr>
          <w:t xml:space="preserve">https://doi.org/10.2307/1914185</w:t>
        </w:r>
      </w:hyperlink>
      <w:r>
        <w:t xml:space="preserve">.</w:t>
      </w:r>
    </w:p>
    <w:bookmarkEnd w:id="120"/>
    <w:bookmarkStart w:id="122" w:name="ref-Kuhonta2014-qk"/>
    <w:p>
      <w:pPr>
        <w:pStyle w:val="Bibliography"/>
      </w:pPr>
      <w:r>
        <w:t xml:space="preserve">Kuhonta, Erik M, and Aim Sinpeng. 2014.</w:t>
      </w:r>
      <w:r>
        <w:t xml:space="preserve"> </w:t>
      </w:r>
      <w:r>
        <w:t xml:space="preserve">“</w:t>
      </w:r>
      <w:r>
        <w:t xml:space="preserve">Democratic regression in Thailand: The ambivalent role of civil society and political institutions</w:t>
      </w:r>
      <w:r>
        <w:t xml:space="preserve">.”</w:t>
      </w:r>
      <w:r>
        <w:t xml:space="preserve"> </w:t>
      </w:r>
      <w:r>
        <w:rPr>
          <w:i/>
          <w:iCs/>
        </w:rPr>
        <w:t xml:space="preserve">Contemporary Southeast Asia</w:t>
      </w:r>
      <w:r>
        <w:t xml:space="preserve"> </w:t>
      </w:r>
      <w:r>
        <w:t xml:space="preserve">36 (December): 333–55.</w:t>
      </w:r>
      <w:r>
        <w:t xml:space="preserve"> </w:t>
      </w:r>
      <w:hyperlink r:id="rId121">
        <w:r>
          <w:rPr>
            <w:rStyle w:val="Hyperlink"/>
          </w:rPr>
          <w:t xml:space="preserve">https://doi.org/10.1355/cs36-3a</w:t>
        </w:r>
      </w:hyperlink>
      <w:r>
        <w:t xml:space="preserve">.</w:t>
      </w:r>
    </w:p>
    <w:bookmarkEnd w:id="122"/>
    <w:bookmarkStart w:id="124" w:name="ref-Kunda1990-uw"/>
    <w:p>
      <w:pPr>
        <w:pStyle w:val="Bibliography"/>
      </w:pPr>
      <w:r>
        <w:t xml:space="preserve">Kunda, Ziva. 1990.</w:t>
      </w:r>
      <w:r>
        <w:t xml:space="preserve"> </w:t>
      </w:r>
      <w:r>
        <w:t xml:space="preserve">“</w:t>
      </w:r>
      <w:r>
        <w:t xml:space="preserve">The case for motivated reasoning</w:t>
      </w:r>
      <w:r>
        <w:t xml:space="preserve">.”</w:t>
      </w:r>
      <w:r>
        <w:t xml:space="preserve"> </w:t>
      </w:r>
      <w:r>
        <w:rPr>
          <w:i/>
          <w:iCs/>
        </w:rPr>
        <w:t xml:space="preserve">Psychological Bulletin</w:t>
      </w:r>
      <w:r>
        <w:t xml:space="preserve"> </w:t>
      </w:r>
      <w:r>
        <w:t xml:space="preserve">108: 480–98.</w:t>
      </w:r>
      <w:r>
        <w:t xml:space="preserve"> </w:t>
      </w:r>
      <w:hyperlink r:id="rId123">
        <w:r>
          <w:rPr>
            <w:rStyle w:val="Hyperlink"/>
          </w:rPr>
          <w:t xml:space="preserve">https://doi.org/10.1037/0033-2909.108.3.480</w:t>
        </w:r>
      </w:hyperlink>
      <w:r>
        <w:t xml:space="preserve">.</w:t>
      </w:r>
    </w:p>
    <w:bookmarkEnd w:id="124"/>
    <w:bookmarkStart w:id="125" w:name="ref-Levitsky2018-dd"/>
    <w:p>
      <w:pPr>
        <w:pStyle w:val="Bibliography"/>
      </w:pPr>
      <w:r>
        <w:t xml:space="preserve">Levitsky, Steven, and Daniel Ziblatt. 2018.</w:t>
      </w:r>
      <w:r>
        <w:t xml:space="preserve"> </w:t>
      </w:r>
      <w:r>
        <w:rPr>
          <w:i/>
          <w:iCs/>
        </w:rPr>
        <w:t xml:space="preserve">How democracies die</w:t>
      </w:r>
      <w:r>
        <w:t xml:space="preserve">. Viking.</w:t>
      </w:r>
    </w:p>
    <w:bookmarkEnd w:id="125"/>
    <w:bookmarkStart w:id="127" w:name="ref-Linz1996-qs"/>
    <w:p>
      <w:pPr>
        <w:pStyle w:val="Bibliography"/>
      </w:pPr>
      <w:r>
        <w:t xml:space="preserve">Linz, Juan J, and Alfred C Stepan. 1996.</w:t>
      </w:r>
      <w:r>
        <w:t xml:space="preserve"> </w:t>
      </w:r>
      <w:r>
        <w:t xml:space="preserve">“</w:t>
      </w:r>
      <w:r>
        <w:t xml:space="preserve">Toward consolidated democracies</w:t>
      </w:r>
      <w:r>
        <w:t xml:space="preserve">.”</w:t>
      </w:r>
      <w:r>
        <w:t xml:space="preserve"> </w:t>
      </w:r>
      <w:r>
        <w:rPr>
          <w:i/>
          <w:iCs/>
        </w:rPr>
        <w:t xml:space="preserve">Journal of Democracy</w:t>
      </w:r>
      <w:r>
        <w:t xml:space="preserve"> </w:t>
      </w:r>
      <w:r>
        <w:t xml:space="preserve">7: 14–33.</w:t>
      </w:r>
      <w:r>
        <w:t xml:space="preserve"> </w:t>
      </w:r>
      <w:hyperlink r:id="rId126">
        <w:r>
          <w:rPr>
            <w:rStyle w:val="Hyperlink"/>
          </w:rPr>
          <w:t xml:space="preserve">https://doi.org/10.1353/jod.1996.0031</w:t>
        </w:r>
      </w:hyperlink>
      <w:r>
        <w:t xml:space="preserve">.</w:t>
      </w:r>
    </w:p>
    <w:bookmarkEnd w:id="127"/>
    <w:bookmarkStart w:id="129" w:name="ref-Luhrmann2019-ow"/>
    <w:p>
      <w:pPr>
        <w:pStyle w:val="Bibliography"/>
      </w:pPr>
      <w:r>
        <w:t xml:space="preserve">Lührmann, Anna, and Staffan I Lindberg. 2019.</w:t>
      </w:r>
      <w:r>
        <w:t xml:space="preserve"> </w:t>
      </w:r>
      <w:r>
        <w:t xml:space="preserve">“</w:t>
      </w:r>
      <w:r>
        <w:t xml:space="preserve">A third wave of autocratization is here: what is new about it?</w:t>
      </w:r>
      <w:r>
        <w:t xml:space="preserve">”</w:t>
      </w:r>
      <w:r>
        <w:t xml:space="preserve"> </w:t>
      </w:r>
      <w:r>
        <w:rPr>
          <w:i/>
          <w:iCs/>
        </w:rPr>
        <w:t xml:space="preserve">Democratization</w:t>
      </w:r>
      <w:r>
        <w:t xml:space="preserve"> </w:t>
      </w:r>
      <w:r>
        <w:t xml:space="preserve">26 (October): 1095–113.</w:t>
      </w:r>
      <w:r>
        <w:t xml:space="preserve"> </w:t>
      </w:r>
      <w:hyperlink r:id="rId128">
        <w:r>
          <w:rPr>
            <w:rStyle w:val="Hyperlink"/>
          </w:rPr>
          <w:t xml:space="preserve">https://doi.org/10.1080/13510347.2019.1582029</w:t>
        </w:r>
      </w:hyperlink>
      <w:r>
        <w:t xml:space="preserve">.</w:t>
      </w:r>
    </w:p>
    <w:bookmarkEnd w:id="129"/>
    <w:bookmarkStart w:id="131" w:name="ref-Mauk2020-bu"/>
    <w:p>
      <w:pPr>
        <w:pStyle w:val="Bibliography"/>
      </w:pPr>
      <w:r>
        <w:t xml:space="preserve">Mauk, Marlene. 2020.</w:t>
      </w:r>
      <w:r>
        <w:t xml:space="preserve"> </w:t>
      </w:r>
      <w:r>
        <w:rPr>
          <w:i/>
          <w:iCs/>
        </w:rPr>
        <w:t xml:space="preserve">Citizen support for democratic and autocratic regimes</w:t>
      </w:r>
      <w:r>
        <w:t xml:space="preserve">. Comparative Politics. Oxford University Press.</w:t>
      </w:r>
      <w:r>
        <w:t xml:space="preserve"> </w:t>
      </w:r>
      <w:hyperlink r:id="rId130">
        <w:r>
          <w:rPr>
            <w:rStyle w:val="Hyperlink"/>
          </w:rPr>
          <w:t xml:space="preserve">https://doi.org/10.1093/oso/9780198854852.001.0001</w:t>
        </w:r>
      </w:hyperlink>
      <w:r>
        <w:t xml:space="preserve">.</w:t>
      </w:r>
    </w:p>
    <w:bookmarkEnd w:id="131"/>
    <w:bookmarkStart w:id="133" w:name="ref-McCargo2019-rx"/>
    <w:p>
      <w:pPr>
        <w:pStyle w:val="Bibliography"/>
      </w:pPr>
      <w:r>
        <w:t xml:space="preserve">McCargo, Duncan. 2019.</w:t>
      </w:r>
      <w:r>
        <w:t xml:space="preserve"> </w:t>
      </w:r>
      <w:r>
        <w:t xml:space="preserve">“</w:t>
      </w:r>
      <w:r>
        <w:t xml:space="preserve">Southeast Asia’s troubling elections: Democratic demolition in Thailand</w:t>
      </w:r>
      <w:r>
        <w:t xml:space="preserve">.”</w:t>
      </w:r>
      <w:r>
        <w:t xml:space="preserve"> </w:t>
      </w:r>
      <w:r>
        <w:rPr>
          <w:i/>
          <w:iCs/>
        </w:rPr>
        <w:t xml:space="preserve">Journal of Democracy</w:t>
      </w:r>
      <w:r>
        <w:t xml:space="preserve"> </w:t>
      </w:r>
      <w:r>
        <w:t xml:space="preserve">30: 119–33.</w:t>
      </w:r>
      <w:r>
        <w:t xml:space="preserve"> </w:t>
      </w:r>
      <w:hyperlink r:id="rId132">
        <w:r>
          <w:rPr>
            <w:rStyle w:val="Hyperlink"/>
          </w:rPr>
          <w:t xml:space="preserve">https://doi.org/10.1353/jod.2019.0056</w:t>
        </w:r>
      </w:hyperlink>
      <w:r>
        <w:t xml:space="preserve">.</w:t>
      </w:r>
    </w:p>
    <w:bookmarkEnd w:id="133"/>
    <w:bookmarkStart w:id="135" w:name="ref-Mietzner2021-jr"/>
    <w:p>
      <w:pPr>
        <w:pStyle w:val="Bibliography"/>
      </w:pPr>
      <w:r>
        <w:t xml:space="preserve">Mietzner, Marcus. 2021.</w:t>
      </w:r>
      <w:r>
        <w:t xml:space="preserve"> </w:t>
      </w:r>
      <w:r>
        <w:rPr>
          <w:i/>
          <w:iCs/>
        </w:rPr>
        <w:t xml:space="preserve">Democratic deconsolidation in southeast Asia: Democratization and its obstacles in southeast Asia</w:t>
      </w:r>
      <w:r>
        <w:t xml:space="preserve">. Edited by Edward Aspinall and Meredith L Weiss. Elements in Politics and Society in Southeast Asia. Cambridge University Press.</w:t>
      </w:r>
      <w:r>
        <w:t xml:space="preserve"> </w:t>
      </w:r>
      <w:hyperlink r:id="rId134">
        <w:r>
          <w:rPr>
            <w:rStyle w:val="Hyperlink"/>
          </w:rPr>
          <w:t xml:space="preserve">https://doi.org/10.1017/9781108677080</w:t>
        </w:r>
      </w:hyperlink>
      <w:r>
        <w:t xml:space="preserve">.</w:t>
      </w:r>
    </w:p>
    <w:bookmarkEnd w:id="135"/>
    <w:bookmarkStart w:id="137" w:name="ref-Monsivais-Carrillo2020-ck"/>
    <w:p>
      <w:pPr>
        <w:pStyle w:val="Bibliography"/>
      </w:pPr>
      <w:r>
        <w:t xml:space="preserve">Monsiváis-Carrillo, Alejandro. 2020.</w:t>
      </w:r>
      <w:r>
        <w:t xml:space="preserve"> </w:t>
      </w:r>
      <w:r>
        <w:t xml:space="preserve">“</w:t>
      </w:r>
      <w:r>
        <w:t xml:space="preserve">Permissive winners? The winner–loser gap in the perception of freedoms</w:t>
      </w:r>
      <w:r>
        <w:t xml:space="preserve">.”</w:t>
      </w:r>
      <w:r>
        <w:t xml:space="preserve"> </w:t>
      </w:r>
      <w:r>
        <w:rPr>
          <w:i/>
          <w:iCs/>
        </w:rPr>
        <w:t xml:space="preserve">Political Studies</w:t>
      </w:r>
      <w:r>
        <w:t xml:space="preserve"> </w:t>
      </w:r>
      <w:r>
        <w:t xml:space="preserve">70: 173–94. https://doi.org/</w:t>
      </w:r>
      <w:hyperlink r:id="rId136">
        <w:r>
          <w:rPr>
            <w:rStyle w:val="Hyperlink"/>
          </w:rPr>
          <w:t xml:space="preserve">10.1177/0032321720952230https://doi.org/10.1177/0032321720952230the</w:t>
        </w:r>
      </w:hyperlink>
      <w:r>
        <w:t xml:space="preserve">.</w:t>
      </w:r>
    </w:p>
    <w:bookmarkEnd w:id="137"/>
    <w:bookmarkStart w:id="139" w:name="ref-Nadeau1993-vo"/>
    <w:p>
      <w:pPr>
        <w:pStyle w:val="Bibliography"/>
      </w:pPr>
      <w:r>
        <w:t xml:space="preserve">Nadeau, Richard, and André Blais. 1993.</w:t>
      </w:r>
      <w:r>
        <w:t xml:space="preserve"> </w:t>
      </w:r>
      <w:r>
        <w:t xml:space="preserve">“</w:t>
      </w:r>
      <w:r>
        <w:t xml:space="preserve">Accepting the election outcome: The effect of participation on losers’ consent</w:t>
      </w:r>
      <w:r>
        <w:t xml:space="preserve">.”</w:t>
      </w:r>
      <w:r>
        <w:t xml:space="preserve"> </w:t>
      </w:r>
      <w:r>
        <w:rPr>
          <w:i/>
          <w:iCs/>
        </w:rPr>
        <w:t xml:space="preserve">British Journal of Political Science</w:t>
      </w:r>
      <w:r>
        <w:t xml:space="preserve"> </w:t>
      </w:r>
      <w:r>
        <w:t xml:space="preserve">23 (October): 553–63.</w:t>
      </w:r>
      <w:r>
        <w:t xml:space="preserve"> </w:t>
      </w:r>
      <w:hyperlink r:id="rId138">
        <w:r>
          <w:rPr>
            <w:rStyle w:val="Hyperlink"/>
          </w:rPr>
          <w:t xml:space="preserve">https://doi.org/10.1017/s0007123400006736</w:t>
        </w:r>
      </w:hyperlink>
      <w:r>
        <w:t xml:space="preserve">.</w:t>
      </w:r>
    </w:p>
    <w:bookmarkEnd w:id="139"/>
    <w:bookmarkStart w:id="141" w:name="ref-Norris2011-qz"/>
    <w:p>
      <w:pPr>
        <w:pStyle w:val="Bibliography"/>
      </w:pPr>
      <w:r>
        <w:t xml:space="preserve">Norris, Pippa. 2011.</w:t>
      </w:r>
      <w:r>
        <w:t xml:space="preserve"> </w:t>
      </w:r>
      <w:r>
        <w:rPr>
          <w:i/>
          <w:iCs/>
        </w:rPr>
        <w:t xml:space="preserve">Democratic deficit: Critical citizens revisited</w:t>
      </w:r>
      <w:r>
        <w:t xml:space="preserve">. Cambridge University Press.</w:t>
      </w:r>
      <w:r>
        <w:t xml:space="preserve"> </w:t>
      </w:r>
      <w:hyperlink r:id="rId140">
        <w:r>
          <w:rPr>
            <w:rStyle w:val="Hyperlink"/>
          </w:rPr>
          <w:t xml:space="preserve">https://doi.org/10.1017/cbo9780511973383</w:t>
        </w:r>
      </w:hyperlink>
      <w:r>
        <w:t xml:space="preserve">.</w:t>
      </w:r>
    </w:p>
    <w:bookmarkEnd w:id="141"/>
    <w:bookmarkStart w:id="143" w:name="ref-Norris2012-er"/>
    <w:p>
      <w:pPr>
        <w:pStyle w:val="Bibliography"/>
      </w:pPr>
      <w:r>
        <w:t xml:space="preserve">Norris, Pippa. 2012.</w:t>
      </w:r>
      <w:r>
        <w:t xml:space="preserve"> </w:t>
      </w:r>
      <w:r>
        <w:rPr>
          <w:i/>
          <w:iCs/>
        </w:rPr>
        <w:t xml:space="preserve">Making democratic governance work: How regimes shape prosperity, welfare, and peace</w:t>
      </w:r>
      <w:r>
        <w:t xml:space="preserve">. Cambridge University Press.</w:t>
      </w:r>
      <w:r>
        <w:t xml:space="preserve"> </w:t>
      </w:r>
      <w:hyperlink r:id="rId142">
        <w:r>
          <w:rPr>
            <w:rStyle w:val="Hyperlink"/>
          </w:rPr>
          <w:t xml:space="preserve">https://doi.org/10.1017/cbo9781139061902</w:t>
        </w:r>
      </w:hyperlink>
      <w:r>
        <w:t xml:space="preserve">.</w:t>
      </w:r>
    </w:p>
    <w:bookmarkEnd w:id="143"/>
    <w:bookmarkStart w:id="144" w:name="ref-Norris2017-mk"/>
    <w:p>
      <w:pPr>
        <w:pStyle w:val="Bibliography"/>
      </w:pPr>
      <w:r>
        <w:t xml:space="preserve">Norris, Pippa. 2017.</w:t>
      </w:r>
      <w:r>
        <w:t xml:space="preserve"> </w:t>
      </w:r>
      <w:r>
        <w:t xml:space="preserve">“</w:t>
      </w:r>
      <w:r>
        <w:t xml:space="preserve">Is western democracy backsliding? Diagnosing the risks</w:t>
      </w:r>
      <w:r>
        <w:t xml:space="preserve">.”</w:t>
      </w:r>
      <w:r>
        <w:t xml:space="preserve"> </w:t>
      </w:r>
      <w:r>
        <w:rPr>
          <w:i/>
          <w:iCs/>
        </w:rPr>
        <w:t xml:space="preserve">Journal of Democracy</w:t>
      </w:r>
      <w:r>
        <w:t xml:space="preserve">.</w:t>
      </w:r>
    </w:p>
    <w:bookmarkEnd w:id="144"/>
    <w:bookmarkStart w:id="146" w:name="ref-Ockey2004-ek"/>
    <w:p>
      <w:pPr>
        <w:pStyle w:val="Bibliography"/>
      </w:pPr>
      <w:r>
        <w:t xml:space="preserve">Ockey, James. 2004.</w:t>
      </w:r>
      <w:r>
        <w:t xml:space="preserve"> </w:t>
      </w:r>
      <w:r>
        <w:rPr>
          <w:i/>
          <w:iCs/>
        </w:rPr>
        <w:t xml:space="preserve">Making democracy: Leadership, class, gender, and political participation in Thailand</w:t>
      </w:r>
      <w:r>
        <w:t xml:space="preserve">. University of Hawai’i Press.</w:t>
      </w:r>
      <w:r>
        <w:t xml:space="preserve"> </w:t>
      </w:r>
      <w:hyperlink r:id="rId145">
        <w:r>
          <w:rPr>
            <w:rStyle w:val="Hyperlink"/>
          </w:rPr>
          <w:t xml:space="preserve">https://doi.org/10.1515/9780824842659</w:t>
        </w:r>
      </w:hyperlink>
      <w:r>
        <w:t xml:space="preserve">.</w:t>
      </w:r>
    </w:p>
    <w:bookmarkEnd w:id="146"/>
    <w:bookmarkStart w:id="148" w:name="ref-Pankaew2022-pr"/>
    <w:p>
      <w:pPr>
        <w:pStyle w:val="Bibliography"/>
      </w:pPr>
      <w:r>
        <w:t xml:space="preserve">Pankaew, Attasit, Stithorn Thananithichot, and Wichuda Satidporn. 2022.</w:t>
      </w:r>
      <w:r>
        <w:t xml:space="preserve"> </w:t>
      </w:r>
      <w:r>
        <w:t xml:space="preserve">“</w:t>
      </w:r>
      <w:r>
        <w:t xml:space="preserve">Determinants of political participation in Thailand: An analysis of survey data (2002–2014)</w:t>
      </w:r>
      <w:r>
        <w:t xml:space="preserve">.”</w:t>
      </w:r>
      <w:r>
        <w:t xml:space="preserve"> </w:t>
      </w:r>
      <w:r>
        <w:rPr>
          <w:i/>
          <w:iCs/>
        </w:rPr>
        <w:t xml:space="preserve">Asian Politics &amp; Policy</w:t>
      </w:r>
      <w:r>
        <w:t xml:space="preserve"> </w:t>
      </w:r>
      <w:r>
        <w:t xml:space="preserve">14 (January): 92–113.</w:t>
      </w:r>
      <w:r>
        <w:t xml:space="preserve"> </w:t>
      </w:r>
      <w:hyperlink r:id="rId147">
        <w:r>
          <w:rPr>
            <w:rStyle w:val="Hyperlink"/>
          </w:rPr>
          <w:t xml:space="preserve">https://doi.org/10.1111/aspp.12625</w:t>
        </w:r>
      </w:hyperlink>
      <w:r>
        <w:t xml:space="preserve">.</w:t>
      </w:r>
    </w:p>
    <w:bookmarkEnd w:id="148"/>
    <w:bookmarkStart w:id="150" w:name="ref-Rich2025-sf"/>
    <w:p>
      <w:pPr>
        <w:pStyle w:val="Bibliography"/>
      </w:pPr>
      <w:r>
        <w:t xml:space="preserve">Rich, Timothy S. 2025.</w:t>
      </w:r>
      <w:r>
        <w:t xml:space="preserve"> </w:t>
      </w:r>
      <w:r>
        <w:t xml:space="preserve">“</w:t>
      </w:r>
      <w:r>
        <w:t xml:space="preserve">When the tables turn: Parties in power, losers’ consent, and institutional trust in Taiwan</w:t>
      </w:r>
      <w:r>
        <w:t xml:space="preserve">.”</w:t>
      </w:r>
      <w:r>
        <w:t xml:space="preserve"> </w:t>
      </w:r>
      <w:r>
        <w:rPr>
          <w:i/>
          <w:iCs/>
        </w:rPr>
        <w:t xml:space="preserve">Asian Journal of Comparative Politics</w:t>
      </w:r>
      <w:r>
        <w:t xml:space="preserve"> </w:t>
      </w:r>
      <w:r>
        <w:t xml:space="preserve">10: 55–74.</w:t>
      </w:r>
      <w:r>
        <w:t xml:space="preserve"> </w:t>
      </w:r>
      <w:hyperlink r:id="rId149">
        <w:r>
          <w:rPr>
            <w:rStyle w:val="Hyperlink"/>
          </w:rPr>
          <w:t xml:space="preserve">https://doi.org/10.1177/20578911231225501</w:t>
        </w:r>
      </w:hyperlink>
      <w:r>
        <w:t xml:space="preserve">.</w:t>
      </w:r>
    </w:p>
    <w:bookmarkEnd w:id="150"/>
    <w:bookmarkStart w:id="152" w:name="ref-Ricks2019-hs"/>
    <w:p>
      <w:pPr>
        <w:pStyle w:val="Bibliography"/>
      </w:pPr>
      <w:r>
        <w:t xml:space="preserve">Ricks, Jacob I. 2019.</w:t>
      </w:r>
      <w:r>
        <w:t xml:space="preserve"> </w:t>
      </w:r>
      <w:r>
        <w:t xml:space="preserve">“</w:t>
      </w:r>
      <w:r>
        <w:t xml:space="preserve">Thailand’s 2019 vote: The general’s election</w:t>
      </w:r>
      <w:r>
        <w:t xml:space="preserve">.”</w:t>
      </w:r>
      <w:r>
        <w:t xml:space="preserve"> </w:t>
      </w:r>
      <w:r>
        <w:rPr>
          <w:i/>
          <w:iCs/>
        </w:rPr>
        <w:t xml:space="preserve">Pacific Affairs</w:t>
      </w:r>
      <w:r>
        <w:t xml:space="preserve"> </w:t>
      </w:r>
      <w:r>
        <w:t xml:space="preserve">92 (September): 443–57.</w:t>
      </w:r>
      <w:r>
        <w:t xml:space="preserve"> </w:t>
      </w:r>
      <w:hyperlink r:id="rId151">
        <w:r>
          <w:rPr>
            <w:rStyle w:val="Hyperlink"/>
          </w:rPr>
          <w:t xml:space="preserve">https://doi.org/10.5509/2019923443</w:t>
        </w:r>
      </w:hyperlink>
      <w:r>
        <w:t xml:space="preserve">.</w:t>
      </w:r>
    </w:p>
    <w:bookmarkEnd w:id="152"/>
    <w:bookmarkStart w:id="154" w:name="ref-Ricks2025-il"/>
    <w:p>
      <w:pPr>
        <w:pStyle w:val="Bibliography"/>
      </w:pPr>
      <w:r>
        <w:t xml:space="preserve">Ricks, Jacob I, and Allen Hicken. 2025.</w:t>
      </w:r>
      <w:r>
        <w:t xml:space="preserve"> </w:t>
      </w:r>
      <w:r>
        <w:t xml:space="preserve">“</w:t>
      </w:r>
      <w:r>
        <w:t xml:space="preserve">Voting for winners and losers in a hybrid regime: How Thailand’s 2023 election shaped voter opinion</w:t>
      </w:r>
      <w:r>
        <w:t xml:space="preserve">.”</w:t>
      </w:r>
      <w:r>
        <w:t xml:space="preserve"> </w:t>
      </w:r>
      <w:r>
        <w:rPr>
          <w:i/>
          <w:iCs/>
        </w:rPr>
        <w:t xml:space="preserve">Journal of Current Southeast Asian Affairs</w:t>
      </w:r>
      <w:r>
        <w:t xml:space="preserve"> </w:t>
      </w:r>
      <w:r>
        <w:t xml:space="preserve">44 (August): 245–69.</w:t>
      </w:r>
      <w:r>
        <w:t xml:space="preserve"> </w:t>
      </w:r>
      <w:hyperlink r:id="rId153">
        <w:r>
          <w:rPr>
            <w:rStyle w:val="Hyperlink"/>
          </w:rPr>
          <w:t xml:space="preserve">https://doi.org/10.1177/18681034251341319</w:t>
        </w:r>
      </w:hyperlink>
      <w:r>
        <w:t xml:space="preserve">.</w:t>
      </w:r>
    </w:p>
    <w:bookmarkEnd w:id="154"/>
    <w:bookmarkStart w:id="156" w:name="ref-Sadowski2024-wq"/>
    <w:p>
      <w:pPr>
        <w:pStyle w:val="Bibliography"/>
      </w:pPr>
      <w:r>
        <w:t xml:space="preserve">Sadowski, Ireneusz. 2024.</w:t>
      </w:r>
      <w:r>
        <w:t xml:space="preserve"> </w:t>
      </w:r>
      <w:r>
        <w:t xml:space="preserve">“</w:t>
      </w:r>
      <w:r>
        <w:t xml:space="preserve">Democratic backsliding against a rising wave of support for democracy? Explaining trends in attitudes toward democracy in Poland (1995–2021)</w:t>
      </w:r>
      <w:r>
        <w:t xml:space="preserve">.”</w:t>
      </w:r>
      <w:r>
        <w:t xml:space="preserve"> </w:t>
      </w:r>
      <w:r>
        <w:rPr>
          <w:i/>
          <w:iCs/>
        </w:rPr>
        <w:t xml:space="preserve">International Sociology: Journal of the International Sociological Association</w:t>
      </w:r>
      <w:r>
        <w:t xml:space="preserve"> </w:t>
      </w:r>
      <w:r>
        <w:t xml:space="preserve">39 (November): 698–720.</w:t>
      </w:r>
      <w:r>
        <w:t xml:space="preserve"> </w:t>
      </w:r>
      <w:hyperlink r:id="rId155">
        <w:r>
          <w:rPr>
            <w:rStyle w:val="Hyperlink"/>
          </w:rPr>
          <w:t xml:space="preserve">https://doi.org/10.1177/02685809241284284</w:t>
        </w:r>
      </w:hyperlink>
      <w:r>
        <w:t xml:space="preserve">.</w:t>
      </w:r>
    </w:p>
    <w:bookmarkEnd w:id="156"/>
    <w:bookmarkStart w:id="158" w:name="ref-Schedler1998-dl"/>
    <w:p>
      <w:pPr>
        <w:pStyle w:val="Bibliography"/>
      </w:pPr>
      <w:r>
        <w:t xml:space="preserve">Schedler, Andreas. 1998.</w:t>
      </w:r>
      <w:r>
        <w:t xml:space="preserve"> </w:t>
      </w:r>
      <w:r>
        <w:t xml:space="preserve">“</w:t>
      </w:r>
      <w:r>
        <w:t xml:space="preserve">What is democratic consolidation?</w:t>
      </w:r>
      <w:r>
        <w:t xml:space="preserve">”</w:t>
      </w:r>
      <w:r>
        <w:t xml:space="preserve"> </w:t>
      </w:r>
      <w:r>
        <w:rPr>
          <w:i/>
          <w:iCs/>
        </w:rPr>
        <w:t xml:space="preserve">Journal of Democracy</w:t>
      </w:r>
      <w:r>
        <w:t xml:space="preserve"> </w:t>
      </w:r>
      <w:r>
        <w:t xml:space="preserve">9: 91–107.</w:t>
      </w:r>
      <w:r>
        <w:t xml:space="preserve"> </w:t>
      </w:r>
      <w:hyperlink r:id="rId157">
        <w:r>
          <w:rPr>
            <w:rStyle w:val="Hyperlink"/>
          </w:rPr>
          <w:t xml:space="preserve">https://doi.org/10.1353/jod.1998.0030</w:t>
        </w:r>
      </w:hyperlink>
      <w:r>
        <w:t xml:space="preserve">.</w:t>
      </w:r>
    </w:p>
    <w:bookmarkEnd w:id="158"/>
    <w:bookmarkStart w:id="160" w:name="ref-Schumpeter2013-em"/>
    <w:p>
      <w:pPr>
        <w:pStyle w:val="Bibliography"/>
      </w:pPr>
      <w:r>
        <w:t xml:space="preserve">Schumpeter, Joseph A. 2013.</w:t>
      </w:r>
      <w:r>
        <w:t xml:space="preserve"> </w:t>
      </w:r>
      <w:r>
        <w:rPr>
          <w:i/>
          <w:iCs/>
        </w:rPr>
        <w:t xml:space="preserve">Capitalism, socialism and democracy</w:t>
      </w:r>
      <w:r>
        <w:t xml:space="preserve">. 3rd ed. Edited by Richard Swedberg. Routledge.</w:t>
      </w:r>
      <w:r>
        <w:t xml:space="preserve"> </w:t>
      </w:r>
      <w:hyperlink r:id="rId159">
        <w:r>
          <w:rPr>
            <w:rStyle w:val="Hyperlink"/>
          </w:rPr>
          <w:t xml:space="preserve">https://doi.org/10.4324/9780203202050</w:t>
        </w:r>
      </w:hyperlink>
      <w:r>
        <w:t xml:space="preserve">.</w:t>
      </w:r>
    </w:p>
    <w:bookmarkEnd w:id="160"/>
    <w:bookmarkStart w:id="162"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r>
        <w:t xml:space="preserve"> </w:t>
      </w:r>
      <w:hyperlink r:id="rId161">
        <w:r>
          <w:rPr>
            <w:rStyle w:val="Hyperlink"/>
          </w:rPr>
          <w:t xml:space="preserve">https://doi.org/10.1017/cbo9781139084086</w:t>
        </w:r>
      </w:hyperlink>
      <w:r>
        <w:t xml:space="preserve">.</w:t>
      </w:r>
    </w:p>
    <w:bookmarkEnd w:id="162"/>
    <w:bookmarkStart w:id="164" w:name="ref-Shin2018-mq"/>
    <w:p>
      <w:pPr>
        <w:pStyle w:val="Bibliography"/>
      </w:pPr>
      <w:r>
        <w:t xml:space="preserve">Shin, Doh Chull, and Hannah June Kim. 2018.</w:t>
      </w:r>
      <w:r>
        <w:t xml:space="preserve"> </w:t>
      </w:r>
      <w:r>
        <w:t xml:space="preserve">“</w:t>
      </w:r>
      <w:r>
        <w:t xml:space="preserve">How global citizenries think about democracy: An evaluation and synthesis of recent public opinion research</w:t>
      </w:r>
      <w:r>
        <w:t xml:space="preserve">.”</w:t>
      </w:r>
      <w:r>
        <w:t xml:space="preserve"> </w:t>
      </w:r>
      <w:r>
        <w:rPr>
          <w:i/>
          <w:iCs/>
        </w:rPr>
        <w:t xml:space="preserve">Japanese Journal of Political Science</w:t>
      </w:r>
      <w:r>
        <w:t xml:space="preserve"> </w:t>
      </w:r>
      <w:r>
        <w:t xml:space="preserve">19 (June): 222–49.</w:t>
      </w:r>
      <w:r>
        <w:t xml:space="preserve"> </w:t>
      </w:r>
      <w:hyperlink r:id="rId163">
        <w:r>
          <w:rPr>
            <w:rStyle w:val="Hyperlink"/>
          </w:rPr>
          <w:t xml:space="preserve">https://doi.org/10.1017/s1468109918000063</w:t>
        </w:r>
      </w:hyperlink>
      <w:r>
        <w:t xml:space="preserve">.</w:t>
      </w:r>
    </w:p>
    <w:bookmarkEnd w:id="164"/>
    <w:bookmarkStart w:id="166" w:name="ref-Singh2012-hj"/>
    <w:p>
      <w:pPr>
        <w:pStyle w:val="Bibliography"/>
      </w:pPr>
      <w:r>
        <w:t xml:space="preserve">Singh, Shane, Ekrem Karakoç, and André Blais. 2012.</w:t>
      </w:r>
      <w:r>
        <w:t xml:space="preserve"> </w:t>
      </w:r>
      <w:r>
        <w:t xml:space="preserve">“</w:t>
      </w:r>
      <w:r>
        <w:t xml:space="preserve">Differentiating winners: How elections affect satisfaction with democracy</w:t>
      </w:r>
      <w:r>
        <w:t xml:space="preserve">.”</w:t>
      </w:r>
      <w:r>
        <w:t xml:space="preserve"> </w:t>
      </w:r>
      <w:r>
        <w:rPr>
          <w:i/>
          <w:iCs/>
        </w:rPr>
        <w:t xml:space="preserve">Electoral Studies</w:t>
      </w:r>
      <w:r>
        <w:t xml:space="preserve"> </w:t>
      </w:r>
      <w:r>
        <w:t xml:space="preserve">31 (March): 201–11.</w:t>
      </w:r>
      <w:r>
        <w:t xml:space="preserve"> </w:t>
      </w:r>
      <w:hyperlink r:id="rId165">
        <w:r>
          <w:rPr>
            <w:rStyle w:val="Hyperlink"/>
          </w:rPr>
          <w:t xml:space="preserve">https://doi.org/10.1016/j.electstud.2011.11.001</w:t>
        </w:r>
      </w:hyperlink>
      <w:r>
        <w:t xml:space="preserve">.</w:t>
      </w:r>
    </w:p>
    <w:bookmarkEnd w:id="166"/>
    <w:bookmarkStart w:id="168" w:name="ref-Sinpeng2021-hd"/>
    <w:p>
      <w:pPr>
        <w:pStyle w:val="Bibliography"/>
      </w:pPr>
      <w:r>
        <w:t xml:space="preserve">Sinpeng, Aim. 2021.</w:t>
      </w:r>
      <w:r>
        <w:t xml:space="preserve"> </w:t>
      </w:r>
      <w:r>
        <w:t xml:space="preserve">“</w:t>
      </w:r>
      <w:r>
        <w:t xml:space="preserve">Hashtag activism: social media and the #</w:t>
      </w:r>
      <w:r>
        <w:t xml:space="preserve">FreeYouth</w:t>
      </w:r>
      <w:r>
        <w:t xml:space="preserve"> </w:t>
      </w:r>
      <w:r>
        <w:t xml:space="preserve">protests in</w:t>
      </w:r>
      <w:r>
        <w:t xml:space="preserve"> </w:t>
      </w:r>
      <w:r>
        <w:t xml:space="preserve">Thailand</w:t>
      </w:r>
      <w:r>
        <w:t xml:space="preserve">.”</w:t>
      </w:r>
      <w:r>
        <w:t xml:space="preserve"> </w:t>
      </w:r>
      <w:r>
        <w:rPr>
          <w:i/>
          <w:iCs/>
        </w:rPr>
        <w:t xml:space="preserve">Critical Asian Studies</w:t>
      </w:r>
      <w:r>
        <w:t xml:space="preserve"> </w:t>
      </w:r>
      <w:r>
        <w:t xml:space="preserve">53 (April): 192–205.</w:t>
      </w:r>
      <w:r>
        <w:t xml:space="preserve"> </w:t>
      </w:r>
      <w:hyperlink r:id="rId167">
        <w:r>
          <w:rPr>
            <w:rStyle w:val="Hyperlink"/>
          </w:rPr>
          <w:t xml:space="preserve">https://doi.org/10.1080/14672715.2021.1882866</w:t>
        </w:r>
      </w:hyperlink>
      <w:r>
        <w:t xml:space="preserve">.</w:t>
      </w:r>
    </w:p>
    <w:bookmarkEnd w:id="168"/>
    <w:bookmarkStart w:id="170" w:name="ref-Slater2010-ba"/>
    <w:p>
      <w:pPr>
        <w:pStyle w:val="Bibliography"/>
      </w:pPr>
      <w:r>
        <w:t xml:space="preserve">Slater, Dan. 2010.</w:t>
      </w:r>
      <w:r>
        <w:t xml:space="preserve"> </w:t>
      </w:r>
      <w:r>
        <w:rPr>
          <w:i/>
          <w:iCs/>
        </w:rPr>
        <w:t xml:space="preserve">Cambridge studies in comparative politics: Ordering power: Contentious politics and authoritarian leviathans in southeast Asia</w:t>
      </w:r>
      <w:r>
        <w:t xml:space="preserve">. Cambridge University Press.</w:t>
      </w:r>
      <w:r>
        <w:t xml:space="preserve"> </w:t>
      </w:r>
      <w:hyperlink r:id="rId169">
        <w:r>
          <w:rPr>
            <w:rStyle w:val="Hyperlink"/>
          </w:rPr>
          <w:t xml:space="preserve">https://doi.org/10.1017/cbo9780511760891</w:t>
        </w:r>
      </w:hyperlink>
      <w:r>
        <w:t xml:space="preserve">.</w:t>
      </w:r>
    </w:p>
    <w:bookmarkEnd w:id="170"/>
    <w:bookmarkStart w:id="172" w:name="ref-Svolik2019-zi"/>
    <w:p>
      <w:pPr>
        <w:pStyle w:val="Bibliography"/>
      </w:pPr>
      <w:r>
        <w:t xml:space="preserve">Svolik, Milan W. 2019.</w:t>
      </w:r>
      <w:r>
        <w:t xml:space="preserve"> </w:t>
      </w:r>
      <w:r>
        <w:t xml:space="preserve">“</w:t>
      </w:r>
      <w:r>
        <w:t xml:space="preserve">Polarization versus democracy</w:t>
      </w:r>
      <w:r>
        <w:t xml:space="preserve">.”</w:t>
      </w:r>
      <w:r>
        <w:t xml:space="preserve"> </w:t>
      </w:r>
      <w:r>
        <w:rPr>
          <w:i/>
          <w:iCs/>
        </w:rPr>
        <w:t xml:space="preserve">Journal of Democracy</w:t>
      </w:r>
      <w:r>
        <w:t xml:space="preserve"> </w:t>
      </w:r>
      <w:r>
        <w:t xml:space="preserve">30: 20–32.</w:t>
      </w:r>
      <w:r>
        <w:t xml:space="preserve"> </w:t>
      </w:r>
      <w:hyperlink r:id="rId171">
        <w:r>
          <w:rPr>
            <w:rStyle w:val="Hyperlink"/>
          </w:rPr>
          <w:t xml:space="preserve">https://doi.org/10.1353/jod.2019.0039</w:t>
        </w:r>
      </w:hyperlink>
      <w:r>
        <w:t xml:space="preserve">.</w:t>
      </w:r>
    </w:p>
    <w:bookmarkEnd w:id="172"/>
    <w:bookmarkStart w:id="174" w:name="ref-Taber2006-kx"/>
    <w:p>
      <w:pPr>
        <w:pStyle w:val="Bibliography"/>
      </w:pPr>
      <w:r>
        <w:t xml:space="preserve">Taber, Charles S, and Milton Lodge. 2006.</w:t>
      </w:r>
      <w:r>
        <w:t xml:space="preserve"> </w:t>
      </w:r>
      <w:r>
        <w:t xml:space="preserve">“</w:t>
      </w:r>
      <w:r>
        <w:t xml:space="preserve">Motivated skepticism in the evaluation of political beliefs</w:t>
      </w:r>
      <w:r>
        <w:t xml:space="preserve">.”</w:t>
      </w:r>
      <w:r>
        <w:t xml:space="preserve"> </w:t>
      </w:r>
      <w:r>
        <w:rPr>
          <w:i/>
          <w:iCs/>
        </w:rPr>
        <w:t xml:space="preserve">American Journal of Political Science</w:t>
      </w:r>
      <w:r>
        <w:t xml:space="preserve"> </w:t>
      </w:r>
      <w:r>
        <w:t xml:space="preserve">50 (July): 755–69.</w:t>
      </w:r>
      <w:r>
        <w:t xml:space="preserve"> </w:t>
      </w:r>
      <w:hyperlink r:id="rId173">
        <w:r>
          <w:rPr>
            <w:rStyle w:val="Hyperlink"/>
          </w:rPr>
          <w:t xml:space="preserve">https://doi.org/10.1111/j.1540-5907.2006.00214.x</w:t>
        </w:r>
      </w:hyperlink>
      <w:r>
        <w:t xml:space="preserve">.</w:t>
      </w:r>
    </w:p>
    <w:bookmarkEnd w:id="174"/>
    <w:bookmarkStart w:id="176" w:name="ref-Waldner2018-yw"/>
    <w:p>
      <w:pPr>
        <w:pStyle w:val="Bibliography"/>
      </w:pPr>
      <w:r>
        <w:t xml:space="preserve">Waldner, David, and Ellen Lust. 2018.</w:t>
      </w:r>
      <w:r>
        <w:t xml:space="preserve"> </w:t>
      </w:r>
      <w:r>
        <w:t xml:space="preserve">“</w:t>
      </w:r>
      <w:r>
        <w:t xml:space="preserve">Unwelcome change: Coming to terms with democratic backsliding</w:t>
      </w:r>
      <w:r>
        <w:t xml:space="preserve">.”</w:t>
      </w:r>
      <w:r>
        <w:t xml:space="preserve"> </w:t>
      </w:r>
      <w:r>
        <w:rPr>
          <w:i/>
          <w:iCs/>
        </w:rPr>
        <w:t xml:space="preserve">Annual Review of Political Science (Palo Alto, Calif.)</w:t>
      </w:r>
      <w:r>
        <w:t xml:space="preserve"> </w:t>
      </w:r>
      <w:r>
        <w:t xml:space="preserve">21 (May): 93–113.</w:t>
      </w:r>
      <w:r>
        <w:t xml:space="preserve"> </w:t>
      </w:r>
      <w:hyperlink r:id="rId175">
        <w:r>
          <w:rPr>
            <w:rStyle w:val="Hyperlink"/>
          </w:rPr>
          <w:t xml:space="preserve">https://doi.org/10.1146/annurev-polisci-050517-114628</w:t>
        </w:r>
      </w:hyperlink>
      <w:r>
        <w:t xml:space="preserve">.</w:t>
      </w:r>
    </w:p>
    <w:bookmarkEnd w:id="176"/>
    <w:bookmarkStart w:id="178" w:name="ref-Wu2022-hz"/>
    <w:p>
      <w:pPr>
        <w:pStyle w:val="Bibliography"/>
      </w:pPr>
      <w:r>
        <w:t xml:space="preserve">Wu, Chun-Ying, and Chin-En Wu. 2022.</w:t>
      </w:r>
      <w:r>
        <w:t xml:space="preserve"> </w:t>
      </w:r>
      <w:r>
        <w:t xml:space="preserve">“</w:t>
      </w:r>
      <w:r>
        <w:t xml:space="preserve">Regime Types and Winner-Loser Gaps in Support for Democracy in</w:t>
      </w:r>
      <w:r>
        <w:t xml:space="preserve"> </w:t>
      </w:r>
      <w:r>
        <w:t xml:space="preserve">East Asia</w:t>
      </w:r>
      <w:r>
        <w:t xml:space="preserve">.”</w:t>
      </w:r>
      <w:r>
        <w:t xml:space="preserve"> </w:t>
      </w:r>
      <w:r>
        <w:rPr>
          <w:i/>
          <w:iCs/>
        </w:rPr>
        <w:t xml:space="preserve">Democratization</w:t>
      </w:r>
      <w:r>
        <w:t xml:space="preserve"> </w:t>
      </w:r>
      <w:r>
        <w:t xml:space="preserve">29: 1453–73.</w:t>
      </w:r>
      <w:r>
        <w:t xml:space="preserve"> </w:t>
      </w:r>
      <w:hyperlink r:id="rId177">
        <w:r>
          <w:rPr>
            <w:rStyle w:val="Hyperlink"/>
          </w:rPr>
          <w:t xml:space="preserve">https://doi.org/10.1080/13510347.2022.2036721</w:t>
        </w:r>
      </w:hyperlink>
      <w:r>
        <w:t xml:space="preserve">.</w:t>
      </w:r>
    </w:p>
    <w:bookmarkEnd w:id="178"/>
    <w:bookmarkStart w:id="180" w:name="ref-Wuttke2022-wv"/>
    <w:p>
      <w:pPr>
        <w:pStyle w:val="Bibliography"/>
      </w:pPr>
      <w:r>
        <w:t xml:space="preserve">Wuttke, Alexander, Konstantin Gavras, and Harald Schoen. 2022.</w:t>
      </w:r>
      <w:r>
        <w:t xml:space="preserve"> </w:t>
      </w:r>
      <w:r>
        <w:t xml:space="preserve">“</w:t>
      </w:r>
      <w:r>
        <w:t xml:space="preserve">Have Europeans grown tired of democracy? New evidence from eighteen consolidated democracies,</w:t>
      </w:r>
      <w:r>
        <w:t xml:space="preserve"> </w:t>
      </w:r>
      <w:r>
        <w:t xml:space="preserve">1981–2018</w:t>
      </w:r>
      <w:r>
        <w:t xml:space="preserve">.”</w:t>
      </w:r>
      <w:r>
        <w:t xml:space="preserve"> </w:t>
      </w:r>
      <w:r>
        <w:rPr>
          <w:i/>
          <w:iCs/>
        </w:rPr>
        <w:t xml:space="preserve">British Journal of Political Science</w:t>
      </w:r>
      <w:r>
        <w:t xml:space="preserve"> </w:t>
      </w:r>
      <w:r>
        <w:t xml:space="preserve">52 (January): 416–28.</w:t>
      </w:r>
      <w:r>
        <w:t xml:space="preserve"> </w:t>
      </w:r>
      <w:hyperlink r:id="rId179">
        <w:r>
          <w:rPr>
            <w:rStyle w:val="Hyperlink"/>
          </w:rPr>
          <w:t xml:space="preserve">https://doi.org/10.1017/s0007123420000149</w:t>
        </w:r>
      </w:hyperlink>
      <w:r>
        <w:t xml:space="preserve">.</w:t>
      </w:r>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Data analyzed in this article were collected by the Asian Barometer Project (2005–2008, 2010–2012, 2013–2016, 2020–2022), co-directed by Professors Fu Hu, Yun-han Chu, and Min-hua Huang, with major funding support from Taiwan’s Ministry of Education, the National Science and Technology Council, Academia Sinica, and National Taiwan University. The Asian Barometer Project Office (www.asianbarometer.org) is solely responsible for data distribution. The views expressed herein are the author’s own.</w:t>
      </w:r>
    </w:p>
  </w:footnote>
  <w:footnote w:id="27">
    <w:p>
      <w:pPr>
        <w:pStyle w:val="FootnoteText"/>
      </w:pPr>
      <w:r>
        <w:rPr>
          <w:rStyle w:val="FootnoteReference"/>
        </w:rPr>
        <w:footnoteRef/>
      </w:r>
      <w:r>
        <w:t xml:space="preserve"> </w:t>
      </w:r>
      <w:r>
        <w:t xml:space="preserve">The full ABS dataset across the eleven countries and four waves contains approximately 75,000 respondents. Restrictions to those who reported a vote choice, could be classified as winner or loser, and completed at least one item on the democratic conceptions battery yield the analytic sample of 23,464. The largest source of exclusion is non-voting (approximately 15% across country-waves), followed by missing or refused vote-choice responses (8–12% in most countries, rising to 51% in Thailand Wave 4 where military rule suppressed political disclosure). If respondents who conceal their vote choice under authoritarian conditions hold systematically different democratic conceptions—plausibly more procedural, given the circumstances that motivate concealment—then the estimated loser effect in Thailand Wave 4 is conservative. Appendix B details sample construction and attrition at each stage.</w:t>
      </w:r>
    </w:p>
  </w:footnote>
  <w:footnote w:id="29">
    <w:p>
      <w:pPr>
        <w:pStyle w:val="FootnoteText"/>
      </w:pPr>
      <w:r>
        <w:rPr>
          <w:rStyle w:val="FootnoteReference"/>
        </w:rPr>
        <w:footnoteRef/>
      </w:r>
      <w:r>
        <w:t xml:space="preserve"> </w:t>
      </w:r>
      <w:r>
        <w:t xml:space="preserve">The relatively high rate of missing data on q34a in Thailand Wave 4 (51.1%) likely reflects respondent reluctance to disclose vote choice under military rule rather than a failure of the survey instrument. The 382 respondents with valid coding yield winner and loser subsamples of 186 and 227, respectively—sufficient for stable estimation. Appendix Section B documents the reference election, winning party, and runner-up for each country-wave; reports an independent verification of the ABS coding against official election commission data for Taiwan, South Korea, and Thailand; and discusses additional edge cases including Thailand’s government-formation coding and Cambodia’s opposition dissolution. Control variables include age, gender, education level, and urban-rural residence.</w:t>
      </w:r>
    </w:p>
  </w:footnote>
  <w:footnote w:id="51">
    <w:p>
      <w:pPr>
        <w:pStyle w:val="FootnoteText"/>
      </w:pPr>
      <w:r>
        <w:rPr>
          <w:rStyle w:val="FootnoteReference"/>
        </w:rPr>
        <w:footnoteRef/>
      </w:r>
      <w:r>
        <w:t xml:space="preserve"> </w:t>
      </w:r>
      <w:r>
        <w:t xml:space="preserve">Following established conceptual frameworks, open-ended responses were coded as procedural, substantive, or excluded. A respondent-level procedural proportion score (0–1) based on up to three codeable responses correlates at</w:t>
      </w:r>
      <w:r>
        <w:t xml:space="preserve"> </w:t>
      </w:r>
      <m:oMath>
        <m:r>
          <m:t>r</m:t>
        </m:r>
        <m:r>
          <m:rPr>
            <m:sty m:val="p"/>
          </m:rPr>
          <m:t>=</m:t>
        </m:r>
        <m:r>
          <m:t>0.28</m:t>
        </m:r>
      </m:oMath>
      <w:r>
        <w:t xml:space="preserve"> </w:t>
      </w:r>
      <w:r>
        <w:t xml:space="preserve">with the closed-ended item. Given the noise inherent in open-ended coding, this represents meaningful convergent validity.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hyperlink" Id="rId136" Target="10.1177/0032321720952230https://doi.org/10.1177/0032321720952230the" TargetMode="External" /><Relationship Type="http://schemas.openxmlformats.org/officeDocument/2006/relationships/hyperlink" Id="rId96" Target="https://doi.org/10.1016/j.electstud.2010.09.009" TargetMode="External" /><Relationship Type="http://schemas.openxmlformats.org/officeDocument/2006/relationships/hyperlink" Id="rId165" Target="https://doi.org/10.1016/j.electstud.2011.11.001" TargetMode="External" /><Relationship Type="http://schemas.openxmlformats.org/officeDocument/2006/relationships/hyperlink" Id="rId134" Target="https://doi.org/10.1017/9781108677080" TargetMode="External" /><Relationship Type="http://schemas.openxmlformats.org/officeDocument/2006/relationships/hyperlink" Id="rId169" Target="https://doi.org/10.1017/cbo9780511760891" TargetMode="External" /><Relationship Type="http://schemas.openxmlformats.org/officeDocument/2006/relationships/hyperlink" Id="rId140" Target="https://doi.org/10.1017/cbo9780511973383" TargetMode="External" /><Relationship Type="http://schemas.openxmlformats.org/officeDocument/2006/relationships/hyperlink" Id="rId142" Target="https://doi.org/10.1017/cbo9781139061902" TargetMode="External" /><Relationship Type="http://schemas.openxmlformats.org/officeDocument/2006/relationships/hyperlink" Id="rId161" Target="https://doi.org/10.1017/cbo9781139084086" TargetMode="External" /><Relationship Type="http://schemas.openxmlformats.org/officeDocument/2006/relationships/hyperlink" Id="rId108" Target="https://doi.org/10.1017/s0003055420000052" TargetMode="External" /><Relationship Type="http://schemas.openxmlformats.org/officeDocument/2006/relationships/hyperlink" Id="rId138" Target="https://doi.org/10.1017/s0007123400006736" TargetMode="External" /><Relationship Type="http://schemas.openxmlformats.org/officeDocument/2006/relationships/hyperlink" Id="rId63" Target="https://doi.org/10.1017/s0007123401000175" TargetMode="External" /><Relationship Type="http://schemas.openxmlformats.org/officeDocument/2006/relationships/hyperlink" Id="rId59" Target="https://doi.org/10.1017/s0007123402000133" TargetMode="External" /><Relationship Type="http://schemas.openxmlformats.org/officeDocument/2006/relationships/hyperlink" Id="rId179" Target="https://doi.org/10.1017/s0007123420000149" TargetMode="External" /><Relationship Type="http://schemas.openxmlformats.org/officeDocument/2006/relationships/hyperlink" Id="rId92" Target="https://doi.org/10.1017/s0007123425000365" TargetMode="External" /><Relationship Type="http://schemas.openxmlformats.org/officeDocument/2006/relationships/hyperlink" Id="rId61" Target="https://doi.org/10.1017/s0008423924000775" TargetMode="External" /><Relationship Type="http://schemas.openxmlformats.org/officeDocument/2006/relationships/hyperlink" Id="rId163" Target="https://doi.org/10.1017/s1468109918000063" TargetMode="External" /><Relationship Type="http://schemas.openxmlformats.org/officeDocument/2006/relationships/hyperlink" Id="rId123" Target="https://doi.org/10.1037/0033-2909.108.3.480" TargetMode="External" /><Relationship Type="http://schemas.openxmlformats.org/officeDocument/2006/relationships/hyperlink" Id="rId128" Target="https://doi.org/10.1080/13510347.2019.1582029" TargetMode="External" /><Relationship Type="http://schemas.openxmlformats.org/officeDocument/2006/relationships/hyperlink" Id="rId177" Target="https://doi.org/10.1080/13510347.2022.2036721" TargetMode="External" /><Relationship Type="http://schemas.openxmlformats.org/officeDocument/2006/relationships/hyperlink" Id="rId167" Target="https://doi.org/10.1080/14672715.2021.1882866" TargetMode="External" /><Relationship Type="http://schemas.openxmlformats.org/officeDocument/2006/relationships/hyperlink" Id="rId55" Target="https://doi.org/10.1093/0199276382.001.0001" TargetMode="External" /><Relationship Type="http://schemas.openxmlformats.org/officeDocument/2006/relationships/hyperlink" Id="rId102" Target="https://doi.org/10.1093/acprof:oso/9780198766902.001.0001" TargetMode="External" /><Relationship Type="http://schemas.openxmlformats.org/officeDocument/2006/relationships/hyperlink" Id="rId130" Target="https://doi.org/10.1093/oso/9780198854852.001.0001" TargetMode="External" /><Relationship Type="http://schemas.openxmlformats.org/officeDocument/2006/relationships/hyperlink" Id="rId84" Target="https://doi.org/10.1093/oxfordhb/9780199270125.001.0001" TargetMode="External" /><Relationship Type="http://schemas.openxmlformats.org/officeDocument/2006/relationships/hyperlink" Id="rId98" Target="https://doi.org/10.1111/1475-6765.12370" TargetMode="External" /><Relationship Type="http://schemas.openxmlformats.org/officeDocument/2006/relationships/hyperlink" Id="rId79" Target="https://doi.org/10.1111/ajps.12452" TargetMode="External" /><Relationship Type="http://schemas.openxmlformats.org/officeDocument/2006/relationships/hyperlink" Id="rId81" Target="https://doi.org/10.1111/ajps.12690" TargetMode="External" /><Relationship Type="http://schemas.openxmlformats.org/officeDocument/2006/relationships/hyperlink" Id="rId147" Target="https://doi.org/10.1111/aspp.12625" TargetMode="External" /><Relationship Type="http://schemas.openxmlformats.org/officeDocument/2006/relationships/hyperlink" Id="rId100" Target="https://doi.org/10.1111/j.1468-2508.2006.00380.x" TargetMode="External" /><Relationship Type="http://schemas.openxmlformats.org/officeDocument/2006/relationships/hyperlink" Id="rId173" Target="https://doi.org/10.1111/j.1540-5907.2006.00214.x" TargetMode="External" /><Relationship Type="http://schemas.openxmlformats.org/officeDocument/2006/relationships/hyperlink" Id="rId94" Target="https://doi.org/10.1111/spsr.12561" TargetMode="External" /><Relationship Type="http://schemas.openxmlformats.org/officeDocument/2006/relationships/hyperlink" Id="rId175" Target="https://doi.org/10.1146/annurev-polisci-050517-114628" TargetMode="External" /><Relationship Type="http://schemas.openxmlformats.org/officeDocument/2006/relationships/hyperlink" Id="rId67" Target="https://doi.org/10.1162/rest.90.3.414" TargetMode="External" /><Relationship Type="http://schemas.openxmlformats.org/officeDocument/2006/relationships/hyperlink" Id="rId69" Target="https://doi.org/10.1177/0010414011434009" TargetMode="External" /><Relationship Type="http://schemas.openxmlformats.org/officeDocument/2006/relationships/hyperlink" Id="rId65" Target="https://doi.org/10.1177/00104140231152784" TargetMode="External" /><Relationship Type="http://schemas.openxmlformats.org/officeDocument/2006/relationships/hyperlink" Id="rId112" Target="https://doi.org/10.1177/0021909620911150" TargetMode="External" /><Relationship Type="http://schemas.openxmlformats.org/officeDocument/2006/relationships/hyperlink" Id="rId155" Target="https://doi.org/10.1177/02685809241284284" TargetMode="External" /><Relationship Type="http://schemas.openxmlformats.org/officeDocument/2006/relationships/hyperlink" Id="rId71" Target="https://doi.org/10.1177/1065912914532721" TargetMode="External" /><Relationship Type="http://schemas.openxmlformats.org/officeDocument/2006/relationships/hyperlink" Id="rId110" Target="https://doi.org/10.1177/13540688211058111" TargetMode="External" /><Relationship Type="http://schemas.openxmlformats.org/officeDocument/2006/relationships/hyperlink" Id="rId153" Target="https://doi.org/10.1177/18681034251341319" TargetMode="External" /><Relationship Type="http://schemas.openxmlformats.org/officeDocument/2006/relationships/hyperlink" Id="rId149" Target="https://doi.org/10.1177/20578911231225501" TargetMode="External" /><Relationship Type="http://schemas.openxmlformats.org/officeDocument/2006/relationships/hyperlink" Id="rId126" Target="https://doi.org/10.1353/jod.1996.0031" TargetMode="External" /><Relationship Type="http://schemas.openxmlformats.org/officeDocument/2006/relationships/hyperlink" Id="rId157" Target="https://doi.org/10.1353/jod.1998.0030" TargetMode="External" /><Relationship Type="http://schemas.openxmlformats.org/officeDocument/2006/relationships/hyperlink" Id="rId76" Target="https://doi.org/10.1353/jod.2010.0009" TargetMode="External" /><Relationship Type="http://schemas.openxmlformats.org/officeDocument/2006/relationships/hyperlink" Id="rId90" Target="https://doi.org/10.1353/jod.2015.0009" TargetMode="External" /><Relationship Type="http://schemas.openxmlformats.org/officeDocument/2006/relationships/hyperlink" Id="rId106" Target="https://doi.org/10.1353/jod.2016.0049" TargetMode="External" /><Relationship Type="http://schemas.openxmlformats.org/officeDocument/2006/relationships/hyperlink" Id="rId171" Target="https://doi.org/10.1353/jod.2019.0039" TargetMode="External" /><Relationship Type="http://schemas.openxmlformats.org/officeDocument/2006/relationships/hyperlink" Id="rId132" Target="https://doi.org/10.1353/jod.2019.0056" TargetMode="External" /><Relationship Type="http://schemas.openxmlformats.org/officeDocument/2006/relationships/hyperlink" Id="rId121" Target="https://doi.org/10.1355/cs36-3a" TargetMode="External" /><Relationship Type="http://schemas.openxmlformats.org/officeDocument/2006/relationships/hyperlink" Id="rId86" Target="https://doi.org/10.1371/journal.pone.0314967" TargetMode="External" /><Relationship Type="http://schemas.openxmlformats.org/officeDocument/2006/relationships/hyperlink" Id="rId117" Target="https://doi.org/10.1515/9780691214429" TargetMode="External" /><Relationship Type="http://schemas.openxmlformats.org/officeDocument/2006/relationships/hyperlink" Id="rId145" Target="https://doi.org/10.1515/9780824842659" TargetMode="External" /><Relationship Type="http://schemas.openxmlformats.org/officeDocument/2006/relationships/hyperlink" Id="rId119" Target="https://doi.org/10.2307/1914185" TargetMode="External" /><Relationship Type="http://schemas.openxmlformats.org/officeDocument/2006/relationships/hyperlink" Id="rId104" Target="https://doi.org/10.2307/2110623" TargetMode="External" /><Relationship Type="http://schemas.openxmlformats.org/officeDocument/2006/relationships/hyperlink" Id="rId57" Target="https://doi.org/10.2307/2952259" TargetMode="External" /><Relationship Type="http://schemas.openxmlformats.org/officeDocument/2006/relationships/hyperlink" Id="rId159" Target="https://doi.org/10.4324/9780203202050" TargetMode="External" /><Relationship Type="http://schemas.openxmlformats.org/officeDocument/2006/relationships/hyperlink" Id="rId151" Target="https://doi.org/10.5509/2019923443" TargetMode="External" /><Relationship Type="http://schemas.openxmlformats.org/officeDocument/2006/relationships/hyperlink" Id="rId88" Target="https://doi.org/10.56021/9780801860140" TargetMode="External" /><Relationship Type="http://schemas.openxmlformats.org/officeDocument/2006/relationships/hyperlink" Id="rId74" Target="https://doi.org/10.7312/chu-14534" TargetMode="External" /></Relationships>
</file>

<file path=word/_rels/footnotes.xml.rels><?xml version="1.0" encoding="UTF-8"?><Relationships xmlns="http://schemas.openxmlformats.org/package/2006/relationships"><Relationship Type="http://schemas.openxmlformats.org/officeDocument/2006/relationships/hyperlink" Id="rId136" Target="10.1177/0032321720952230https://doi.org/10.1177/0032321720952230the" TargetMode="External" /><Relationship Type="http://schemas.openxmlformats.org/officeDocument/2006/relationships/hyperlink" Id="rId96" Target="https://doi.org/10.1016/j.electstud.2010.09.009" TargetMode="External" /><Relationship Type="http://schemas.openxmlformats.org/officeDocument/2006/relationships/hyperlink" Id="rId165" Target="https://doi.org/10.1016/j.electstud.2011.11.001" TargetMode="External" /><Relationship Type="http://schemas.openxmlformats.org/officeDocument/2006/relationships/hyperlink" Id="rId134" Target="https://doi.org/10.1017/9781108677080" TargetMode="External" /><Relationship Type="http://schemas.openxmlformats.org/officeDocument/2006/relationships/hyperlink" Id="rId169" Target="https://doi.org/10.1017/cbo9780511760891" TargetMode="External" /><Relationship Type="http://schemas.openxmlformats.org/officeDocument/2006/relationships/hyperlink" Id="rId140" Target="https://doi.org/10.1017/cbo9780511973383" TargetMode="External" /><Relationship Type="http://schemas.openxmlformats.org/officeDocument/2006/relationships/hyperlink" Id="rId142" Target="https://doi.org/10.1017/cbo9781139061902" TargetMode="External" /><Relationship Type="http://schemas.openxmlformats.org/officeDocument/2006/relationships/hyperlink" Id="rId161" Target="https://doi.org/10.1017/cbo9781139084086" TargetMode="External" /><Relationship Type="http://schemas.openxmlformats.org/officeDocument/2006/relationships/hyperlink" Id="rId108" Target="https://doi.org/10.1017/s0003055420000052" TargetMode="External" /><Relationship Type="http://schemas.openxmlformats.org/officeDocument/2006/relationships/hyperlink" Id="rId138" Target="https://doi.org/10.1017/s0007123400006736" TargetMode="External" /><Relationship Type="http://schemas.openxmlformats.org/officeDocument/2006/relationships/hyperlink" Id="rId63" Target="https://doi.org/10.1017/s0007123401000175" TargetMode="External" /><Relationship Type="http://schemas.openxmlformats.org/officeDocument/2006/relationships/hyperlink" Id="rId59" Target="https://doi.org/10.1017/s0007123402000133" TargetMode="External" /><Relationship Type="http://schemas.openxmlformats.org/officeDocument/2006/relationships/hyperlink" Id="rId179" Target="https://doi.org/10.1017/s0007123420000149" TargetMode="External" /><Relationship Type="http://schemas.openxmlformats.org/officeDocument/2006/relationships/hyperlink" Id="rId92" Target="https://doi.org/10.1017/s0007123425000365" TargetMode="External" /><Relationship Type="http://schemas.openxmlformats.org/officeDocument/2006/relationships/hyperlink" Id="rId61" Target="https://doi.org/10.1017/s0008423924000775" TargetMode="External" /><Relationship Type="http://schemas.openxmlformats.org/officeDocument/2006/relationships/hyperlink" Id="rId163" Target="https://doi.org/10.1017/s1468109918000063" TargetMode="External" /><Relationship Type="http://schemas.openxmlformats.org/officeDocument/2006/relationships/hyperlink" Id="rId123" Target="https://doi.org/10.1037/0033-2909.108.3.480" TargetMode="External" /><Relationship Type="http://schemas.openxmlformats.org/officeDocument/2006/relationships/hyperlink" Id="rId128" Target="https://doi.org/10.1080/13510347.2019.1582029" TargetMode="External" /><Relationship Type="http://schemas.openxmlformats.org/officeDocument/2006/relationships/hyperlink" Id="rId177" Target="https://doi.org/10.1080/13510347.2022.2036721" TargetMode="External" /><Relationship Type="http://schemas.openxmlformats.org/officeDocument/2006/relationships/hyperlink" Id="rId167" Target="https://doi.org/10.1080/14672715.2021.1882866" TargetMode="External" /><Relationship Type="http://schemas.openxmlformats.org/officeDocument/2006/relationships/hyperlink" Id="rId55" Target="https://doi.org/10.1093/0199276382.001.0001" TargetMode="External" /><Relationship Type="http://schemas.openxmlformats.org/officeDocument/2006/relationships/hyperlink" Id="rId102" Target="https://doi.org/10.1093/acprof:oso/9780198766902.001.0001" TargetMode="External" /><Relationship Type="http://schemas.openxmlformats.org/officeDocument/2006/relationships/hyperlink" Id="rId130" Target="https://doi.org/10.1093/oso/9780198854852.001.0001" TargetMode="External" /><Relationship Type="http://schemas.openxmlformats.org/officeDocument/2006/relationships/hyperlink" Id="rId84" Target="https://doi.org/10.1093/oxfordhb/9780199270125.001.0001" TargetMode="External" /><Relationship Type="http://schemas.openxmlformats.org/officeDocument/2006/relationships/hyperlink" Id="rId98" Target="https://doi.org/10.1111/1475-6765.12370" TargetMode="External" /><Relationship Type="http://schemas.openxmlformats.org/officeDocument/2006/relationships/hyperlink" Id="rId79" Target="https://doi.org/10.1111/ajps.12452" TargetMode="External" /><Relationship Type="http://schemas.openxmlformats.org/officeDocument/2006/relationships/hyperlink" Id="rId81" Target="https://doi.org/10.1111/ajps.12690" TargetMode="External" /><Relationship Type="http://schemas.openxmlformats.org/officeDocument/2006/relationships/hyperlink" Id="rId147" Target="https://doi.org/10.1111/aspp.12625" TargetMode="External" /><Relationship Type="http://schemas.openxmlformats.org/officeDocument/2006/relationships/hyperlink" Id="rId100" Target="https://doi.org/10.1111/j.1468-2508.2006.00380.x" TargetMode="External" /><Relationship Type="http://schemas.openxmlformats.org/officeDocument/2006/relationships/hyperlink" Id="rId173" Target="https://doi.org/10.1111/j.1540-5907.2006.00214.x" TargetMode="External" /><Relationship Type="http://schemas.openxmlformats.org/officeDocument/2006/relationships/hyperlink" Id="rId94" Target="https://doi.org/10.1111/spsr.12561" TargetMode="External" /><Relationship Type="http://schemas.openxmlformats.org/officeDocument/2006/relationships/hyperlink" Id="rId175" Target="https://doi.org/10.1146/annurev-polisci-050517-114628" TargetMode="External" /><Relationship Type="http://schemas.openxmlformats.org/officeDocument/2006/relationships/hyperlink" Id="rId67" Target="https://doi.org/10.1162/rest.90.3.414" TargetMode="External" /><Relationship Type="http://schemas.openxmlformats.org/officeDocument/2006/relationships/hyperlink" Id="rId69" Target="https://doi.org/10.1177/0010414011434009" TargetMode="External" /><Relationship Type="http://schemas.openxmlformats.org/officeDocument/2006/relationships/hyperlink" Id="rId65" Target="https://doi.org/10.1177/00104140231152784" TargetMode="External" /><Relationship Type="http://schemas.openxmlformats.org/officeDocument/2006/relationships/hyperlink" Id="rId112" Target="https://doi.org/10.1177/0021909620911150" TargetMode="External" /><Relationship Type="http://schemas.openxmlformats.org/officeDocument/2006/relationships/hyperlink" Id="rId155" Target="https://doi.org/10.1177/02685809241284284" TargetMode="External" /><Relationship Type="http://schemas.openxmlformats.org/officeDocument/2006/relationships/hyperlink" Id="rId71" Target="https://doi.org/10.1177/1065912914532721" TargetMode="External" /><Relationship Type="http://schemas.openxmlformats.org/officeDocument/2006/relationships/hyperlink" Id="rId110" Target="https://doi.org/10.1177/13540688211058111" TargetMode="External" /><Relationship Type="http://schemas.openxmlformats.org/officeDocument/2006/relationships/hyperlink" Id="rId153" Target="https://doi.org/10.1177/18681034251341319" TargetMode="External" /><Relationship Type="http://schemas.openxmlformats.org/officeDocument/2006/relationships/hyperlink" Id="rId149" Target="https://doi.org/10.1177/20578911231225501" TargetMode="External" /><Relationship Type="http://schemas.openxmlformats.org/officeDocument/2006/relationships/hyperlink" Id="rId126" Target="https://doi.org/10.1353/jod.1996.0031" TargetMode="External" /><Relationship Type="http://schemas.openxmlformats.org/officeDocument/2006/relationships/hyperlink" Id="rId157" Target="https://doi.org/10.1353/jod.1998.0030" TargetMode="External" /><Relationship Type="http://schemas.openxmlformats.org/officeDocument/2006/relationships/hyperlink" Id="rId76" Target="https://doi.org/10.1353/jod.2010.0009" TargetMode="External" /><Relationship Type="http://schemas.openxmlformats.org/officeDocument/2006/relationships/hyperlink" Id="rId90" Target="https://doi.org/10.1353/jod.2015.0009" TargetMode="External" /><Relationship Type="http://schemas.openxmlformats.org/officeDocument/2006/relationships/hyperlink" Id="rId106" Target="https://doi.org/10.1353/jod.2016.0049" TargetMode="External" /><Relationship Type="http://schemas.openxmlformats.org/officeDocument/2006/relationships/hyperlink" Id="rId171" Target="https://doi.org/10.1353/jod.2019.0039" TargetMode="External" /><Relationship Type="http://schemas.openxmlformats.org/officeDocument/2006/relationships/hyperlink" Id="rId132" Target="https://doi.org/10.1353/jod.2019.0056" TargetMode="External" /><Relationship Type="http://schemas.openxmlformats.org/officeDocument/2006/relationships/hyperlink" Id="rId121" Target="https://doi.org/10.1355/cs36-3a" TargetMode="External" /><Relationship Type="http://schemas.openxmlformats.org/officeDocument/2006/relationships/hyperlink" Id="rId86" Target="https://doi.org/10.1371/journal.pone.0314967" TargetMode="External" /><Relationship Type="http://schemas.openxmlformats.org/officeDocument/2006/relationships/hyperlink" Id="rId117" Target="https://doi.org/10.1515/9780691214429" TargetMode="External" /><Relationship Type="http://schemas.openxmlformats.org/officeDocument/2006/relationships/hyperlink" Id="rId145" Target="https://doi.org/10.1515/9780824842659" TargetMode="External" /><Relationship Type="http://schemas.openxmlformats.org/officeDocument/2006/relationships/hyperlink" Id="rId119" Target="https://doi.org/10.2307/1914185" TargetMode="External" /><Relationship Type="http://schemas.openxmlformats.org/officeDocument/2006/relationships/hyperlink" Id="rId104" Target="https://doi.org/10.2307/2110623" TargetMode="External" /><Relationship Type="http://schemas.openxmlformats.org/officeDocument/2006/relationships/hyperlink" Id="rId57" Target="https://doi.org/10.2307/2952259" TargetMode="External" /><Relationship Type="http://schemas.openxmlformats.org/officeDocument/2006/relationships/hyperlink" Id="rId159" Target="https://doi.org/10.4324/9780203202050" TargetMode="External" /><Relationship Type="http://schemas.openxmlformats.org/officeDocument/2006/relationships/hyperlink" Id="rId151" Target="https://doi.org/10.5509/2019923443" TargetMode="External" /><Relationship Type="http://schemas.openxmlformats.org/officeDocument/2006/relationships/hyperlink" Id="rId88" Target="https://doi.org/10.56021/9780801860140" TargetMode="External" /><Relationship Type="http://schemas.openxmlformats.org/officeDocument/2006/relationships/hyperlink" Id="rId74" Target="https://doi.org/10.7312/chu-145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Meaning of Losing: How Democratic Erosion Reshapes Citizens’ Conceptions of Democracy</dc:title>
  <dc:creator>Jeffrey Stark</dc:creator>
  <cp:keywords>democratic conceptions, electoral losers, procedural democracy, Thailand, South Korea</cp:keywords>
  <dcterms:created xsi:type="dcterms:W3CDTF">2026-03-03T04:06:14Z</dcterms:created>
  <dcterms:modified xsi:type="dcterms:W3CDTF">2026-03-03T04:06:14Z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democratic erosion reshape not just how citizens evaluate democracy but what they understand it to mean? Electoral losers across eleven Asian democracies consistently gravitate toward liberal-procedural conceptions of democracy—free expression, media freedom, judicial accountability—while winners orient toward substantive outcomes like economic equality and welfare. The gap is small in the aggregate. Context makes it consequential. In Thailand, the procedural-substantive divide between winners and losers widened from near zero to over twenty percentage points across a single decade of democratic erosion culminating in the 2014 coup; in South Korea, where a constitutional crisis of comparable severity was resolved through institutional channels, it barely moved. Drawing on four waves of Asian Barometer Survey data (2005–2022, n = 23,464 respondents with vote choice and democratic conceptions items), multinomial logit models with country and wave fixed effects estimate this winner-loser gap while three mechanism tests distinguish positional updating from stable cultural sorting: the loser effect amplifies where citizens perceive elections as unfair, does not extend to non-procedural domains such as material welfare, and persists after demographic reweighting holds coalition composition constant. If exclusion from political authority—rather than prior disposition—drives how citizens define democracy, the implications for democratic resilience are troubling. Erosion concentrates procedural commitments among those whom the political system has rendered least capable of defending them.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2026-03-03</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resources">
    <vt:lpwstr/>
  </property>
  <property fmtid="{D5CDD505-2E9C-101B-9397-08002B2CF9AE}" pid="17" name="toc-title">
    <vt:lpwstr>Table of contents</vt:lpwstr>
  </property>
</Properties>
</file>