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uthor"/>
      </w:pPr>
      <w:r>
        <w:t xml:space="preserve">Jeffrey Stark</w:t>
      </w:r>
    </w:p>
    <w:p>
      <w:pPr>
        <w:pStyle w:val="Date"/>
      </w:pPr>
      <w:r>
        <w:t xml:space="preserve">2026-03-05</w:t>
      </w:r>
    </w:p>
    <w:p>
      <w:pPr>
        <w:pStyle w:val="AbstractTitle"/>
      </w:pPr>
      <w:r>
        <w:t xml:space="preserve">Abstract</w:t>
      </w:r>
    </w:p>
    <w:p>
      <w:pPr>
        <w:pStyle w:val="Abstract"/>
      </w:pPr>
      <w:r>
        <w:t xml:space="preserve">Does democratic erosion reshape not just how citizens evaluate democracy but what they understand it to mean? Electoral losers across eleven Asian democracies consistently gravitate toward liberal-procedural conceptions of democracy—free expression, media freedom, judicial accountability—while winners orient toward substantive outcomes like economic equality and welfare. The gap is small in the aggregate. Context makes it consequential. In Thailand, the procedural-substantive divide between winners and losers widened from near zero to over twenty percentage points across a decade spanning the 2014 coup and its aftermath; in South Korea, where a constitutional crisis of comparable severity was resolved through institutional channels, it barely moved. Drawing on three main waves of Asian Barometer Survey data (2010–2022, n = 23,464) plus a structurally distinct Wave 2 baseline (2005–2008), multinomial logit models with country and wave fixed effects estimate this winner-loser gap while three mechanism tests distinguish positional updating from stable cultural sorting: the loser effect amplifies where citizens perceive elections as unfair, does not extend to non-procedural domains such as material welfare, and persists after demographic reweighting holds coalition composition constant. If exclusion from political authority—rather than prior disposition—drives how citizens define democracy, the implications for democratic resilience are troubling. Erosion concentrates procedural commitments among those whom the political system has rendered least capable of defending them.</w:t>
      </w:r>
    </w:p>
    <w:bookmarkStart w:id="21"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democracy—measured by the difference in procedural versus substantive responses on the Asian Barometer Survey—widened from near zero to over 24 percentage points</w:t>
      </w:r>
      <w:r>
        <w:t xml:space="preserve">(Hu et al. 2008, 2012, 2016; Chu et al. 2022)</w:t>
      </w:r>
      <w:r>
        <w:t xml:space="preserve">.</w:t>
      </w:r>
      <w:r>
        <w:rPr>
          <w:rStyle w:val="FootnoteReference"/>
        </w:rPr>
        <w:footnoteReference w:id="20"/>
      </w:r>
      <w:r>
        <w:t xml:space="preserve"> </w:t>
      </w:r>
      <w:r>
        <w:t xml:space="preserve">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democracy means to citizens, and how the association between that meaning and electoral status varies across repeated cross-sections.</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 These trajectories are not isolated episodes but instances of a broader regional pattern of democratic deconsolidation across Southeast Asia</w:t>
      </w:r>
      <w:r>
        <w:t xml:space="preserve"> </w:t>
      </w:r>
      <w:r>
        <w:t xml:space="preserve">(Mietzner 2021)</w:t>
      </w:r>
      <w:r>
        <w:t xml:space="preserve">. The literatures that should explain these trajectories have developed in parallel. Research on democratic conceptions documents considerable variation in how citizens define democracy—whether in procedural terms emphasizing elections and rights, or substantive terms emphasizing welfare and equality</w:t>
      </w:r>
      <w:r>
        <w:t xml:space="preserve"> </w:t>
      </w:r>
      <w:r>
        <w:t xml:space="preserve">(Dalton and Klingemann 2007; Chu et al. 2008; Ferrin and Kriesi 2016)</w:t>
      </w:r>
      <w:r>
        <w:t xml:space="preserve">—but has largely treated those conceptions as stable cultural orientations, shaped by socialization and slow-moving value change. The winner-loser gap literature, meanwhile, has demonstrated that electoral status predicts satisfaction with democracy, institutional trust, and willingness to accept political outcomes</w:t>
      </w:r>
      <w:r>
        <w:t xml:space="preserve"> </w:t>
      </w:r>
      <w:r>
        <w:t xml:space="preserve">(Anderson et al. 2005; Anderson and LoTempio 2002; Esaiasson 2011)</w:t>
      </w:r>
      <w:r>
        <w:t xml:space="preserve">. Both literatures assume, implicitly, that winners and losers are evaluating the same object when they express views about</w:t>
      </w:r>
      <w:r>
        <w:t xml:space="preserve"> </w:t>
      </w:r>
      <w:r>
        <w:t xml:space="preserve">“democracy.”</w:t>
      </w:r>
      <w:r>
        <w:t xml:space="preserve"> </w:t>
      </w:r>
      <w:r>
        <w:t xml:space="preserve">Neither has examined whether electoral status shapes not just how citizens evaluate democracy but how they understand it.</w:t>
      </w:r>
    </w:p>
    <w:p>
      <w:pPr>
        <w:pStyle w:val="BodyText"/>
      </w:pPr>
      <w:r>
        <w:t xml:space="preserve">I estimate multinomial logit models on three main waves of Asian Barometer Survey data (2010–2022), with an analytic sample of 23,464 voters across 11 countries, supplemented by a structurally distinct Wave 2 baseline (2005–2008) that provides an independent replication on a different instrument. Electoral losers consistently gravitate toward procedural elements of democracy—competitive elections, civil liberties, government accountability—at the expense of substantive outcomes like economic equality or welfare provision. In pooled cross-national estimates, these effects are individually small, on the order of two to four percentage points per item. But the pattern holds across twenty items drawn from five separate survey batteries, and it is the directional consistency—not any single coefficient—that constitutes the substantive finding. More importantly, the effect is not constant. It tracks democratic erosion in Thailand, holds steady amid institutional resilience in South Korea, and sits persistently high in Cambodia, where competitive authoritarianism ensured the stakes of losing were extreme from the start.</w:t>
      </w:r>
    </w:p>
    <w:p>
      <w:pPr>
        <w:pStyle w:val="BodyText"/>
      </w:pPr>
      <w:r>
        <w:t xml:space="preserve">The pattern is consistent with what I term positional updating: people shut out of political authority start paying closer attention to the procedural guardrails—courts, press freedom, the right to organize—that might eventually restore their access to power. The fairness mechanism test offers the strongest backing for this reading. Among respondents who see elections as unfair, precisely the situation where procedural threat bites hardest, the loser effect sharpens considerably. It does not bleed into material welfare perceptions, which rules out generalized discontent as the driver. A demographic reweighting exercise also confirms that the widening Thai gap is not a compositional artifact. No single test here establishes causation. But collectively, these results sit badly with accounts treating democratic conceptions as stable cultural orientations.</w:t>
      </w:r>
    </w:p>
    <w:p>
      <w:pPr>
        <w:pStyle w:val="BodyText"/>
      </w:pPr>
      <w:r>
        <w:t xml:space="preserve">What emerges complicates recent optimism about democratic resilience. Can broad public commitment to democracy check backsliding</w:t>
      </w:r>
      <w:r>
        <w:t xml:space="preserve"> </w:t>
      </w:r>
      <w:r>
        <w:t xml:space="preserve">(Claassen 2020; Svolik 2019; Graham and Svolik 2020)</w:t>
      </w:r>
      <w:r>
        <w:t xml:space="preserve">? The evidence here points the other way. Where erosion cuts deepest, the citizens who care most about procedural safeguards are the ones with the least political leverage. Winners coasting on the prevailing order have little reason to define democracy around free elections or civil liberties. Losers have every reason—and no power to act on it. If this dynamic is widespread, aggregate democratic support measures may be painting too rosy a picture: winners indifferent to procedures and losers passionate about them but sidelined, all averaged into a single reassuring number.</w:t>
      </w:r>
    </w:p>
    <w:p>
      <w:pPr>
        <w:pStyle w:val="BodyText"/>
      </w:pPr>
      <w:r>
        <w:t xml:space="preserve">One further pattern deserves attention, visible regardless of modeling approach but preserved by the multinomial specification’s refusal to collapse responses into binary indicators. What losers gravitate toward is not elections per se but the liberal infrastructure of democracy—media freedom, free expression, the right to organize. That distinction reshapes how we should think about electoral experience and democratic commitment. I return to it in the discussion.</w:t>
      </w:r>
    </w:p>
    <w:bookmarkEnd w:id="21"/>
    <w:bookmarkStart w:id="26" w:name="X4847605da6811474624618573a5708060835a16"/>
    <w:p>
      <w:pPr>
        <w:pStyle w:val="Heading1"/>
      </w:pPr>
      <w:r>
        <w:t xml:space="preserve">Positional Updating and Democratic Conceptions</w:t>
      </w:r>
    </w:p>
    <w:p>
      <w:pPr>
        <w:pStyle w:val="FirstParagraph"/>
      </w:pPr>
      <w:r>
        <w:t xml:space="preserve">The argument begins with the observation that citizens hold meaningfully different conceptions of democracy, varying in the weight they assign to procedural rules versus substantive outcomes. From there it draws on the winner-loser gap literature to argue that electoral status creates systematically different orientations toward these dimensions, before specifying the mechanism—positional updating—and deriving predictions that distinguish it from competing accounts.</w:t>
      </w:r>
    </w:p>
    <w:bookmarkStart w:id="22" w:name="the-procedural-substantive-distinction"/>
    <w:p>
      <w:pPr>
        <w:pStyle w:val="Heading2"/>
      </w:pPr>
      <w:r>
        <w:t xml:space="preserve">The procedural-substantive distinction</w:t>
      </w:r>
    </w:p>
    <w:p>
      <w:pPr>
        <w:pStyle w:val="FirstParagraph"/>
      </w:pPr>
      <w:r>
        <w:t xml:space="preserve">Comparative research has long distinguished procedural from substantive visions of democracy. On one side sit definitions anchored in rules and institutions—competitive elections, civil liberties, the rule of law, and the accountability mechanisms that keep officeholders in check</w:t>
      </w:r>
      <w:r>
        <w:t xml:space="preserve"> </w:t>
      </w:r>
      <w:r>
        <w:t xml:space="preserve">(Dahl 1977; Schumpeter 2013; Schedler 1998)</w:t>
      </w:r>
      <w:r>
        <w:t xml:space="preserve">. On the other, definitions organized around government delivery: reduced inequality, social protection, responsiveness to popular demands</w:t>
      </w:r>
      <w:r>
        <w:t xml:space="preserve"> </w:t>
      </w:r>
      <w:r>
        <w:t xml:space="preserve">(Diamond 1999; Linz and Stepan 1996)</w:t>
      </w:r>
      <w:r>
        <w:t xml:space="preserve">. Ordinary people hold both kinds of conceptions. The balance tips with context—publics in younger democracies lean substantive, those in consolidated democracies lean procedural</w:t>
      </w:r>
      <w:r>
        <w:t xml:space="preserve"> </w:t>
      </w:r>
      <w:r>
        <w:t xml:space="preserve">(Dalton and Klingemann 2007; Bratton and Mattes 2001)</w:t>
      </w:r>
      <w:r>
        <w:t xml:space="preserve">—but nowhere is the mix as variegated as in Asia, where procedural and substantive elements blend in ways that vary enormously across and within countries</w:t>
      </w:r>
      <w:r>
        <w:t xml:space="preserve"> </w:t>
      </w:r>
      <w:r>
        <w:t xml:space="preserve">(Chu et al. 2008; Chu and Huang 2010; Cho 2014; Shin and Kim 2018)</w:t>
      </w:r>
      <w:r>
        <w:t xml:space="preserve">. Partisanship complicates things further.</w:t>
      </w:r>
      <w:r>
        <w:t xml:space="preserve"> </w:t>
      </w:r>
      <w:r>
        <w:t xml:space="preserve">Hsiao and Yu (2020)</w:t>
      </w:r>
      <w:r>
        <w:t xml:space="preserve"> </w:t>
      </w:r>
      <w:r>
        <w:t xml:space="preserve">show that affective polarization in Taiwan erodes support for democracy, evidence that political position—not just cultural inheritance—shapes how citizens relate to democratic principles.</w:t>
      </w:r>
    </w:p>
    <w:p>
      <w:pPr>
        <w:pStyle w:val="BodyText"/>
      </w:pPr>
      <w:r>
        <w:t xml:space="preserve">The stakes are concrete. If democracy means free elections, then competitive voting may suffice for legitimacy; if it means economic equality, procedural compliance without material progress breeds disillusionment. How citizens define democracy shapes how they evaluate it. Yet the dominant scholarly treatment has been to view conceptions as stable—cultural inheritances shaped by historical experience, regime type, or modernization trajectories</w:t>
      </w:r>
      <w:r>
        <w:t xml:space="preserve"> </w:t>
      </w:r>
      <w:r>
        <w:t xml:space="preserve">(Shin 2011; Inglehart 1997; Canache 2012; Ferrin and Kriesi 2016)</w:t>
      </w:r>
      <w:r>
        <w:t xml:space="preserve">. The question of what drives</w:t>
      </w:r>
      <w:r>
        <w:t xml:space="preserve"> </w:t>
      </w:r>
      <w:r>
        <w:rPr>
          <w:i/>
          <w:iCs/>
        </w:rPr>
        <w:t xml:space="preserve">within-country, within-period</w:t>
      </w:r>
      <w:r>
        <w:t xml:space="preserve"> </w:t>
      </w:r>
      <w:r>
        <w:t xml:space="preserve">variation in how individual citizens conceptualize democracy has gone largely unasked.</w:t>
      </w:r>
    </w:p>
    <w:bookmarkEnd w:id="22"/>
    <w:bookmarkStart w:id="23"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Decades of research have established that citizens whose preferred party prevailed in the most recent election look different attitudinally from those whose party lost: winners report higher institutional trust, greater satisfaction with democracy, and more willingness to accept political outcomes</w:t>
      </w:r>
      <w:r>
        <w:t xml:space="preserve"> </w:t>
      </w:r>
      <w:r>
        <w:t xml:space="preserve">(Anderson et al. 2005; Anderson and LoTempio 2002; Nadeau and Blais 1993)</w:t>
      </w:r>
      <w:r>
        <w:t xml:space="preserve">. How large these gaps are depends on institutional design—losers in majoritarian systems tend to be more discontented than losers in consensus democracies</w:t>
      </w:r>
      <w:r>
        <w:t xml:space="preserve"> </w:t>
      </w:r>
      <w:r>
        <w:t xml:space="preserve">(Anderson and Guillory 1997; Singh et al. 2012)</w:t>
      </w:r>
      <w:r>
        <w:t xml:space="preserve">—and perceptions of procedural fairness play a mediating role</w:t>
      </w:r>
      <w:r>
        <w:t xml:space="preserve"> </w:t>
      </w:r>
      <w:r>
        <w:t xml:space="preserve">(Esaiasson 2011; Esaiasson and Öhberg 2020)</w:t>
      </w:r>
      <w:r>
        <w:t xml:space="preserve">. More recent work has extended these findings to non-Western contexts and hybrid regimes</w:t>
      </w:r>
      <w:r>
        <w:t xml:space="preserve"> </w:t>
      </w:r>
      <w:r>
        <w:t xml:space="preserve">(Blais et al. 2025; Mauk 2020)</w:t>
      </w:r>
      <w:r>
        <w:t xml:space="preserve">, while</w:t>
      </w:r>
      <w:r>
        <w:t xml:space="preserve"> </w:t>
      </w:r>
      <w:r>
        <w:t xml:space="preserve">Monsiváis-Carrillo (2020)</w:t>
      </w:r>
      <w:r>
        <w:t xml:space="preserve"> </w:t>
      </w:r>
      <w:r>
        <w:t xml:space="preserve">finds that winners are</w:t>
      </w:r>
      <w:r>
        <w:t xml:space="preserve"> </w:t>
      </w:r>
      <w:r>
        <w:t xml:space="preserve">“permissive”</w:t>
      </w:r>
      <w:r>
        <w:t xml:space="preserve"> </w:t>
      </w:r>
      <w:r>
        <w:t xml:space="preserve">in their assessments of democratic freedoms regardless of actual institutional quality—it is losers who discriminate between functioning and degraded protections. In a particularly relevant study,</w:t>
      </w:r>
      <w:r>
        <w:t xml:space="preserve"> </w:t>
      </w:r>
      <w:r>
        <w:t xml:space="preserve">Ricks and Hicken (2025)</w:t>
      </w:r>
      <w:r>
        <w:t xml:space="preserve"> </w:t>
      </w:r>
      <w:r>
        <w:t xml:space="preserve">show that Thailand’s 2023 election—held under a hybrid regime with military-drafted rules—nonetheless generated the classic winner-loser divergence in attitudes toward state institutions, evidence that the mechanism is not confined to full democracies.</w:t>
      </w:r>
    </w:p>
    <w:p>
      <w:pPr>
        <w:pStyle w:val="BodyText"/>
      </w:pPr>
      <w:r>
        <w:t xml:space="preserve">The limitation is one of scope: this literature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p>
      <w:pPr>
        <w:pStyle w:val="BodyText"/>
      </w:pPr>
      <w:r>
        <w:t xml:space="preserve">The question of whether electoral status shapes conceptions, not just evaluations, has begun to attract attention, though the existing work stops short of the dynamic, erosion-conditional account developed here.</w:t>
      </w:r>
      <w:r>
        <w:t xml:space="preserve"> </w:t>
      </w:r>
      <w:r>
        <w:t xml:space="preserve">Cohen et al. (2023)</w:t>
      </w:r>
      <w:r>
        <w:t xml:space="preserve"> </w:t>
      </w:r>
      <w:r>
        <w:t xml:space="preserve">invert the classic</w:t>
      </w:r>
      <w:r>
        <w:t xml:space="preserve"> </w:t>
      </w:r>
      <w:r>
        <w:t xml:space="preserve">“losers’ consent”</w:t>
      </w:r>
      <w:r>
        <w:t xml:space="preserve"> </w:t>
      </w:r>
      <w:r>
        <w:t xml:space="preserve">framework by tracking Brazilian voters through Bolsonaro’s 2018 victory; they find that winners’ abstract support for democracy rose even as their tolerance for executive self-coups—closing Congress, sidelining the Supreme Court—increased in tandem. The result is a portrait of superficial democratic commitment: winners embrace the system’s label while hollowing out its procedural substance. Cohen et al. do not, however, examine whether winners and losers come to define democracy differently; their dependent variables remain evaluations of democratic institutions rather than conceptions of what those institutions should look like.</w:t>
      </w:r>
      <w:r>
        <w:t xml:space="preserve"> </w:t>
      </w:r>
      <w:r>
        <w:t xml:space="preserve">Wu and Wu (2022)</w:t>
      </w:r>
      <w:r>
        <w:t xml:space="preserve"> </w:t>
      </w:r>
      <w:r>
        <w:t xml:space="preserve">take up the conceptual question directly. Using the same Asian Barometer data I employ here, they find that the winner-loser gap in liberal democratic values is substantially larger in competitive authoritarian regimes than in democracies—consistent with the expectation—formalized as H2 below—that the gap should be larger where losing carries higher stakes. But their framework holds regime type fixed as a cross-sectional moderator, which means it cannot track the</w:t>
      </w:r>
      <w:r>
        <w:t xml:space="preserve"> </w:t>
      </w:r>
      <w:r>
        <w:rPr>
          <w:i/>
          <w:iCs/>
        </w:rPr>
        <w:t xml:space="preserve">emergence</w:t>
      </w:r>
      <w:r>
        <w:t xml:space="preserve"> </w:t>
      </w:r>
      <w:r>
        <w:t xml:space="preserve">of conceptual divergence as a country slides from democracy into authoritarianism. That is precisely what the Thai trajectory documents.</w:t>
      </w:r>
      <w:r>
        <w:t xml:space="preserve"> </w:t>
      </w:r>
      <w:r>
        <w:t xml:space="preserve">Bryan (2023)</w:t>
      </w:r>
      <w:r>
        <w:t xml:space="preserve"> </w:t>
      </w:r>
      <w:r>
        <w:t xml:space="preserve">goes furthest, showing across seventy-four countries that partisans in power hold more illiberal conceptions of democracy while still professing support for the democratic label—a pattern he frames as universal partisan-motivated reasoning. The global scope is impressive. The universality, though, is also the problem: if conceptual divergence is simply what holding power does to people, it should appear everywhere and always. South Korea’s negligible gap despite dramatic political upheaval is hard to explain on those terms. Where my framework departs from all three is in specifying democratic erosion as the conditioning variable. Not a single authoritarian victory</w:t>
      </w:r>
      <w:r>
        <w:t xml:space="preserve"> </w:t>
      </w:r>
      <w:r>
        <w:t xml:space="preserve">(Cohen et al. 2023)</w:t>
      </w:r>
      <w:r>
        <w:t xml:space="preserve">. Not a static regime category</w:t>
      </w:r>
      <w:r>
        <w:t xml:space="preserve"> </w:t>
      </w:r>
      <w:r>
        <w:t xml:space="preserve">(Wu and Wu 2022)</w:t>
      </w:r>
      <w:r>
        <w:t xml:space="preserve">. Not an unconditional cognitive bias (Bryan). A dynamic process—one that raises the stakes of exclusion and, in doing so, sharpens losers’ procedural orientation.</w:t>
      </w:r>
    </w:p>
    <w:bookmarkEnd w:id="23"/>
    <w:bookmarkStart w:id="24"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what I call positional updating. The core logic turns on asymmetric salience: procedures and outcomes carry different weight depending on whether one is in or out of power. If your party runs the government, your attention naturally drifts toward policy outputs—what is being built, distributed, reformed. If your party lost, the rules of the game suddenly matter a great deal. Is there a fair shot at winning next time? Can the press still criticize? Can the courts still push back?</w:t>
      </w:r>
    </w:p>
    <w:p>
      <w:pPr>
        <w:pStyle w:val="BodyText"/>
      </w:pPr>
      <w:r>
        <w:t xml:space="preserve">Experimental and quasi-experimental work supports this logic.</w:t>
      </w:r>
      <w:r>
        <w:t xml:space="preserve"> </w:t>
      </w:r>
      <w:r>
        <w:t xml:space="preserve">Halliez and Thornton (2023)</w:t>
      </w:r>
      <w:r>
        <w:t xml:space="preserve"> </w:t>
      </w:r>
      <w:r>
        <w:t xml:space="preserve">find that the winner-loser gap in democratic satisfaction forms only after electoral uncertainty resolves—it is the experience of</w:t>
      </w:r>
      <w:r>
        <w:t xml:space="preserve"> </w:t>
      </w:r>
      <w:r>
        <w:rPr>
          <w:i/>
          <w:iCs/>
        </w:rPr>
        <w:t xml:space="preserve">knowing</w:t>
      </w:r>
      <w:r>
        <w:t xml:space="preserve"> </w:t>
      </w:r>
      <w:r>
        <w:t xml:space="preserve">one’s status, not pre-existing dispositional differences, that does the work. The underlying cognitive process is motivated cognition</w:t>
      </w:r>
      <w:r>
        <w:t xml:space="preserve"> </w:t>
      </w:r>
      <w:r>
        <w:t xml:space="preserve">(Kunda 1990; Taber and Lodge 2006)</w:t>
      </w:r>
      <w:r>
        <w:t xml:space="preserve">. People do not arrive at their understanding of democracy through disinterested reflection. They attend to whichever dimensions of democracy bear most directly on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A clarification is in order: this framework does not require losers to sit down and calculate their odds of returning to power. The mechanism is more basic than that. People who backed the losing side—whatever their party’s organizational heft—find themselves on the outside of the coalition that runs the state, makes policy, and allocates resources. That structural fact sharpens their awareness of the procedural guardrails that limit what incumbents can do. It is not that losers cynically adopt a procedural vocabulary; it is that procedural protections become more relevant to people who lack access to executive power.</w:t>
      </w:r>
    </w:p>
    <w:p>
      <w:pPr>
        <w:pStyle w:val="BodyText"/>
      </w:pPr>
      <w:r>
        <w:t xml:space="preserve">This exclusion-based reading yields a testable distinction. If positional updating were really about partisan strategy—opposition leaders rallying their base around procedural rhetoric—we would expect the effect to cluster among supporters of the main opposition party, whose leadership has both the organizational muscle and the electoral motive to wave the procedural banner. But if what drives the effect is the more diffuse experience of being locked out of government, then the procedural orientation should show up across the board: minor-party supporters, independents, anyone who did not back the winner. The supplementary analysis in Appendix J confirms the latter pattern.</w:t>
      </w:r>
    </w:p>
    <w:p>
      <w:pPr>
        <w:pStyle w:val="BodyText"/>
      </w:pPr>
      <w:r>
        <w:t xml:space="preserve">From this positional account I derive three predictions. Each one helps separate the positional story from the most obvious rival—that democratic conceptions are essentially stable cultural orientations or fixed personality traits.</w:t>
      </w:r>
    </w:p>
    <w:p>
      <w:pPr>
        <w:pStyle w:val="BodyText"/>
      </w:pPr>
      <w:r>
        <w:t xml:space="preserve">The first prediction is shared with the cultural account: losers should lean procedural and winners should lean substantive. A cultural explanation could generate the same cross-sectional pattern by pointing to the ideological profiles of parties that happen to be in opposition. So H1 alone cannot adjudicate between the two.</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The second prediction is where the positional logic starts to bite. If what matters is the</w:t>
      </w:r>
      <w:r>
        <w:t xml:space="preserve"> </w:t>
      </w:r>
      <w:r>
        <w:rPr>
          <w:i/>
          <w:iCs/>
        </w:rPr>
        <w:t xml:space="preserve">stakes</w:t>
      </w:r>
      <w:r>
        <w:t xml:space="preserve"> </w:t>
      </w:r>
      <w:r>
        <w:t xml:space="preserve">of losing, then the gap should widen where losing really hurts—where institutions are weak, alternation is rare, and exclusion from power threatens to become permanent. Loss aversion</w:t>
      </w:r>
      <w:r>
        <w:t xml:space="preserve"> </w:t>
      </w:r>
      <w:r>
        <w:t xml:space="preserve">(Kahneman and Tversky 1979)</w:t>
      </w:r>
      <w:r>
        <w:t xml:space="preserve"> </w:t>
      </w:r>
      <w:r>
        <w:t xml:space="preserve">reinforces the point: the prospect of losing established rights weighs more heavily than the prospect of gaining new benefits, which should amplify losers’ procedural orientation in high-stakes environments.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p>
      <w:pPr>
        <w:pStyle w:val="BodyText"/>
      </w:pPr>
      <w:r>
        <w:t xml:space="preserve">One further distinction follows from the positional logic and bears stating before turning to the evidence. Not all procedural elements of democracy serve losers equally. Constraint-based safeguards—an independent judiciary, media freedom, the right to free expression and association—protect political minorities regardless of who governs. Their value to the excluded is unconditional: courts and a free press constrain incumbents whether or not elections are fair. Selection-based mechanisms—elections themselves, multiparty competition—serve a different function: they are the instruments through which power changes hands. When elections work, losers have every reason to prize them. But when democratic erosion has corrupted the electoral process, the very institution that is supposed to enable turnover becomes suspect. The positional framework therefore predicts not a uniform procedural orientation among losers but a</w:t>
      </w:r>
      <w:r>
        <w:t xml:space="preserve"> </w:t>
      </w:r>
      <w:r>
        <w:rPr>
          <w:i/>
          <w:iCs/>
        </w:rPr>
        <w:t xml:space="preserve">structured</w:t>
      </w:r>
      <w:r>
        <w:t xml:space="preserve"> </w:t>
      </w:r>
      <w:r>
        <w:t xml:space="preserve">one: losers should gravitate toward protective procedures under all conditions, while their orientation toward participatory procedures should be conditional on whether they perceive the electoral mechanism as intact. This protective-participatory distinction, which has been implicit in theoretical treatments from</w:t>
      </w:r>
      <w:r>
        <w:t xml:space="preserve"> </w:t>
      </w:r>
      <w:r>
        <w:t xml:space="preserve">Dahl (1977)</w:t>
      </w:r>
      <w:r>
        <w:t xml:space="preserve"> </w:t>
      </w:r>
      <w:r>
        <w:t xml:space="preserve">through</w:t>
      </w:r>
      <w:r>
        <w:t xml:space="preserve"> </w:t>
      </w:r>
      <w:r>
        <w:t xml:space="preserve">Schedler (1998)</w:t>
      </w:r>
      <w:r>
        <w:t xml:space="preserve">, generates specific expectations for the fairness interaction test reported below.</w:t>
      </w:r>
    </w:p>
    <w:bookmarkEnd w:id="24"/>
    <w:bookmarkStart w:id="25" w:name="positional-updating-and-elite-cueing"/>
    <w:p>
      <w:pPr>
        <w:pStyle w:val="Heading2"/>
      </w:pPr>
      <w:r>
        <w:t xml:space="preserve">Positional Updating and Elite Cueing</w:t>
      </w:r>
    </w:p>
    <w:p>
      <w:pPr>
        <w:pStyle w:val="FirstParagraph"/>
      </w:pPr>
      <w:r>
        <w:t xml:space="preserve">The most plausible rival to positional updating is not stable dispositions but elite cueing: the possibility that party elites strategically reframe democratic rhetoric, and their supporters absorb the new language. In Thailand’s post-2006 turmoil, the Democrat Party and its allied movements increasingly invoked judicial independence and media freedom as bulwarks against Thaksin’s perceived majoritarian excesses. If losers adopted procedural language because their party told them to, the observed pattern would look identical to positional updating without any independent cognitive response to exclusion.</w:t>
      </w:r>
    </w:p>
    <w:p>
      <w:pPr>
        <w:pStyle w:val="BodyText"/>
      </w:pPr>
      <w:r>
        <w:t xml:space="preserve">Two observable implications distinguish the mechanisms—imperfectly but usefully. Elite cueing predicts that the procedural shift should concentrate among strong partisans with high exposure to party messaging. Positional updating, by contrast, predicts a broader effect: even weakly attached losers and supporters of minor parties, who lack a coherent elite signal, should exhibit procedural orientations if the operative mechanism is exclusion from governing authority rather than absorption of party rhetoric. Appendix J’s three-way decomposition speaks to this. Other Losers—minor party supporters and independents with minimal exposure to organized opposition messaging—turn out to hold procedural orientations comparable to Key Opposition supporters in all three countries where the decomposition is feasible. The loser effect does not appear to be an artifact of opposition party mobilization alone.</w:t>
      </w:r>
    </w:p>
    <w:p>
      <w:pPr>
        <w:pStyle w:val="BodyText"/>
      </w:pPr>
      <w:r>
        <w:t xml:space="preserve">A second distinguishing implication concerns temporal dynamics. Elite cueing should track specific rhetorical campaigns and their reach; it should spike when elites actively contest democratic norms and dissipate when the rhetorical environment shifts. Positional updating tied to institutional exclusion, by contrast, should cumulate as erosion deepens and institutions become demonstrably less protective. Thailand’s trajectory—where the procedural gap widens monotonically from Wave 3 through Wave 6 despite substantial shifts in the rhetorical landscape, including a military government that actively suppressed opposition messaging after 2014—fits the exclusion story better than a cueing account that requires sustained rhetorical transmission.</w:t>
      </w:r>
    </w:p>
    <w:p>
      <w:pPr>
        <w:pStyle w:val="BodyText"/>
      </w:pPr>
      <w:r>
        <w:t xml:space="preserve">These tests are suggestive, not definitive. Elite cueing and positional updating likely operate simultaneously, and the data cannot cleanly separate their contributions. The claim here is narrower: the patterns are not</w:t>
      </w:r>
      <w:r>
        <w:t xml:space="preserve"> </w:t>
      </w:r>
      <w:r>
        <w:rPr>
          <w:i/>
          <w:iCs/>
        </w:rPr>
        <w:t xml:space="preserve">solely</w:t>
      </w:r>
      <w:r>
        <w:t xml:space="preserve"> </w:t>
      </w:r>
      <w:r>
        <w:t xml:space="preserve">attributable to elite cueing, and the exclusion-based mechanism adds explanatory value beyond what a cueing account alone would predict.</w:t>
      </w:r>
    </w:p>
    <w:bookmarkEnd w:id="25"/>
    <w:bookmarkEnd w:id="26"/>
    <w:bookmarkStart w:id="33" w:name="data-and-methods"/>
    <w:p>
      <w:pPr>
        <w:pStyle w:val="Heading1"/>
      </w:pPr>
      <w:r>
        <w:t xml:space="preserve">Data and Methods</w:t>
      </w:r>
    </w:p>
    <w:bookmarkStart w:id="28" w:name="data"/>
    <w:p>
      <w:pPr>
        <w:pStyle w:val="Heading2"/>
      </w:pPr>
      <w:r>
        <w:t xml:space="preserve">Data</w:t>
      </w:r>
    </w:p>
    <w:p>
      <w:pPr>
        <w:pStyle w:val="FirstParagraph"/>
      </w:pPr>
      <w:r>
        <w:t xml:space="preserve">I use the Asian Barometer Survey (ABS), a regional comparative project that has tracked democratic values across Asia since 2001. The ABS spans the full range of regime types</w:t>
      </w:r>
      <w:r>
        <w:t xml:space="preserve"> </w:t>
      </w:r>
      <w:r>
        <w:t xml:space="preserve">(Chu et al. 2016)</w:t>
      </w:r>
      <w:r>
        <w:t xml:space="preserve"> </w:t>
      </w:r>
      <w:r>
        <w:t xml:space="preserve">and—crucially for present purposes—employs forced-choice items that require respondents to prioritize among competing democratic values, which provides sharper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r>
        <w:rPr>
          <w:rStyle w:val="FootnoteReference"/>
        </w:rPr>
        <w:footnoteReference w:id="27"/>
      </w:r>
    </w:p>
    <w:bookmarkEnd w:id="28"/>
    <w:bookmarkStart w:id="30"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throughout—a simplification, certainly, since it treats a voter for a marginal coalition partner identically to a voter for the dominant governing party, but one that is standard in the literature and that preserves comparability across very different party systems.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9"/>
      </w:r>
    </w:p>
    <w:bookmarkEnd w:id="30"/>
    <w:bookmarkStart w:id="31" w:name="what-this-article-can-and-cannot-claim"/>
    <w:p>
      <w:pPr>
        <w:pStyle w:val="Heading2"/>
      </w:pPr>
      <w:r>
        <w:t xml:space="preserve">What This Article Can and Cannot Claim</w:t>
      </w:r>
    </w:p>
    <w:p>
      <w:pPr>
        <w:pStyle w:val="FirstParagraph"/>
      </w:pPr>
      <w:r>
        <w:t xml:space="preserve">The research design imposes constraints that shape every claim in this article. The Asian Barometer Survey is a repeated cross-section, not a panel: different respondents are sampled in each wave. Individual-level change—the gold standard for an</w:t>
      </w:r>
      <w:r>
        <w:t xml:space="preserve"> </w:t>
      </w:r>
      <w:r>
        <w:t xml:space="preserve">“updating”</w:t>
      </w:r>
      <w:r>
        <w:t xml:space="preserve"> </w:t>
      </w:r>
      <w:r>
        <w:t xml:space="preserve">claim—is unobservable. What the data</w:t>
      </w:r>
      <w:r>
        <w:t xml:space="preserve"> </w:t>
      </w:r>
      <w:r>
        <w:rPr>
          <w:i/>
          <w:iCs/>
        </w:rPr>
        <w:t xml:space="preserve">can</w:t>
      </w:r>
      <w:r>
        <w:t xml:space="preserve"> </w:t>
      </w:r>
      <w:r>
        <w:t xml:space="preserve">reveal is whether the aggregate relationship between electoral status and democratic conceptions shifts across institutional contexts and over time in ways that are consistent with positional updating and difficult to reconcile with the leading alternatives.</w:t>
      </w:r>
    </w:p>
    <w:p>
      <w:pPr>
        <w:pStyle w:val="BodyText"/>
      </w:pPr>
      <w:r>
        <w:t xml:space="preserve">Three patterns would jointly support such an inference. First, losers should prioritize procedural conceptions more than winners in the pooled cross-section—a necessary but not sufficient condition, since stable dispositional or cultural differences could produce the same pattern. Second, the gap should widen where democratic institutions deteriorate, as the stakes of exclusion rise. Third, the gap should respond to perceived procedural threat at the individual level, concentrating among losers who view elections as unfair rather than appearing uniformly across all losers. No single test is dispositive; the cumulative pattern is the evidence.</w:t>
      </w:r>
    </w:p>
    <w:p>
      <w:pPr>
        <w:pStyle w:val="BodyText"/>
      </w:pPr>
      <w:r>
        <w:t xml:space="preserve">Two identification threats deserve explicit attention. Compositional change—where the</w:t>
      </w:r>
      <w:r>
        <w:t xml:space="preserve"> </w:t>
      </w:r>
      <w:r>
        <w:rPr>
          <w:i/>
          <w:iCs/>
        </w:rPr>
        <w:t xml:space="preserve">type</w:t>
      </w:r>
      <w:r>
        <w:t xml:space="preserve"> </w:t>
      </w:r>
      <w:r>
        <w:t xml:space="preserve">of person supporting winners versus losers shifts across waves—could mimic updating even if no individual changes their views. Demographic reweighting tests (Appendix G) address this partially but cannot rule out realignment on unobserved political dimensions. Elite cueing—parties reframing democratic rhetoric, supporters absorbing it—is better understood as complementary than competing; the Discussion takes up how the observable implications diverge.</w:t>
      </w:r>
    </w:p>
    <w:p>
      <w:pPr>
        <w:pStyle w:val="BodyText"/>
      </w:pPr>
      <w:r>
        <w:t xml:space="preserve">What would falsify the positional interpretation? Most directly, panel data showing that individual citizens do not actually revise their conceptions when they switch from winner to loser status, or vice versa. Short of that, two cross-sectional patterns would seriously weaken the case: if the fairness amplification extended equally to non-procedural domains—suggesting generalized negativity, not procedural-specific updating—or if Thailand’s trajectory turned out to be an artifact of observable demographic realignment between winning and losing coalitions. The mechanism tests that follow probe both possibilities.</w:t>
      </w:r>
    </w:p>
    <w:p>
      <w:pPr>
        <w:pStyle w:val="BodyText"/>
      </w:pPr>
      <w:r>
        <w:t xml:space="preserve">I calibrate all claims to what the design can bear. When I write</w:t>
      </w:r>
      <w:r>
        <w:t xml:space="preserve"> </w:t>
      </w:r>
      <w:r>
        <w:t xml:space="preserve">“the loser effect widens,”</w:t>
      </w:r>
      <w:r>
        <w:t xml:space="preserve"> </w:t>
      </w:r>
      <w:r>
        <w:t xml:space="preserve">I mean the cross-sectional gap measured at different time points, not individual trajectories.</w:t>
      </w:r>
      <w:r>
        <w:t xml:space="preserve"> </w:t>
      </w:r>
      <w:r>
        <w:t xml:space="preserve">“Consistent with positional updating”</w:t>
      </w:r>
      <w:r>
        <w:t xml:space="preserve"> </w:t>
      </w:r>
      <w:r>
        <w:t xml:space="preserve">means the updating framework predicts the pattern and rival accounts do not straightforwardly explain it—not that updating has been demonstrated.</w:t>
      </w:r>
    </w:p>
    <w:bookmarkEnd w:id="31"/>
    <w:bookmarkStart w:id="32" w:name="analytical-strategy"/>
    <w:p>
      <w:pPr>
        <w:pStyle w:val="Heading2"/>
      </w:pPr>
      <w:r>
        <w:t xml:space="preserve">Analytical Strategy</w:t>
      </w:r>
    </w:p>
    <w:p>
      <w:pPr>
        <w:pStyle w:val="FirstParagraph"/>
      </w:pPr>
      <w:r>
        <w:t xml:space="preserve">A binary procedural–substantive indicator would throw away the item-level heterogeneity that is central to this analysis. Instead, each item set is modeled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item—a quantity that is directly interpretable and comparable across all twenty items without requiring the reader to mentally translate log-odds ratios.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The inclusion is not merely a methodological nicety: because Wave 2’s instrument differs in structure from the later waves, replication across both formats provides a check on whether the loser effect is a feature of the underlying political psychology or an artifact of a particular battery design.</w:t>
      </w:r>
    </w:p>
    <w:p>
      <w:pPr>
        <w:pStyle w:val="BodyText"/>
      </w:pPr>
      <w:r>
        <w:t xml:space="preserve">Standard errors are computed via wild cluster bootstrap at the country level</w:t>
      </w:r>
      <w:r>
        <w:t xml:space="preserve"> </w:t>
      </w:r>
      <w:r>
        <w:t xml:space="preserve">(Cameron et al. 2008)</w:t>
      </w:r>
      <w:r>
        <w:t xml:space="preserve">. The rationale is straightforward—with only eleven country clusters, conventional cluster-robust variance estimators produce downward-biased standard errors and over-reject the null—but the practical consequences are worth stating. By imposing the null hypothesis on the bootstrap data-generating process, this procedure trades statistical power for honest inference. The tests throughout the analysis are accordingly conservative, which means that the effects reported below had to clear a higher bar than in most comparative survey research with similar sample sizes.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is where the analysis moves beyond cross-sectional description, allowing direct assessment of whether conceptions of democracy respond to changing political conditions—the central prediction that distinguishes the positional account from cultural or dispositional alternatives.</w:t>
      </w:r>
    </w:p>
    <w:bookmarkEnd w:id="32"/>
    <w:bookmarkEnd w:id="33"/>
    <w:bookmarkStart w:id="50" w:name="results"/>
    <w:p>
      <w:pPr>
        <w:pStyle w:val="Heading1"/>
      </w:pPr>
      <w:r>
        <w:t xml:space="preserve">Results</w:t>
      </w:r>
    </w:p>
    <w:bookmarkStart w:id="35"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bl>
    <w:p>
      <w:pPr>
        <w:pStyle w:val="BodyText"/>
      </w:pPr>
      <w:r>
        <w:t xml:space="preserve">Individually, these effects are not large—on the order of two to four percentage points per item. But individual effect sizes are not the point. What stands out is the sheer consistency of the pattern across twenty items spread over five separate batteries. No single item drives the result; no single battery drives it. Winners and losers occupy measurably different positions in the conceptual space of democratic meaning, and they do so in the same direction virtually everywhere you look: losers zero in on the rules of political competition, winners on the material payoffs of governance.</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add a wrinkle that complicates any neat procedural-versus-substantive framing. Winners gravitate consistently toward governance items emphasizing order and state capacity, with Law and order showing the largest effect (-5.0 pp,</w:t>
      </w:r>
      <w:r>
        <w:t xml:space="preserve"> </w:t>
      </w:r>
      <m:oMath>
        <m:r>
          <m:t>p</m:t>
        </m:r>
      </m:oMath>
      <w:r>
        <w:t xml:space="preserve"> </w:t>
      </w:r>
      <w:r>
        <w:t xml:space="preserve">&lt; 0.001)—the single largest coefficient in Table 1, bigger than even media freedom. What winners favor is not just substantive outcomes in the abstract but a particular</w:t>
      </w:r>
      <w:r>
        <w:t xml:space="preserve"> </w:t>
      </w:r>
      <w:r>
        <w:rPr>
          <w:i/>
          <w:iCs/>
        </w:rPr>
        <w:t xml:space="preserve">vision</w:t>
      </w:r>
      <w:r>
        <w:t xml:space="preserve"> </w:t>
      </w:r>
      <w:r>
        <w:t xml:space="preserve">of democracy: stability, effective administration, the suppression of disorder.</w:t>
      </w:r>
      <w:r>
        <w:t xml:space="preserve"> </w:t>
      </w:r>
      <w:r>
        <w:t xml:space="preserve">Eck and Paulis (2025)</w:t>
      </w:r>
      <w:r>
        <w:t xml:space="preserve"> </w:t>
      </w:r>
      <w:r>
        <w:t xml:space="preserve">report something parallel—electoral winners are less supportive of referendums and other institutional alternatives that might upset the status quo, especially where affective polarization runs high. And losers do not merely favor procedures in general. They favor the procedures of</w:t>
      </w:r>
      <w:r>
        <w:t xml:space="preserve"> </w:t>
      </w:r>
      <w:r>
        <w:rPr>
          <w:i/>
          <w:iCs/>
        </w:rPr>
        <w:t xml:space="preserve">contestation</w:t>
      </w:r>
      <w:r>
        <w:t xml:space="preserve">—the institutional machinery that enables challenges to incumbent power. The procedural-substantive gap computation I use throughout, which sets governance items aside, is therefore conservative. It captures the dimension most directly predicted by the theory while leaving aside a pattern that reinforces the broader finding from a different angle. The order-versus-contestation tension is explored further in the discussion.</w:t>
      </w:r>
    </w:p>
    <w:bookmarkStart w:id="34" w:name="a-note-on-effect-sizes"/>
    <w:p>
      <w:pPr>
        <w:pStyle w:val="Heading3"/>
      </w:pPr>
      <w:r>
        <w:t xml:space="preserve">A Note on Effect Sizes</w:t>
      </w:r>
    </w:p>
    <w:p>
      <w:pPr>
        <w:pStyle w:val="FirstParagraph"/>
      </w:pPr>
      <w:r>
        <w:t xml:space="preserve">Individual item AMEs are small—typically one to three percentage points—which invites the objection that the loser effect is statistically detectable but substantively trivial. Two considerations complicate that conclusion. First, these are average marginal effects from a multinomial outcome with twenty items; probability mass that shifts toward one item must come from others. The consistency of the pattern—9 of 10 procedural items positive, 6 of 6 substantive items negative—matters more than any single coefficient. Under the null hypothesis that loser status is unrelated to democratic conceptions, each item has a 50% probability of showing a positive (or negative) loser effect. Across the sixteen Sets 1–4 items where procedural and substantive predictions are unambiguous, the observed directional consistency (15 of 16 items in the predicted direction) yields</w:t>
      </w:r>
      <w:r>
        <w:t xml:space="preserve"> </w:t>
      </w:r>
      <m:oMath>
        <m:r>
          <m:t>p</m:t>
        </m:r>
        <m:r>
          <m:rPr>
            <m:sty m:val="p"/>
          </m:rPr>
          <m:t>&lt;</m:t>
        </m:r>
        <m:r>
          <m:t>0.001</m:t>
        </m:r>
      </m:oMath>
      <w:r>
        <w:t xml:space="preserve"> </w:t>
      </w:r>
      <w:r>
        <w:t xml:space="preserve">on a one-sided binomial test, confirming that the pattern is unlikely to reflect chance.</w:t>
      </w:r>
    </w:p>
    <w:p>
      <w:pPr>
        <w:pStyle w:val="BodyText"/>
      </w:pPr>
      <w:r>
        <w:t xml:space="preserve">Second, the country-level magnitudes are far from trivial. In Thailand by Wave 6, winners and losers differ by 23.8 percentage points in the probability of selecting any procedural versus any substantive item as democracy’s most essential feature. That gap—moving from near zero at Wave 3 to a large and consistent divergence by Wave 6—has implications for the social foundations on which democratic institutions rest.</w:t>
      </w:r>
    </w:p>
    <w:bookmarkEnd w:id="34"/>
    <w:bookmarkEnd w:id="35"/>
    <w:bookmarkStart w:id="40" w:name="X77b8d0d5e817643f9801f7963d5da2645c9f997"/>
    <w:p>
      <w:pPr>
        <w:pStyle w:val="Heading2"/>
      </w:pPr>
      <w:r>
        <w:t xml:space="preserve">Democratic Erosion and Institutional Resilience</w:t>
      </w:r>
    </w:p>
    <w:p>
      <w:pPr>
        <w:pStyle w:val="FirstParagraph"/>
      </w:pPr>
      <w:r>
        <w:t xml:space="preserve">So losers lean procedural in the pooled data. But the theory predicts more than a cross-sectional association—it predicts that the gap should move with political conditions within countries over time (H2 and H3). Figure 1 plots the procedural-substantive gap by country across survey waves; positive values mean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9" w:name="fig-trajectories"/>
          <w:p>
            <w:pPr>
              <w:pStyle w:val="Compact"/>
              <w:jc w:val="center"/>
            </w:pPr>
            <w:r>
              <w:drawing>
                <wp:inline>
                  <wp:extent cx="5334000" cy="3200400"/>
                  <wp:effectExtent b="0" l="0" r="0" t="0"/>
                  <wp:docPr descr="" title="" id="37" name="Picture"/>
                  <a:graphic>
                    <a:graphicData uri="http://schemas.openxmlformats.org/drawingml/2006/picture">
                      <pic:pic>
                        <pic:nvPicPr>
                          <pic:cNvPr descr="md-manuscript_files/figure-docx/fig-trajectorie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9"/>
        </w:tc>
      </w:tr>
    </w:tbl>
    <w:p>
      <w:pPr>
        <w:pStyle w:val="BodyText"/>
      </w:pPr>
      <w:r>
        <w:t xml:space="preserve">Thailand provides the most dramatic support for H3. In Wave 3 (2010–2012), during the Democrat Party government of Abhisit Vejjajiva, the procedural–substantive gap was negligible (-0.8 pp, not significant). Wave 4 (fielded in 2014–2016) followed the May 2014 coup that removed Prime Minister Yingluck Shinawatra and sits in an ambiguous institutional context. The ABS coded winner and loser status for only</w:t>
      </w:r>
      <w:r>
        <w:t xml:space="preserve"> </w:t>
      </w:r>
      <m:oMath>
        <m:r>
          <m:t>N</m:t>
        </m:r>
        <m:r>
          <m:rPr>
            <m:sty m:val="p"/>
          </m:rPr>
          <m:t>=</m:t>
        </m:r>
        <m:r>
          <m:t>382</m:t>
        </m:r>
      </m:oMath>
      <w:r>
        <w:t xml:space="preserve"> </w:t>
      </w:r>
      <w:r>
        <w:t xml:space="preserve">Thai respondents in Wave 4, with high missingness reflecting the difficulty of mapping vote choice onto governing coalitions during a period of military-backed transitional government. The key empirical claim does not depend on this wave. The dramatic widening of the procedural–substantive gap is driven primarily by the contrast between Wave 3 (2010–2012, gap near zero) and Wave 6 (2019–2022, gap of 23.8 percentage points). Dropping Wave 4 entirely yields an even starker trajectory: near-zero divergence before democratic erosion, substantial divergence after a decade of institutional deterioration, military intervention, and competitive authoritarian governance (Appendix K1). Wave 4 is retained in Figure 1 for completeness, but readers should note the reduced sample and interpret it as a transitional data point rather than a precisely estimated gap. By Wave 6 (2019–2022), after six years of military or military-backed governance, the gap reached 23.8 pp (</w:t>
      </w:r>
      <m:oMath>
        <m:r>
          <m:t>p</m:t>
        </m:r>
        <m:r>
          <m:rPr>
            <m:sty m:val="p"/>
          </m:rPr>
          <m:t>&lt;</m:t>
        </m:r>
        <m:r>
          <m:t>0.001</m:t>
        </m:r>
      </m:oMath>
      <w:r>
        <w:t xml:space="preserve">, 95% CI: [17.3, 30.2]). This trajectory, from near zero to over twenty percentage points across the period, tracks the contours of Thailand’s democratic erosion</w:t>
      </w:r>
      <w:r>
        <w:t xml:space="preserve"> </w:t>
      </w:r>
      <w:r>
        <w:t xml:space="preserve">(Kuhonta and Sinpeng 2014; Ricks 2019)</w:t>
      </w:r>
      <w:r>
        <w:t xml:space="preserve">. This period also saw the determinants of political engagement shift fundamentally, with conventional socioeconomic predictors giving way to group mobilization and party attachment as the primary drivers of participation</w:t>
      </w:r>
      <w:r>
        <w:t xml:space="preserve"> </w:t>
      </w:r>
      <w:r>
        <w:t xml:space="preserve">(Pankaew et al. 2022)</w:t>
      </w:r>
      <w:r>
        <w:t xml:space="preserve">. Where the coup and a string of judicial interventions overturned electoral results, voters aligned with the excluded Thaksin faction show increasingly procedural conceptions—free speech, media independence, accountability—while backers of the military-aligned establishment show stronger orientation toward substantive outcomes.</w:t>
      </w:r>
    </w:p>
    <w:p>
      <w:pPr>
        <w:pStyle w:val="BodyText"/>
      </w:pPr>
      <w:r>
        <w:t xml:space="preserve">South Korea presents a strikingly divergent trajectory. The country went through its own political earthquake during this same period—the impeachment and removal of President Park Geun-hye in 2016–2017, followed by the election of the progressive Moon Jae-in—yet the procedural–substantive gap barely moved. It hovered between 4.8 pp in Wave 3 and 1 pp in Wave 4, never cracking five percentage points. What separates the two cases is institutional: South Korea resolved its crisis through constitutional channels—impeachment, judicial review, a free election—rather than military intervention. The impeachment showed that accountability mechanisms actually worked, and the 2017 election produced genuine turnover. Under these conditions, the positional logic predicts convergence, and convergence is what the data show.</w:t>
      </w:r>
    </w:p>
    <w:p>
      <w:pPr>
        <w:pStyle w:val="BodyText"/>
      </w:pPr>
      <w:r>
        <w:t xml:space="preserve">Cambodia occupies a different position in the analysis: not a case of democratic erosion from a democratic baseline, but a competitive authoritarian regime that eliminated meaningful opposition entirely when the CNRP was dissolved in 2017. By Wave 6,</w:t>
      </w:r>
      <w:r>
        <w:t xml:space="preserve"> </w:t>
      </w:r>
      <w:r>
        <w:t xml:space="preserve">“loser”</w:t>
      </w:r>
      <w:r>
        <w:t xml:space="preserve"> </w:t>
      </w:r>
      <w:r>
        <w:t xml:space="preserve">status in Cambodia refers to supporters of minor parties operating under severe constraints—a qualitatively different form of exclusion than that experienced by Thai Red Shirts or Taiwanese DPP supporters after close electoral defeats. The persistently large gap (approximately 13 pp across all three waves) that, notably, did not grow following the dissolution is consistent with the exclusion mechanism operating even in the absence of a functioning opposition party: in a competitive authoritarian context, the stakes of losing were already effectively maximized, leaving losers’ procedural orientation little room to intensify further. The Cambodian data are included in the pooled analysis for transparency but should be understood as a boundary condition that tests whether the winner-loser gap persists even where</w:t>
      </w:r>
      <w:r>
        <w:t xml:space="preserve"> </w:t>
      </w:r>
      <w:r>
        <w:t xml:space="preserve">“losing”</w:t>
      </w:r>
      <w:r>
        <w:t xml:space="preserve"> </w:t>
      </w:r>
      <w:r>
        <w:t xml:space="preserve">has been stripped of its democratic content. That the gap does persist—albeit modestly—is consistent with the exclusion mechanism, though alternative interpretations (including generalized regime dissatisfaction) cannot be ruled out in this case. The remaining countries present a more varied picture that resists easy theoretical assimilation (Table 2). Taiwan reverses from a positive gap in Waves 3 and 4 to a negative gap by Wave 6 (–4.7 pp). The timing coincides with Tsai Ing-wen’s decisive 2020 victory and the DPP’s consolidation of power amid intensifying cross-strait tensions. Under these conditions, the KMT’s supporters—coded as losers—may have shifted toward sovereignty-related substantive concerns (economic ties with the mainland, cross-strait stability) rather than toward the procedural orientation the theory predicts, a pattern shaped more by the unique geopolitics of cross-strait identity than by the democratic erosion logic central to this article. The Philippines shows a different kind of instability: a positive gap in Waves 3 and 4 that collapses to near zero in Wave 6, coinciding with the transition from the Duterte presidency to the Marcos Jr. administration. Whether this reflects a genuine convergence in democratic conceptions or the disruption of stable partisan alignments by populist realignment deserves closer investigation than the present data permit. Malaysia’s narrowing gap across Waves 3 and 4 is more readily interpretable: the political opening that culminated in the extraordinary 2018 alternation—the first change in government since independence—plausibly reduced the stakes of losing and thereby compressed the procedural-substantive divide, consistent with H3’s prediction that the gap should shrink when institutional protections are restored. Mongolia’s trajectory, from near zero to +5.0 pp by Wave 6, may reflect the contested 2017 presidential election and subsequent political turbulence, though the magnitudes are modest and the confidence intervals wide.</w:t>
      </w:r>
    </w:p>
    <w:p>
      <w:pPr>
        <w:pStyle w:val="BodyText"/>
      </w:pPr>
      <w:r>
        <w:t xml:space="preserve">Japan, as expected for a consolidated democracy with regular alternation, shows a modest and stable gap throughout. (Myanmar’s single data point captures a strikingly large gap consistent with the stakes of its fragile transition, though little can be inferred from one observation.) The heterogeneity across these remaining cases does not invalidate the theoretical framework—the theory predicts context-dependence, not uniformity—but it does underscore that the Thailand-South Korea contrast, while the most dramatic and cleanest test, should not be mistaken for the full story.</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pPr>
            <w:r>
              <w:t xml:space="preserve">Country</w:t>
            </w:r>
          </w:p>
        </w:tc>
        <w:tc>
          <w:tcPr/>
          <w:p>
            <w:pPr>
              <w:pStyle w:val="Compact"/>
              <w:jc w:val="center"/>
            </w:pPr>
            <w:r>
              <w:t xml:space="preserve">W3</w:t>
            </w:r>
          </w:p>
        </w:tc>
        <w:tc>
          <w:tcPr/>
          <w:p>
            <w:pPr>
              <w:pStyle w:val="Compact"/>
              <w:jc w:val="center"/>
            </w:pPr>
            <w:r>
              <w:t xml:space="preserve">W4</w:t>
            </w:r>
          </w:p>
        </w:tc>
        <w:tc>
          <w:tcPr/>
          <w:p>
            <w:pPr>
              <w:pStyle w:val="Compact"/>
              <w:jc w:val="center"/>
            </w:pPr>
            <w:r>
              <w:t xml:space="preserve">W6</w:t>
            </w:r>
          </w:p>
        </w:tc>
      </w:tr>
      <w:tr>
        <w:tc>
          <w:tcPr/>
          <w:p>
            <w:pPr>
              <w:pStyle w:val="Compact"/>
              <w:jc w:val="left"/>
            </w:pPr>
            <w:r>
              <w:t xml:space="preserve">Australia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+3.8 [+0.8, +6.8]</w:t>
            </w:r>
          </w:p>
        </w:tc>
      </w:tr>
      <w:tr>
        <w:tc>
          <w:tcPr/>
          <w:p>
            <w:pPr>
              <w:pStyle w:val="Compact"/>
              <w:jc w:val="left"/>
            </w:pPr>
            <w:r>
              <w:t xml:space="preserve">Cambodia</w:t>
            </w:r>
          </w:p>
        </w:tc>
        <w:tc>
          <w:tcPr/>
          <w:p>
            <w:pPr>
              <w:pStyle w:val="Compact"/>
              <w:jc w:val="center"/>
            </w:pPr>
            <w:r>
              <w:t xml:space="preserve">+13.2 [+8.9, +17.5]</w:t>
            </w:r>
          </w:p>
        </w:tc>
        <w:tc>
          <w:tcPr/>
          <w:p>
            <w:pPr>
              <w:pStyle w:val="Compact"/>
              <w:jc w:val="center"/>
            </w:pPr>
            <w:r>
              <w:t xml:space="preserve">+13.2 [+9.7, +16.8]</w:t>
            </w:r>
          </w:p>
        </w:tc>
        <w:tc>
          <w:tcPr/>
          <w:p>
            <w:pPr>
              <w:pStyle w:val="Compact"/>
              <w:jc w:val="center"/>
            </w:pPr>
            <w:r>
              <w:t xml:space="preserve">+13.8 [+6.5, +21.0]</w:t>
            </w:r>
          </w:p>
        </w:tc>
      </w:tr>
      <w:tr>
        <w:tc>
          <w:tcPr/>
          <w:p>
            <w:pPr>
              <w:pStyle w:val="Compact"/>
              <w:jc w:val="left"/>
            </w:pPr>
            <w:r>
              <w:t xml:space="preserve">Indonesia</w:t>
            </w:r>
          </w:p>
        </w:tc>
        <w:tc>
          <w:tcPr/>
          <w:p>
            <w:pPr>
              <w:pStyle w:val="Compact"/>
              <w:jc w:val="center"/>
            </w:pPr>
            <w:r>
              <w:t xml:space="preserve">-3.7 [-6.8, -0.5]</w:t>
            </w:r>
          </w:p>
        </w:tc>
        <w:tc>
          <w:tcPr/>
          <w:p>
            <w:pPr>
              <w:pStyle w:val="Compact"/>
              <w:jc w:val="center"/>
            </w:pPr>
            <w:r>
              <w:t xml:space="preserve">+1.8 [-1.4, +5.0]</w:t>
            </w:r>
          </w:p>
        </w:tc>
        <w:tc>
          <w:tcPr/>
          <w:p>
            <w:pPr>
              <w:pStyle w:val="Compact"/>
              <w:jc w:val="center"/>
            </w:pPr>
            <w:r>
              <w:t xml:space="preserve">+0.4 [-2.8, +3.5]</w:t>
            </w:r>
          </w:p>
        </w:tc>
      </w:tr>
      <w:tr>
        <w:tc>
          <w:tcPr/>
          <w:p>
            <w:pPr>
              <w:pStyle w:val="Compact"/>
              <w:jc w:val="left"/>
            </w:pPr>
            <w:r>
              <w:t xml:space="preserve">Japan</w:t>
            </w:r>
          </w:p>
        </w:tc>
        <w:tc>
          <w:tcPr/>
          <w:p>
            <w:pPr>
              <w:pStyle w:val="Compact"/>
              <w:jc w:val="center"/>
            </w:pPr>
            <w:r>
              <w:t xml:space="preserve">-1.2 [-4.0, +1.5]</w:t>
            </w:r>
          </w:p>
        </w:tc>
        <w:tc>
          <w:tcPr/>
          <w:p>
            <w:pPr>
              <w:pStyle w:val="Compact"/>
              <w:jc w:val="center"/>
            </w:pPr>
            <w:r>
              <w:t xml:space="preserve">+5.1 [+1.5, +8.8]</w:t>
            </w:r>
          </w:p>
        </w:tc>
        <w:tc>
          <w:tcPr/>
          <w:p>
            <w:pPr>
              <w:pStyle w:val="Compact"/>
              <w:jc w:val="center"/>
            </w:pPr>
            <w:r>
              <w:t xml:space="preserve">—</w:t>
            </w:r>
          </w:p>
        </w:tc>
      </w:tr>
      <w:tr>
        <w:tc>
          <w:tcPr/>
          <w:p>
            <w:pPr>
              <w:pStyle w:val="Compact"/>
              <w:jc w:val="left"/>
            </w:pPr>
            <w:r>
              <w:t xml:space="preserve">Malaysia</w:t>
            </w:r>
          </w:p>
        </w:tc>
        <w:tc>
          <w:tcPr/>
          <w:p>
            <w:pPr>
              <w:pStyle w:val="Compact"/>
              <w:jc w:val="center"/>
            </w:pPr>
            <w:r>
              <w:t xml:space="preserve">+15.2 [+9.7, +20.8]</w:t>
            </w:r>
          </w:p>
        </w:tc>
        <w:tc>
          <w:tcPr/>
          <w:p>
            <w:pPr>
              <w:pStyle w:val="Compact"/>
              <w:jc w:val="center"/>
            </w:pPr>
            <w:r>
              <w:t xml:space="preserve">+8.2 [+3.6, +12.8]</w:t>
            </w:r>
          </w:p>
        </w:tc>
        <w:tc>
          <w:tcPr/>
          <w:p>
            <w:pPr>
              <w:pStyle w:val="Compact"/>
              <w:jc w:val="center"/>
            </w:pPr>
            <w:r>
              <w:t xml:space="preserve">—</w:t>
            </w:r>
          </w:p>
        </w:tc>
      </w:tr>
      <w:tr>
        <w:tc>
          <w:tcPr/>
          <w:p>
            <w:pPr>
              <w:pStyle w:val="Compact"/>
              <w:jc w:val="left"/>
            </w:pPr>
            <w:r>
              <w:t xml:space="preserve">Mongolia</w:t>
            </w:r>
          </w:p>
        </w:tc>
        <w:tc>
          <w:tcPr/>
          <w:p>
            <w:pPr>
              <w:pStyle w:val="Compact"/>
              <w:jc w:val="center"/>
            </w:pPr>
            <w:r>
              <w:t xml:space="preserve">-0.7 [-3.9, +2.5]</w:t>
            </w:r>
          </w:p>
        </w:tc>
        <w:tc>
          <w:tcPr/>
          <w:p>
            <w:pPr>
              <w:pStyle w:val="Compact"/>
              <w:jc w:val="center"/>
            </w:pPr>
            <w:r>
              <w:t xml:space="preserve">-2.1 [-5.4, +1.2]</w:t>
            </w:r>
          </w:p>
        </w:tc>
        <w:tc>
          <w:tcPr/>
          <w:p>
            <w:pPr>
              <w:pStyle w:val="Compact"/>
              <w:jc w:val="center"/>
            </w:pPr>
            <w:r>
              <w:t xml:space="preserve">+5.0 [+1.2, +8.7]</w:t>
            </w:r>
          </w:p>
        </w:tc>
      </w:tr>
      <w:tr>
        <w:tc>
          <w:tcPr/>
          <w:p>
            <w:pPr>
              <w:pStyle w:val="Compact"/>
              <w:jc w:val="left"/>
            </w:pPr>
            <w:r>
              <w:t xml:space="preserve">Myanmar</w:t>
            </w:r>
          </w:p>
        </w:tc>
        <w:tc>
          <w:tcPr/>
          <w:p>
            <w:pPr>
              <w:pStyle w:val="Compact"/>
              <w:jc w:val="center"/>
            </w:pPr>
            <w:r>
              <w:t xml:space="preserve">—</w:t>
            </w:r>
          </w:p>
        </w:tc>
        <w:tc>
          <w:tcPr/>
          <w:p>
            <w:pPr>
              <w:pStyle w:val="Compact"/>
              <w:jc w:val="center"/>
            </w:pPr>
            <w:r>
              <w:t xml:space="preserve">+16.6 [+12.6, +20.6]</w:t>
            </w:r>
          </w:p>
        </w:tc>
        <w:tc>
          <w:tcPr/>
          <w:p>
            <w:pPr>
              <w:pStyle w:val="Compact"/>
              <w:jc w:val="center"/>
            </w:pPr>
            <w:r>
              <w:t xml:space="preserve">—</w:t>
            </w:r>
          </w:p>
        </w:tc>
      </w:tr>
      <w:tr>
        <w:tc>
          <w:tcPr/>
          <w:p>
            <w:pPr>
              <w:pStyle w:val="Compact"/>
              <w:jc w:val="left"/>
            </w:pPr>
            <w:r>
              <w:t xml:space="preserve">Philippines</w:t>
            </w:r>
          </w:p>
        </w:tc>
        <w:tc>
          <w:tcPr/>
          <w:p>
            <w:pPr>
              <w:pStyle w:val="Compact"/>
              <w:jc w:val="center"/>
            </w:pPr>
            <w:r>
              <w:t xml:space="preserve">+4.5 [+0.6, +8.3]</w:t>
            </w:r>
          </w:p>
        </w:tc>
        <w:tc>
          <w:tcPr/>
          <w:p>
            <w:pPr>
              <w:pStyle w:val="Compact"/>
              <w:jc w:val="center"/>
            </w:pPr>
            <w:r>
              <w:t xml:space="preserve">+5.1 [+0.8, +9.4]</w:t>
            </w:r>
          </w:p>
        </w:tc>
        <w:tc>
          <w:tcPr/>
          <w:p>
            <w:pPr>
              <w:pStyle w:val="Compact"/>
              <w:jc w:val="center"/>
            </w:pPr>
            <w:r>
              <w:t xml:space="preserve">-0.7 [-4.6, +3.3]</w:t>
            </w:r>
          </w:p>
        </w:tc>
      </w:tr>
      <w:tr>
        <w:tc>
          <w:tcPr/>
          <w:p>
            <w:pPr>
              <w:pStyle w:val="Compact"/>
              <w:jc w:val="left"/>
            </w:pPr>
            <w:r>
              <w:t xml:space="preserve">South Korea</w:t>
            </w:r>
          </w:p>
        </w:tc>
        <w:tc>
          <w:tcPr/>
          <w:p>
            <w:pPr>
              <w:pStyle w:val="Compact"/>
              <w:jc w:val="center"/>
            </w:pPr>
            <w:r>
              <w:t xml:space="preserve">+4.8 [+1.1, +8.4]</w:t>
            </w:r>
          </w:p>
        </w:tc>
        <w:tc>
          <w:tcPr/>
          <w:p>
            <w:pPr>
              <w:pStyle w:val="Compact"/>
              <w:jc w:val="center"/>
            </w:pPr>
            <w:r>
              <w:t xml:space="preserve">+1.0 [-2.5, +4.5]</w:t>
            </w:r>
          </w:p>
        </w:tc>
        <w:tc>
          <w:tcPr/>
          <w:p>
            <w:pPr>
              <w:pStyle w:val="Compact"/>
              <w:jc w:val="center"/>
            </w:pPr>
            <w:r>
              <w:t xml:space="preserve">+2.8 [-0.5, +6.1]</w:t>
            </w:r>
          </w:p>
        </w:tc>
      </w:tr>
      <w:tr>
        <w:tc>
          <w:tcPr/>
          <w:p>
            <w:pPr>
              <w:pStyle w:val="Compact"/>
              <w:jc w:val="left"/>
            </w:pPr>
            <w:r>
              <w:t xml:space="preserve">Taiwan</w:t>
            </w:r>
          </w:p>
        </w:tc>
        <w:tc>
          <w:tcPr/>
          <w:p>
            <w:pPr>
              <w:pStyle w:val="Compact"/>
              <w:jc w:val="center"/>
            </w:pPr>
            <w:r>
              <w:t xml:space="preserve">+3.1 [-0.3, +6.4]</w:t>
            </w:r>
          </w:p>
        </w:tc>
        <w:tc>
          <w:tcPr/>
          <w:p>
            <w:pPr>
              <w:pStyle w:val="Compact"/>
              <w:jc w:val="center"/>
            </w:pPr>
            <w:r>
              <w:t xml:space="preserve">+5.5 [+2.4, +8.6]</w:t>
            </w:r>
          </w:p>
        </w:tc>
        <w:tc>
          <w:tcPr/>
          <w:p>
            <w:pPr>
              <w:pStyle w:val="Compact"/>
              <w:jc w:val="center"/>
            </w:pPr>
            <w:r>
              <w:t xml:space="preserve">-4.7 [-8.2, -1.3]</w:t>
            </w:r>
          </w:p>
        </w:tc>
      </w:tr>
      <w:tr>
        <w:tc>
          <w:tcPr/>
          <w:p>
            <w:pPr>
              <w:pStyle w:val="Compact"/>
              <w:jc w:val="left"/>
            </w:pPr>
            <w:r>
              <w:t xml:space="preserve">Thailand</w:t>
            </w:r>
          </w:p>
        </w:tc>
        <w:tc>
          <w:tcPr/>
          <w:p>
            <w:pPr>
              <w:pStyle w:val="Compact"/>
              <w:jc w:val="center"/>
            </w:pPr>
            <w:r>
              <w:t xml:space="preserve">-0.8 [-4.5, +2.9]</w:t>
            </w:r>
          </w:p>
        </w:tc>
        <w:tc>
          <w:tcPr/>
          <w:p>
            <w:pPr>
              <w:pStyle w:val="Compact"/>
              <w:jc w:val="center"/>
            </w:pPr>
            <w:r>
              <w:t xml:space="preserve">+11.0 [+5.9, +16.2]</w:t>
            </w:r>
          </w:p>
        </w:tc>
        <w:tc>
          <w:tcPr/>
          <w:p>
            <w:pPr>
              <w:pStyle w:val="Compact"/>
              <w:jc w:val="center"/>
            </w:pPr>
            <w:r>
              <w:t xml:space="preserve">+23.8 [+17.3, +30.2]</w:t>
            </w:r>
          </w:p>
        </w:tc>
      </w:tr>
    </w:tbl>
    <w:bookmarkEnd w:id="40"/>
    <w:bookmarkStart w:id="49" w:name="testing-the-positional-mechanism"/>
    <w:p>
      <w:pPr>
        <w:pStyle w:val="Heading2"/>
      </w:pPr>
      <w:r>
        <w:t xml:space="preserve">Testing the Positional Mechanism</w:t>
      </w:r>
    </w:p>
    <w:p>
      <w:pPr>
        <w:pStyle w:val="FirstParagraph"/>
      </w:pPr>
      <w:r>
        <w:t xml:space="preserve">The twenty-item pattern and the divergent country trajectories bring the mechanism question into sharp focus. Are losers actually rethinking what democracy means to them because the political stakes have shifted? Or is this simply the artifact of different sorts of people ending up on opposite sides? I use three tests, each aimed at a different alternative explanation.</w:t>
      </w:r>
    </w:p>
    <w:bookmarkStart w:id="45"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Stable normative commitments, by contrast, should produce the same pattern regardless of fairness perceptions.</w:t>
      </w:r>
    </w:p>
    <w:p>
      <w:pPr>
        <w:pStyle w:val="BodyText"/>
      </w:pPr>
      <w:r>
        <w:t xml:space="preserve">The protective-participatory distinction derived in the theory section generates specific predictions for this test. Recall the logic: constraint-based safeguards (courts, media, expression) protect losers regardless of electoral integrity, while selection-based mechanisms (elections, multiparty competition) are useful only insofar as losers trust the electoral process. This yields a set of conditional expectations: (a) protective procedural items should show a positive loser effect under both fairness conditions, strengthening where elections are seen as manipulated; (b) participatory procedural items should show a positive loser effect where elections are seen as fair; and (c) participatory items should attenuate or flip negative where losers believe the electoral process itself has been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participatory items tell a different story, exactly as the theory anticipated. For free elections, the interaction between loser status and perceived fairness runs</w:t>
      </w:r>
      <w:r>
        <w:t xml:space="preserve"> </w:t>
      </w:r>
      <w:r>
        <w:rPr>
          <w:i/>
          <w:iCs/>
        </w:rPr>
        <w:t xml:space="preserve">negative</w:t>
      </w:r>
      <w:r>
        <w:t xml:space="preserve"> </w:t>
      </w:r>
      <w:r>
        <w:t xml:space="preserve">(-2.4 pp): losers who think the electoral process is rigged are actually</w:t>
      </w:r>
      <w:r>
        <w:t xml:space="preserve"> </w:t>
      </w:r>
      <w:r>
        <w:rPr>
          <w:i/>
          <w:iCs/>
        </w:rPr>
        <w:t xml:space="preserve">less</w:t>
      </w:r>
      <w:r>
        <w:t xml:space="preserve"> </w:t>
      </w:r>
      <w:r>
        <w:t xml:space="preserve">inclined to name free elections as democracy’s most important feature. This is not a puzzle—it is a coherent response. If you believe that the primary mechanism for changing governments has been corrupted, you do not abandon democracy; you redefine it around the safeguards that still work independently of elections. The negative coefficient does not undercut the positional updating framework. It reveals the framework’s internal architecture. Losers are not mechanically inflating everything procedural; they are paying closest attention to whichever procedures offer real protection given the specific threats they perceive.</w:t>
      </w:r>
    </w:p>
    <w:p>
      <w:pPr>
        <w:pStyle w:val="BodyText"/>
      </w:pPr>
      <w:r>
        <w:t xml:space="preserve">This structured divergence also helps dispose of a simpler alternative reading—that the loser effect is just generalized electoral discontent expressed through procedural vocabulary. If losers who feel cheated were merely being negative about the whole system, the interaction should push in the same direction for every procedural item. Instead we see the opposite: protective items go up, participatory items go down. That is harder to square with generalized grievance and easier to square with a discriminating assessment of which institutions still function as credible constraints.</w:t>
      </w:r>
    </w:p>
    <w:tbl>
      <w:tblPr>
        <w:tblStyle w:val="Table"/>
        <w:tblW w:type="pct" w:w="5000"/>
        <w:tblLayout w:type="fixed"/>
        <w:tblLook w:firstRow="0" w:lastRow="0" w:firstColumn="0" w:lastColumn="0" w:noHBand="0" w:noVBand="0" w:val="0000"/>
      </w:tblPr>
      <w:tblGrid>
        <w:gridCol w:w="7920"/>
      </w:tblGrid>
      <w:tr>
        <w:tc>
          <w:tcPr/>
          <w:bookmarkStart w:id="44" w:name="fig-fairness"/>
          <w:p>
            <w:pPr>
              <w:pStyle w:val="Compact"/>
              <w:jc w:val="center"/>
            </w:pPr>
            <w:r>
              <w:drawing>
                <wp:inline>
                  <wp:extent cx="5334000" cy="4000500"/>
                  <wp:effectExtent b="0" l="0" r="0" t="0"/>
                  <wp:docPr descr="" title="" id="42" name="Picture"/>
                  <a:graphic>
                    <a:graphicData uri="http://schemas.openxmlformats.org/drawingml/2006/picture">
                      <pic:pic>
                        <pic:nvPicPr>
                          <pic:cNvPr descr="md-manuscript_files/figure-docx/fig-fairness-1.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4"/>
        </w:tc>
      </w:tr>
    </w:tbl>
    <w:p>
      <w:pPr>
        <w:pStyle w:val="BodyText"/>
      </w:pPr>
      <w:r>
        <w:t xml:space="preserve">A qualification is necessary.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The interaction could reflect genuine updating in response to perceived procedural threat, or it could reflect motivated reasoning: losers who feel cheated may gravitate toward whichever procedural vocabulary best validates their grievance. The protective-participatory divergence constrains the set of plausible accounts—generalized negativity would not produce domain-specific patterns—but does not eliminate motivated reasoning as a contributor, since motivated cognition can itself be domain-specific. The strongest version of the positional claim, then, is not that motivated reasoning plays no role. It is that the</w:t>
      </w:r>
      <w:r>
        <w:t xml:space="preserve"> </w:t>
      </w:r>
      <w:r>
        <w:rPr>
          <w:i/>
          <w:iCs/>
        </w:rPr>
        <w:t xml:space="preserve">structure</w:t>
      </w:r>
      <w:r>
        <w:t xml:space="preserve"> </w:t>
      </w:r>
      <w:r>
        <w:t xml:space="preserve">of what we observe—protective items up, participatory items down, material welfare flat—maps more cleanly onto differential institutional salience than onto a grievance story, which would need to explain why losers’ resentment zeroes in on elections but leaves courts alone. One could also flip the specification and treat perceived fairness as a mediator rather than a moderator—electoral loss shaping fairness perceptions, which then shape conceptions. That ordering is plausible; cross-sectional data cannot adjudicate between them. The two framings are complementary, not competing. Because this test alone cannot definitively distinguish the mechanisms, two additional tests are needed.</w:t>
      </w:r>
    </w:p>
    <w:bookmarkEnd w:id="45"/>
    <w:bookmarkStart w:id="46"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6"/>
    <w:bookmarkStart w:id="47" w:name="Xe8d292e88129d7a565fe0a196bc650212ae93b3"/>
    <w:p>
      <w:pPr>
        <w:pStyle w:val="Heading3"/>
      </w:pPr>
      <w:r>
        <w:t xml:space="preserve">Test 3: Not Compositional (Thailand Reweighting)</w:t>
      </w:r>
    </w:p>
    <w:p>
      <w:pPr>
        <w:pStyle w:val="FirstParagraph"/>
      </w:pPr>
      <w:r>
        <w:t xml:space="preserve">Thailand’s dramatic trajectory—near-zero to over 20 percentage points—invites a compositional objection. Maybe opposition coalitions reshuffled over the decade, drawing in more urban, more educated voters already inclined toward procedural definitions. If so, the gap could widen without anyone actually changing their mind.</w:t>
      </w:r>
    </w:p>
    <w:p>
      <w:pPr>
        <w:pStyle w:val="BodyText"/>
      </w:pPr>
      <w:r>
        <w:t xml:space="preserve">I address this by reweighting each Thailand wave to match the Wave 3 demographic profile on age, gender, education, and urban residence, creating a counterfactual trajectory that holds demographics constant. It barely matters. Loser effects shift by an average of 0.83 percentage points (the largest shift is 1.75pp, for Services (Set 2)). Only 1 of 16 item-level effects changes sign, and that item (Courts (Set 4): +0.4pp → -0.8pp) flips between values both essentially zero. Every substantively meaningful effect keeps its direction and size.</w:t>
      </w:r>
    </w:p>
    <w:p>
      <w:pPr>
        <w:pStyle w:val="BodyText"/>
      </w:pPr>
      <w:r>
        <w:t xml:space="preserve">What the trajectory tracks, then, is not who ended up in the winner and loser camps but how people in those camps differ in how they think about democracy—and how that divergence grew across waves. Age, gender, education, and urban residence are the observable dimensions that most powerfully structure Thai political alignments</w:t>
      </w:r>
      <w:r>
        <w:t xml:space="preserve"> </w:t>
      </w:r>
      <w:r>
        <w:t xml:space="preserve">(Ockey 2004; McCargo 2019)</w:t>
      </w:r>
      <w:r>
        <w:t xml:space="preserve">. Controlling for them changes almost nothing. Realignment along unmeasured dimensions—partisan ideology, media consumption, political sophistication—remains a possible confound these data cannot rule out. Adding political interest as a control shifts the mean procedural average marginal effect by 0.1 percentage point, so differential political engagement across coalitions is not driving the trajectory either.</w:t>
      </w:r>
    </w:p>
    <w:bookmarkEnd w:id="47"/>
    <w:bookmarkStart w:id="48" w:name="cumulative-interpretation"/>
    <w:p>
      <w:pPr>
        <w:pStyle w:val="Heading3"/>
      </w:pPr>
      <w:r>
        <w:t xml:space="preserve">Cumulative Interpretation</w:t>
      </w:r>
    </w:p>
    <w:p>
      <w:pPr>
        <w:pStyle w:val="FirstParagraph"/>
      </w:pPr>
      <w:r>
        <w:t xml:space="preserve">No single test is definitive. But the three converge on the positional interpretation, and it would be hard to orchestrate that convergence from any of the rival accounts. The fairness amplification shows that the loser effect responds to perceived threat—5–8 percentage points for liberal items among those perceiving unfair elections, compared with 2–3 among those perceiving fairness. That the placebo test finds no such amplification for basic necessities (1.1pp, p = 0.564) rules out generalized discontent as the driver. And Thailand’s demographic story holds up under reweighting: pinning age, education, gender, and urban residence to their Wave 3 distributions shifts the loser effects by 0.8pp on average, with a single near-zero sign flip.</w:t>
      </w:r>
    </w:p>
    <w:p>
      <w:pPr>
        <w:pStyle w:val="BodyText"/>
      </w:pPr>
      <w:r>
        <w:t xml:space="preserve">A supplementary within-loser analysis sharpens the picture. When I restrict the sample to electoral losers and examine variation in perceived electoral fairness, protective procedural items—media freedom, free expression, legislative oversight, protest freedom—show a mean unfairness amplification of roughly 2.2 percentage points among the 30.8% of losers who perceive elections as unfair. Participatory items (free elections, party competition) show a smaller and less consistent pattern. The domain structure—concentrated on liberal protections, not elections or material welfare—fits perceived threat activating specific institutional commitments rather than generalized negativity.</w:t>
      </w:r>
    </w:p>
    <w:p>
      <w:pPr>
        <w:pStyle w:val="BodyText"/>
      </w:pPr>
      <w:r>
        <w:t xml:space="preserve">None of this amounts to proof that individuals changed their minds. But the patterns are hard to reconcile with democratic conceptions as stable cultural inheritances, hardwired personality traits, or byproducts of coalition shuffling. Taken together, the evidence fits the positional account better than any alternative I have considered. The patterns are organized in ways that stable cultural accounts do not predict and compositional change does not explain.</w:t>
      </w:r>
    </w:p>
    <w:bookmarkEnd w:id="48"/>
    <w:bookmarkEnd w:id="49"/>
    <w:bookmarkEnd w:id="50"/>
    <w:bookmarkStart w:id="52" w:name="robustness"/>
    <w:p>
      <w:pPr>
        <w:pStyle w:val="Heading1"/>
      </w:pPr>
      <w:r>
        <w:t xml:space="preserve">Robustness</w:t>
      </w:r>
    </w:p>
    <w:p>
      <w:pPr>
        <w:pStyle w:val="FirstParagraph"/>
      </w:pPr>
      <w:r>
        <w:t xml:space="preserve">The main findings survive a battery of sensitivity checks, each targeting a different potential vulnerability.</w:t>
      </w:r>
    </w:p>
    <w:p>
      <w:pPr>
        <w:pStyle w:val="BodyText"/>
      </w:pPr>
      <w:r>
        <w:t xml:space="preserve">Wave 2 of the ABS provides the most stringent independent replication, since it employed a different forced-choice instrument with different response options than the Sets 1–4 used in later waves. Both procedural items show positive AMEs and both substantive items show negative AMEs, reinforcing confidence that the loser effect is not an artifact of the Wave 3–6 battery design. Open-ended responses from Wave 2 offer an additional form of validation: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 confirming that the forced-choice items capture something real about how people think rather than an artifact of how the questions were framed.</w:t>
      </w:r>
      <w:r>
        <w:rPr>
          <w:rStyle w:val="FootnoteReference"/>
        </w:rPr>
        <w:footnoteReference w:id="51"/>
      </w:r>
    </w:p>
    <w:p>
      <w:pPr>
        <w:pStyle w:val="BodyText"/>
      </w:pPr>
      <w:r>
        <w:t xml:space="preserve">A range of more routine checks confirm the same pattern. WLS estimation at the country-wave level, COVID-attitude controls on Wave 6 models, and re-estimation excluding Thailand Wave 4 entirely all replicate the core findings (Appendix G, K1). That the pattern holds at two levels of analysis—individual respondents and country-wave cells—and survives a pandemic-period confound and an unusual post-coup country-wave makes it harder to attribute to any single modeling decision.</w:t>
      </w:r>
    </w:p>
    <w:p>
      <w:pPr>
        <w:pStyle w:val="BodyText"/>
      </w:pPr>
      <w:r>
        <w:t xml:space="preserve">The qualitative case comparison invites the question of whether the pattern generalizes beyond the Thailand–South Korea contrast. A country-wave-level analysis correlating the procedural-substantive gap with changes in the V-Dem Liberal Democracy Index yields a negative association (</w:t>
      </w:r>
      <m:oMath>
        <m:r>
          <m:t>r</m:t>
        </m:r>
        <m:r>
          <m:rPr>
            <m:sty m:val="p"/>
          </m:rPr>
          <m:t>=</m:t>
        </m:r>
        <m:r>
          <m:rPr>
            <m:sty m:val="p"/>
          </m:rPr>
          <m:t>−</m:t>
        </m:r>
        <m:r>
          <m:t>0.23</m:t>
        </m:r>
      </m:oMath>
      <w:r>
        <w:t xml:space="preserve">,</w:t>
      </w:r>
      <w:r>
        <w:t xml:space="preserve"> </w:t>
      </w:r>
      <m:oMath>
        <m:r>
          <m:t>N</m:t>
        </m:r>
        <m:r>
          <m:rPr>
            <m:sty m:val="p"/>
          </m:rPr>
          <m:t>=</m:t>
        </m:r>
        <m:r>
          <m:t>27</m:t>
        </m:r>
      </m:oMath>
      <w:r>
        <w:t xml:space="preserve">): country-waves experiencing greater democratic erosion tend to show larger winner-loser gaps in procedural orientations. The direction is consistent with the case evidence, but the association does not reach conventional significance (</w:t>
      </w:r>
      <m:oMath>
        <m:r>
          <m:t>p</m:t>
        </m:r>
        <m:r>
          <m:rPr>
            <m:sty m:val="p"/>
          </m:rPr>
          <m:t>=</m:t>
        </m:r>
        <m:r>
          <m:t>0.253</m:t>
        </m:r>
      </m:oMath>
      <w:r>
        <w:t xml:space="preserve">). With 27 observations and a single continuous moderator, the analysis is substantially underpowered—detecting a correlation of this magnitude at conventional thresholds would require roughly 140 country-wave cells. The V-Dem result should therefore be read as descriptively consistent with the theoretical framework rather than as a formal test of it (Appendix L). The case evidence—Thailand’s dramatic widening set against South Korea’s stability—carries the inferential weight; the cross-national correlation provides modest corroboration but cannot substitute for additional cases of erosion and resilience.</w:t>
      </w:r>
    </w:p>
    <w:p>
      <w:pPr>
        <w:pStyle w:val="BodyText"/>
      </w:pPr>
      <w:r>
        <w:t xml:space="preserve">Non-voters provide another angle on the voter-restriction choice. Computing the unconditional difference between procedural and substantive item selection—without conditioning on winner-loser status, which is undefined for non-voters—yields a gap of 14.3 pp, close to the winner mean (13.9 pp) and well below the loser mean (17.3 pp). This confirms that restricting the sample to voters does not inflate the estimated loser effect (Appendix H). A three-way decomposition distinguishing key opposition supporters from other losers pushes on the mechanism from a different direction: both subgroups display comparable procedural orientations across the three countries where decomposition was feasible (Appendix J). If the effect were driven by partisan strategic signaling—opposition leaders rallying their base around procedural rhetoric—it should concentrate among principal opposition supporters. That it does not is more consistent with the exclusion-based mechanism, where distance from state authority rather than organizational affiliation drives procedural attention.</w:t>
      </w:r>
    </w:p>
    <w:p>
      <w:pPr>
        <w:pStyle w:val="BodyText"/>
      </w:pPr>
      <w:r>
        <w:t xml:space="preserve">Thailand’s color-coded party loyalties are notably stable over this period. That the gap tracks documented political events—coups, judicial dissolutions, elections—rather than gradual demographic shifts weighs in favor of the positional interpretation over compositional change.</w:t>
      </w:r>
    </w:p>
    <w:bookmarkEnd w:id="52"/>
    <w:bookmarkStart w:id="53" w:name="discussion"/>
    <w:p>
      <w:pPr>
        <w:pStyle w:val="Heading1"/>
      </w:pPr>
      <w:r>
        <w:t xml:space="preserve">Discussion</w:t>
      </w:r>
    </w:p>
    <w:p>
      <w:pPr>
        <w:pStyle w:val="FirstParagraph"/>
      </w:pPr>
      <w:r>
        <w:t xml:space="preserve">What this article documents is not simply that electoral losers prefer procedural democracy. They do—consistently, across twenty items and eleven countries. The more consequential finding is that the association varies with political context, and it does so in patterned ways. Thailand’s trajectory from near-zero to over twenty percentage points across a single decade of democratic erosion is hard to square with accounts treating democratic conceptions as stable cultural inheritances or fixed psychological dispositions</w:t>
      </w:r>
      <w:r>
        <w:t xml:space="preserve"> </w:t>
      </w:r>
      <w:r>
        <w:t xml:space="preserve">(Norris 2011; Inglehart 1997)</w:t>
      </w:r>
      <w:r>
        <w:t xml:space="preserve">. A compositional story does not hold up either: Thailand’s color-coded partisan alignments remained remarkably stable even as the parties themselves were repeatedly dissolved and reconstituted</w:t>
      </w:r>
      <w:r>
        <w:t xml:space="preserve"> </w:t>
      </w:r>
      <w:r>
        <w:t xml:space="preserve">(Sinpeng 2021; McCargo 2019)</w:t>
      </w:r>
      <w:r>
        <w:t xml:space="preserve">. Pro-Thaksin support in the north and northeast was effectively unchanged across the three elections bracketing this period</w:t>
      </w:r>
      <w:r>
        <w:t xml:space="preserve"> </w:t>
      </w:r>
      <w:r>
        <w:t xml:space="preserve">(Ricks 2019; McCargo 2019)</w:t>
      </w:r>
      <w:r>
        <w:t xml:space="preserve">, and the demographic reweighting exercise (Appendix G)—which pins the age, education, gender, and urban-rural profile of winning and losing coalitions to their Wave 3 distributions—shifts the loser effects by less than one percentage point on average. Fairness amplification, domain specificity, compositional stability: the cumulative evidence tilts toward the positional interpretation.</w:t>
      </w:r>
    </w:p>
    <w:p>
      <w:pPr>
        <w:pStyle w:val="BodyText"/>
      </w:pPr>
      <w:r>
        <w:t xml:space="preserve">The within-country dynamics—the Thailand–South Korea contrast above all—fit the positional account more naturally than stable sorting on unobservables, though repeated cross-sections cannot track individual-level attitude change and a definitive test awaits panel data. The strongest rival is not cultural determinism but ideological sorting. Perhaps Thai winners and losers diverged on procedural values because the coalitions themselves reshuffled along ideological lines the demographic reweighting cannot capture—media consumption, political sophistication, the texture of urban-rural identity beyond a binary control variable. But for sorting to explain the full pattern, ideological or dispositional differences between winning and losing coalitions would need to have widened dramatically in Thailand while staying flat in South Korea, Cambodia, and nearly everywhere else. I know of no independent evidence for that kind of asymmetric realignment. The possibility remains open, but the data do not support it. The conditional character of the effect also separates positional updating from the motivated reasoning account in</w:t>
      </w:r>
      <w:r>
        <w:t xml:space="preserve"> </w:t>
      </w:r>
      <w:r>
        <w:t xml:space="preserve">Bryan (2023)</w:t>
      </w:r>
      <w:r>
        <w:t xml:space="preserve">, who treats conceptual divergence as an automatic consequence of holding power. If the mechanism were purely cognitive—partisans reflexively reshaping what democracy means to match their position—South Korea’s crisis should have produced comparable divergence. Both cases involved sharp partisan conflict over institutional legitimacy. That the gap barely moved in South Korea points to the institutional stakes of exclusion, not partisan status per se, as the operative variable.</w:t>
      </w:r>
    </w:p>
    <w:p>
      <w:pPr>
        <w:pStyle w:val="BodyText"/>
      </w:pPr>
      <w:r>
        <w:t xml:space="preserve">A related concern is whether</w:t>
      </w:r>
      <w:r>
        <w:t xml:space="preserve"> </w:t>
      </w:r>
      <w:r>
        <w:t xml:space="preserve">“winning”</w:t>
      </w:r>
      <w:r>
        <w:t xml:space="preserve"> </w:t>
      </w:r>
      <w:r>
        <w:t xml:space="preserve">means the same thing across Thai waves. In Wave 3, winners are Democrat Party voters governing through a parliamentary coalition. In Wave 6, winners are supporters of the military-aligned Palang Pracharath Party governing under a constitution designed to entrench military influence. If the kind of person who identifies as a winner shifted from moderate urban professionals to conservative royalist-military supporters, the widening gap could partly reflect this realignment rather than positional updating—even if the demographic profile looks stable on the four observable dimensions. The ABS does not include ideological self-placement, which limits what can be done with the available data. But the geographic and social-structural stability of Thailand’s color-coded alignments documented by</w:t>
      </w:r>
      <w:r>
        <w:t xml:space="preserve"> </w:t>
      </w:r>
      <w:r>
        <w:t xml:space="preserve">McCargo (2019)</w:t>
      </w:r>
      <w:r>
        <w:t xml:space="preserve"> </w:t>
      </w:r>
      <w:r>
        <w:t xml:space="preserve">and</w:t>
      </w:r>
      <w:r>
        <w:t xml:space="preserve"> </w:t>
      </w:r>
      <w:r>
        <w:t xml:space="preserve">Sinpeng (2021)</w:t>
      </w:r>
      <w:r>
        <w:t xml:space="preserve">—the same northern and northeastern base backing Thaksin-aligned parties across repeated dissolutions and reconstitutions—suggests that the coalitions’</w:t>
      </w:r>
      <w:r>
        <w:t xml:space="preserve"> </w:t>
      </w:r>
      <w:r>
        <w:rPr>
          <w:i/>
          <w:iCs/>
        </w:rPr>
        <w:t xml:space="preserve">composition</w:t>
      </w:r>
      <w:r>
        <w:t xml:space="preserve"> </w:t>
      </w:r>
      <w:r>
        <w:t xml:space="preserve">changed less than the institutional</w:t>
      </w:r>
      <w:r>
        <w:t xml:space="preserve"> </w:t>
      </w:r>
      <w:r>
        <w:rPr>
          <w:i/>
          <w:iCs/>
        </w:rPr>
        <w:t xml:space="preserve">meaning</w:t>
      </w:r>
      <w:r>
        <w:t xml:space="preserve"> </w:t>
      </w:r>
      <w:r>
        <w:t xml:space="preserve">of their victory or defeat. That distinction matters: under the positional framework, it is precisely the changing stakes of exclusion that should drive conceptual divergence, and a shift from democratic governance to military-backed rule represents a dramatic escalation of those stakes.</w:t>
      </w:r>
    </w:p>
    <w:p>
      <w:pPr>
        <w:pStyle w:val="BodyText"/>
      </w:pPr>
      <w:r>
        <w:t xml:space="preserve">What does this mean for democratic resilience? The answer depends on whether we are looking at updating or sorting, and the two scenarios lead to quite different places. A growing body of work has asked whether broadly shared democratic attitudes can act as a brake on backsliding</w:t>
      </w:r>
      <w:r>
        <w:t xml:space="preserve"> </w:t>
      </w:r>
      <w:r>
        <w:t xml:space="preserve">(Claassen 2020; Svolik 2019; Graham and Svolik 2020)</w:t>
      </w:r>
      <w:r>
        <w:t xml:space="preserve">. If what I have documented here really is positional updating, then those hopes face a structural problem: in the countries where erosion has gone furthest, the people who care most about procedural safeguards are precisely the people who have been pushed to the political margins. Aggregate measures of democratic support would then paint a misleadingly rosy picture—blending together winners who are indifferent to procedures with losers who are passionately committed but politically sidelined. And here is the bitter irony: the very tools through which democracies erode—executive overreach, the capture of courts, the muzzling of media</w:t>
      </w:r>
      <w:r>
        <w:t xml:space="preserve"> </w:t>
      </w:r>
      <w:r>
        <w:t xml:space="preserve">(Levitsky and Ziblatt 2018; Waldner and Lust 2018; Lührmann and Lindberg 2019)</w:t>
      </w:r>
      <w:r>
        <w:t xml:space="preserve">—are also the tools that neutralize the constituency most invested in procedural norms.</w:t>
      </w:r>
      <w:r>
        <w:t xml:space="preserve"> </w:t>
      </w:r>
      <w:r>
        <w:t xml:space="preserve">Cohen et al. (2023)</w:t>
      </w:r>
      <w:r>
        <w:t xml:space="preserve"> </w:t>
      </w:r>
      <w:r>
        <w:t xml:space="preserve">trace a parallel dynamic in Brazil. After Bolsonaro’s victory, winners who professed broad support for the democratic system simultaneously grew more willing to countenance executive overreach—system-level endorsement and procedural commitment moving in opposite directions.</w:t>
      </w:r>
      <w:r>
        <w:t xml:space="preserve"> </w:t>
      </w:r>
      <w:r>
        <w:t xml:space="preserve">Sadowski (2024)</w:t>
      </w:r>
      <w:r>
        <w:t xml:space="preserve"> </w:t>
      </w:r>
      <w:r>
        <w:t xml:space="preserve">documents something similar in Poland: democratic backsliding under PiS coincided with</w:t>
      </w:r>
      <w:r>
        <w:t xml:space="preserve"> </w:t>
      </w:r>
      <w:r>
        <w:rPr>
          <w:i/>
          <w:iCs/>
        </w:rPr>
        <w:t xml:space="preserve">rising</w:t>
      </w:r>
      <w:r>
        <w:t xml:space="preserve"> </w:t>
      </w:r>
      <w:r>
        <w:t xml:space="preserve">aggregate support for democracy, a pattern that maps onto losers intensifying their procedural commitments even as winners hollowed them out. What the Asian patterns add is that this decoupling need not be triggered by a single dramatic authoritarian victory. It can unfold gradually, across extended erosion trajectories.</w:t>
      </w:r>
    </w:p>
    <w:p>
      <w:pPr>
        <w:pStyle w:val="BodyText"/>
      </w:pPr>
      <w:r>
        <w:t xml:space="preserve">If the patterns instead reflect stable sorting, the implications are less alarming but not trivial. It would mean that procedural commitment is clustered demographically or ideologically in ways that make it vulnerable to electoral fortunes. Either way, whether losers’ procedural orientation ever translates into effective resistance—through protest, civil disobedience, transnational advocacy—is a question that remains wide open.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This is a measurement problem masquerading as a substantive finding.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documents that the winner-loser gap materializes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r>
        <w:t xml:space="preserve"> </w:t>
      </w:r>
      <w:r>
        <w:t xml:space="preserve">Wu and Wu (2022)</w:t>
      </w:r>
      <w:r>
        <w:t xml:space="preserve"> </w:t>
      </w:r>
      <w:r>
        <w:t xml:space="preserve">flag this problem in the East Asian context specifically: in competitive authoritarian regimes, ruling party supporters reporting high</w:t>
      </w:r>
      <w:r>
        <w:t xml:space="preserve"> </w:t>
      </w:r>
      <w:r>
        <w:t xml:space="preserve">“support for democracy”</w:t>
      </w:r>
      <w:r>
        <w:t xml:space="preserve"> </w:t>
      </w:r>
      <w:r>
        <w:t xml:space="preserve">may be endorsing a substantive vision centered on economic delivery, not the procedural safeguards that external observers associate with the term. What I add is a temporal dimension. The measurement disconnect is not simply a feature of regime type. It deepens as democratic institutions erode within a given country.</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derived in the theory section and tested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protective-participatory distinction, which has been implicit in theoretical treatments from</w:t>
      </w:r>
      <w:r>
        <w:t xml:space="preserve"> </w:t>
      </w:r>
      <w:r>
        <w:t xml:space="preserve">Dahl (1977)</w:t>
      </w:r>
      <w:r>
        <w:t xml:space="preserve"> </w:t>
      </w:r>
      <w:r>
        <w:t xml:space="preserve">through</w:t>
      </w:r>
      <w:r>
        <w:t xml:space="preserve"> </w:t>
      </w:r>
      <w:r>
        <w:t xml:space="preserve">Schedler (1998)</w:t>
      </w:r>
      <w:r>
        <w:t xml:space="preserve">, appears to be psychologically real for citizens living through the consequences of electoral defeat. People do not relate to</w:t>
      </w:r>
      <w:r>
        <w:t xml:space="preserve"> </w:t>
      </w:r>
      <w:r>
        <w:t xml:space="preserve">“procedural democracy”</w:t>
      </w:r>
      <w:r>
        <w:t xml:space="preserve"> </w:t>
      </w:r>
      <w:r>
        <w:t xml:space="preserve">as a monolith; they parse it into the pieces that matter given the particular threats they face.</w:t>
      </w:r>
    </w:p>
    <w:p>
      <w:pPr>
        <w:pStyle w:val="BodyText"/>
      </w:pPr>
      <w:r>
        <w:t xml:space="preserve">The order-versus-contestation tension visible in the governance items opens up another line of inquiry. Winners’ marked preference for law and order as a defining feature of democracy, set against losers’ emphasis on civil liberties and accountability, maps onto what</w:t>
      </w:r>
      <w:r>
        <w:t xml:space="preserve"> </w:t>
      </w:r>
      <w:r>
        <w:t xml:space="preserve">Slater (2010)</w:t>
      </w:r>
      <w:r>
        <w:t xml:space="preserve"> </w:t>
      </w:r>
      <w:r>
        <w:t xml:space="preserve">has called the politics of order in Southeast Asia. Where democratic institutions are sturdy enough, these two impulses—order and contestation—coexist in a productive tension. Where institutions are weak, the two visions become mutually exclusive. And in an era of global democratic recession</w:t>
      </w:r>
      <w:r>
        <w:t xml:space="preserve"> </w:t>
      </w:r>
      <w:r>
        <w:t xml:space="preserve">(Diamond 2015; Foa and Mounk 2016; though see Norris 2017; Wuttke et al. 2022 for challenges to the deconsolidation thesis)</w:t>
      </w:r>
      <w:r>
        <w:t xml:space="preserve">, knowing which vision predominates—and among whom—matters well beyond Asia.</w:t>
      </w:r>
    </w:p>
    <w:p>
      <w:pPr>
        <w:pStyle w:val="BodyText"/>
      </w:pPr>
      <w:r>
        <w:t xml:space="preserve">Several limitations constrain interpretation. The repeated cross-sectional design is the most consequential, discussed in detail in the methods section. The within-country trajectories are suggestive, not dispositive. Recent causal work on the winner-loser satisfaction gap sharpens the point.</w:t>
      </w:r>
      <w:r>
        <w:t xml:space="preserve"> </w:t>
      </w:r>
      <w:r>
        <w:t xml:space="preserve">Daoust et al. (2024)</w:t>
      </w:r>
      <w:r>
        <w:t xml:space="preserve"> </w:t>
      </w:r>
      <w:r>
        <w:t xml:space="preserve">use a regression discontinuity design around government formation and find that the causal impact of winning or losing on satisfaction is indistinguishable from zero;</w:t>
      </w:r>
      <w:r>
        <w:t xml:space="preserve"> </w:t>
      </w:r>
      <w:r>
        <w:t xml:space="preserve">Erhardt (2023)</w:t>
      </w:r>
      <w:r>
        <w:t xml:space="preserve">, working with Dutch panel data, shows that satisfaction effects are largely short-run. If the satisfaction gap turns out to be causally fragile, then the persistent, context-sensitive</w:t>
      </w:r>
      <w:r>
        <w:t xml:space="preserve"> </w:t>
      </w:r>
      <w:r>
        <w:rPr>
          <w:i/>
          <w:iCs/>
        </w:rPr>
        <w:t xml:space="preserve">conceptual</w:t>
      </w:r>
      <w:r>
        <w:t xml:space="preserve"> </w:t>
      </w:r>
      <w:r>
        <w:t xml:space="preserve">gap I have documented may operate through a different mechanism altogether—one that panel data on democratic conceptions, when they become available, could help identify. Eleven countries is not a large sample for cross-national inference—though it is worth noting that the Asian Barometer is among the very few surveys that has tracked democratic conceptions with forced-choice items over nearly two decades, and the consistency of the loser effect across such diverse political systems is itself informative. The compression of the gap in Wave 6 across most countries outside Thailand remains a puzzle. A natural candidate explanation—that the pandemic made state capacity salient for everyone, compressing the winner-loser distinction by pulling respondents toward governance-oriented definitions—is not supported by the data. Governance items (no waste, quality services, law and order, clean politics) fell by an average of 3.8 percentage points from Wave 4 to Wave 6 rather than rising, ruling out a blanket pandemic-salience account. The compression is real. I cannot explain it, and future survey rounds in the post-pandemic period will be needed to determine whether it persists or proves transient. Political engagement raises a further concern. Unobserved shifts in political interest or partisan intensity within winning and losing coalitions could account for some portion of the within-country trajectories. The ABS does include a political interest measure, with coverage exceeding 95% across Thailand’s survey waves. Adding it as a control to the Thailand-specific models shifts the mean procedural AME by 0.1 percentage point—negligible, and evidence that differential political engagement across coalitions is not the driver. Partisan intensity is another matter. It is not directly measured in the ABS and remains a plausible unmeasured confounder. The demographic reweighting results (Appendix G) offer partial reassurance: holding coalition composition constant on age, education, gender, and urban residence does not alter the substantive findings. And the restriction to voters, while theoretically justified, means the findings describe the electorally active public, not the population at large.</w:t>
      </w:r>
    </w:p>
    <w:bookmarkEnd w:id="53"/>
    <w:bookmarkStart w:id="54" w:name="conclusion"/>
    <w:p>
      <w:pPr>
        <w:pStyle w:val="Heading1"/>
      </w:pPr>
      <w:r>
        <w:t xml:space="preserve">Conclusion</w:t>
      </w:r>
    </w:p>
    <w:p>
      <w:pPr>
        <w:pStyle w:val="FirstParagraph"/>
      </w:pPr>
      <w:r>
        <w:t xml:space="preserve">This article has documented that electoral status is systematically associated with how citizens conceptualize democracy. Losers prioritize the liberal-procedural infrastructure—free expression, media freedom, judicial accountability, the right to organize—that sustains the possibility of political contestation. Winners prioritize substantive outcomes and the governance of order. The positional updating interpretation draws support from three converging empirical checks: the loser effect amplifies among those perceiving electoral unfairness, does not extend to non-procedural domains, and persists after demographic reweighting. The within-country trajectories do the heaviest lifting. Thailand and South Korea, pulling apart precisely as their institutional paths diverged, sit poorly with any account that treats democratic conceptions as fixed cultural products.</w:t>
      </w:r>
    </w:p>
    <w:p>
      <w:pPr>
        <w:pStyle w:val="BodyText"/>
      </w:pPr>
      <w:r>
        <w:t xml:space="preserve">If this positional logic extends beyond Asia—and comparative work in Latin America and Africa is well placed to find out—then the link between public attitudes and democratic resilience may be more fragile than the literature has assumed. Democratic erosion would not merely degrade governance or shrink civil liberties; it would fracture the very meaning of democracy along the winner-loser divide, concentrating procedural commitments among the people least positioned to act on them. A priority for future research is whether losers’ procedural orientation actually shapes what they do politically—whether it feeds into protest, civil disobedience, or transnational advocacy, or whether it remains, in the end, a pattern that shows up in surveys and nowhere else.</w:t>
      </w:r>
    </w:p>
    <w:p>
      <w:pPr>
        <w:pStyle w:val="BodyText"/>
      </w:pPr>
      <w:r>
        <w:t xml:space="preserve">Consistency across items, responsiveness to political context, concentration among those who perceive procedural threats: these associations point toward a dynamic relationship between electoral experience and democratic meaning that previous work has not engaged with. Whether updating, sorting, or some blend of the two best describes that relationship remains an open question. What I can say, on the weight of the evidence assembled here, is that the positional account has considerably more going for it than cultural determinism.</w:t>
      </w:r>
    </w:p>
    <w:bookmarkEnd w:id="54"/>
    <w:bookmarkStart w:id="183" w:name="references"/>
    <w:p>
      <w:pPr>
        <w:pStyle w:val="Heading1"/>
      </w:pPr>
      <w:r>
        <w:t xml:space="preserve">References</w:t>
      </w:r>
    </w:p>
    <w:bookmarkStart w:id="182" w:name="refs"/>
    <w:bookmarkStart w:id="56"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r>
        <w:t xml:space="preserve"> </w:t>
      </w:r>
      <w:hyperlink r:id="rId55">
        <w:r>
          <w:rPr>
            <w:rStyle w:val="Hyperlink"/>
          </w:rPr>
          <w:t xml:space="preserve">https://doi.org/10.1093/0199276382.001.0001</w:t>
        </w:r>
      </w:hyperlink>
      <w:r>
        <w:t xml:space="preserve">.</w:t>
      </w:r>
    </w:p>
    <w:bookmarkEnd w:id="56"/>
    <w:bookmarkStart w:id="58"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(March): 66–81.</w:t>
      </w:r>
      <w:r>
        <w:t xml:space="preserve"> </w:t>
      </w:r>
      <w:hyperlink r:id="rId57">
        <w:r>
          <w:rPr>
            <w:rStyle w:val="Hyperlink"/>
          </w:rPr>
          <w:t xml:space="preserve">https://doi.org/10.2307/2952259</w:t>
        </w:r>
      </w:hyperlink>
      <w:r>
        <w:t xml:space="preserve">.</w:t>
      </w:r>
    </w:p>
    <w:bookmarkEnd w:id="58"/>
    <w:bookmarkStart w:id="60"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9">
        <w:r>
          <w:rPr>
            <w:rStyle w:val="Hyperlink"/>
          </w:rPr>
          <w:t xml:space="preserve">https://doi.org/10.1017/s0007123402000133</w:t>
        </w:r>
      </w:hyperlink>
      <w:r>
        <w:t xml:space="preserve">.</w:t>
      </w:r>
    </w:p>
    <w:bookmarkEnd w:id="60"/>
    <w:bookmarkStart w:id="62"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61">
        <w:r>
          <w:rPr>
            <w:rStyle w:val="Hyperlink"/>
          </w:rPr>
          <w:t xml:space="preserve">https://doi.org/10.1017/s0008423924000775</w:t>
        </w:r>
      </w:hyperlink>
      <w:r>
        <w:t xml:space="preserve">.</w:t>
      </w:r>
    </w:p>
    <w:bookmarkEnd w:id="62"/>
    <w:bookmarkStart w:id="64"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r>
        <w:t xml:space="preserve"> </w:t>
      </w:r>
      <w:hyperlink r:id="rId63">
        <w:r>
          <w:rPr>
            <w:rStyle w:val="Hyperlink"/>
          </w:rPr>
          <w:t xml:space="preserve">https://doi.org/10.1017/s0007123401000175</w:t>
        </w:r>
      </w:hyperlink>
      <w:r>
        <w:t xml:space="preserve">.</w:t>
      </w:r>
    </w:p>
    <w:bookmarkEnd w:id="64"/>
    <w:bookmarkStart w:id="66" w:name="ref-Bryan2023-eu"/>
    <w:p>
      <w:pPr>
        <w:pStyle w:val="Bibliography"/>
      </w:pPr>
      <w:r>
        <w:t xml:space="preserve">Bryan, James D. 2023.</w:t>
      </w:r>
      <w:r>
        <w:t xml:space="preserve"> </w:t>
      </w:r>
      <w:r>
        <w:t xml:space="preserve">“</w:t>
      </w:r>
      <w:r>
        <w:t xml:space="preserve">What kind of democracy do we all support? How partisan interest impacts a citizen’s conceptualization of democracy</w:t>
      </w:r>
      <w:r>
        <w:t xml:space="preserve">.”</w:t>
      </w:r>
      <w:r>
        <w:t xml:space="preserve"> </w:t>
      </w:r>
      <w:r>
        <w:rPr>
          <w:i/>
          <w:iCs/>
        </w:rPr>
        <w:t xml:space="preserve">Comparative Political Studies</w:t>
      </w:r>
      <w:r>
        <w:t xml:space="preserve"> </w:t>
      </w:r>
      <w:r>
        <w:t xml:space="preserve">56 (September): 1597–627.</w:t>
      </w:r>
      <w:r>
        <w:t xml:space="preserve"> </w:t>
      </w:r>
      <w:hyperlink r:id="rId65">
        <w:r>
          <w:rPr>
            <w:rStyle w:val="Hyperlink"/>
          </w:rPr>
          <w:t xml:space="preserve">https://doi.org/10.1177/00104140231152784</w:t>
        </w:r>
      </w:hyperlink>
      <w:r>
        <w:t xml:space="preserve">.</w:t>
      </w:r>
    </w:p>
    <w:bookmarkEnd w:id="66"/>
    <w:bookmarkStart w:id="68"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(August): 414–27.</w:t>
      </w:r>
      <w:r>
        <w:t xml:space="preserve"> </w:t>
      </w:r>
      <w:hyperlink r:id="rId67">
        <w:r>
          <w:rPr>
            <w:rStyle w:val="Hyperlink"/>
          </w:rPr>
          <w:t xml:space="preserve">https://doi.org/10.1162/rest.90.3.414</w:t>
        </w:r>
      </w:hyperlink>
      <w:r>
        <w:t xml:space="preserve">.</w:t>
      </w:r>
    </w:p>
    <w:bookmarkEnd w:id="68"/>
    <w:bookmarkStart w:id="70"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9">
        <w:r>
          <w:rPr>
            <w:rStyle w:val="Hyperlink"/>
          </w:rPr>
          <w:t xml:space="preserve">https://doi.org/10.1177/0010414011434009</w:t>
        </w:r>
      </w:hyperlink>
      <w:r>
        <w:t xml:space="preserve">.</w:t>
      </w:r>
    </w:p>
    <w:bookmarkEnd w:id="70"/>
    <w:bookmarkStart w:id="72" w:name="ref-Cho2014-ut"/>
    <w:p>
      <w:pPr>
        <w:pStyle w:val="Bibliography"/>
      </w:pPr>
      <w:r>
        <w:t xml:space="preserve">Cho, Youngho. 2014.</w:t>
      </w:r>
      <w:r>
        <w:t xml:space="preserve"> </w:t>
      </w:r>
      <w:r>
        <w:t xml:space="preserve">“</w:t>
      </w:r>
      <w:r>
        <w:t xml:space="preserve">To know democracy is to love it: A cross-national analysis of democratic understanding and political support for democracy</w:t>
      </w:r>
      <w:r>
        <w:t xml:space="preserve">.”</w:t>
      </w:r>
      <w:r>
        <w:t xml:space="preserve"> </w:t>
      </w:r>
      <w:r>
        <w:rPr>
          <w:i/>
          <w:iCs/>
        </w:rPr>
        <w:t xml:space="preserve">Political Research Quarterly</w:t>
      </w:r>
      <w:r>
        <w:t xml:space="preserve"> </w:t>
      </w:r>
      <w:r>
        <w:t xml:space="preserve">67 (September): 478–88.</w:t>
      </w:r>
      <w:r>
        <w:t xml:space="preserve"> </w:t>
      </w:r>
      <w:hyperlink r:id="rId71">
        <w:r>
          <w:rPr>
            <w:rStyle w:val="Hyperlink"/>
          </w:rPr>
          <w:t xml:space="preserve">https://doi.org/10.1177/1065912914532721</w:t>
        </w:r>
      </w:hyperlink>
      <w:r>
        <w:t xml:space="preserve">.</w:t>
      </w:r>
    </w:p>
    <w:bookmarkEnd w:id="72"/>
    <w:bookmarkStart w:id="74" w:name="ref-Chu2016-va"/>
    <w:p>
      <w:pPr>
        <w:pStyle w:val="Bibliography"/>
      </w:pPr>
      <w:r>
        <w:t xml:space="preserve">Chu, Yun-Han, Yu-Tzung Chang, Min-Hua Huang, and Mark Weatherall. 2016.</w:t>
      </w:r>
      <w:r>
        <w:t xml:space="preserve"> </w:t>
      </w:r>
      <w:r>
        <w:rPr>
          <w:i/>
          <w:iCs/>
        </w:rPr>
        <w:t xml:space="preserve">Re-assessing the popular foundation of Asian democracies: findings from four waves of the Asian Barometer Survey</w:t>
      </w:r>
      <w:r>
        <w:t xml:space="preserve">. Research Report Report 120. Asian Barometer.</w:t>
      </w:r>
      <w:r>
        <w:t xml:space="preserve"> </w:t>
      </w:r>
      <w:hyperlink r:id="rId73">
        <w:r>
          <w:rPr>
            <w:rStyle w:val="Hyperlink"/>
          </w:rPr>
          <w:t xml:space="preserve">https://asianbarometer.org</w:t>
        </w:r>
      </w:hyperlink>
      <w:r>
        <w:t xml:space="preserve">.</w:t>
      </w:r>
    </w:p>
    <w:bookmarkEnd w:id="74"/>
    <w:bookmarkStart w:id="76"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r>
        <w:t xml:space="preserve"> </w:t>
      </w:r>
      <w:hyperlink r:id="rId75">
        <w:r>
          <w:rPr>
            <w:rStyle w:val="Hyperlink"/>
          </w:rPr>
          <w:t xml:space="preserve">https://doi.org/10.7312/chu-14534</w:t>
        </w:r>
      </w:hyperlink>
      <w:r>
        <w:t xml:space="preserve">.</w:t>
      </w:r>
    </w:p>
    <w:bookmarkEnd w:id="76"/>
    <w:bookmarkStart w:id="78"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77">
        <w:r>
          <w:rPr>
            <w:rStyle w:val="Hyperlink"/>
          </w:rPr>
          <w:t xml:space="preserve">https://doi.org/10.1353/jod.2010.0009</w:t>
        </w:r>
      </w:hyperlink>
      <w:r>
        <w:t xml:space="preserve">.</w:t>
      </w:r>
    </w:p>
    <w:bookmarkEnd w:id="78"/>
    <w:bookmarkStart w:id="79"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79"/>
    <w:bookmarkStart w:id="81"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(January): 118–34.</w:t>
      </w:r>
      <w:r>
        <w:t xml:space="preserve"> </w:t>
      </w:r>
      <w:hyperlink r:id="rId80">
        <w:r>
          <w:rPr>
            <w:rStyle w:val="Hyperlink"/>
          </w:rPr>
          <w:t xml:space="preserve">https://doi.org/10.1111/ajps.12452</w:t>
        </w:r>
      </w:hyperlink>
      <w:r>
        <w:t xml:space="preserve">.</w:t>
      </w:r>
    </w:p>
    <w:bookmarkEnd w:id="81"/>
    <w:bookmarkStart w:id="83" w:name="ref-Cohen2023-sm"/>
    <w:p>
      <w:pPr>
        <w:pStyle w:val="Bibliography"/>
      </w:pPr>
      <w:r>
        <w:t xml:space="preserve">Cohen, Mollie J, Amy Erica Smith, Mason W Moseley, and Matthew L Layton. 2023.</w:t>
      </w:r>
      <w:r>
        <w:t xml:space="preserve"> </w:t>
      </w:r>
      <w:r>
        <w:t xml:space="preserve">“</w:t>
      </w:r>
      <w:r>
        <w:t xml:space="preserve">Winners’ consent? Citizen commitment to democracy when illiberal candidates win elections</w:t>
      </w:r>
      <w:r>
        <w:t xml:space="preserve">.”</w:t>
      </w:r>
      <w:r>
        <w:t xml:space="preserve"> </w:t>
      </w:r>
      <w:r>
        <w:rPr>
          <w:i/>
          <w:iCs/>
        </w:rPr>
        <w:t xml:space="preserve">American Journal of Political Science</w:t>
      </w:r>
      <w:r>
        <w:t xml:space="preserve"> </w:t>
      </w:r>
      <w:r>
        <w:t xml:space="preserve">67 (April): 261–76.</w:t>
      </w:r>
      <w:r>
        <w:t xml:space="preserve"> </w:t>
      </w:r>
      <w:hyperlink r:id="rId82">
        <w:r>
          <w:rPr>
            <w:rStyle w:val="Hyperlink"/>
          </w:rPr>
          <w:t xml:space="preserve">https://doi.org/10.1111/ajps.12690</w:t>
        </w:r>
      </w:hyperlink>
      <w:r>
        <w:t xml:space="preserve">.</w:t>
      </w:r>
    </w:p>
    <w:bookmarkEnd w:id="83"/>
    <w:bookmarkStart w:id="84" w:name="ref-Dahl1977-wj"/>
    <w:p>
      <w:pPr>
        <w:pStyle w:val="Bibliography"/>
      </w:pPr>
      <w:r>
        <w:t xml:space="preserve">Dahl, Robert A. 1977.</w:t>
      </w:r>
      <w:r>
        <w:t xml:space="preserve"> </w:t>
      </w:r>
      <w:r>
        <w:rPr>
          <w:i/>
          <w:iCs/>
        </w:rPr>
        <w:t xml:space="preserve">Polyarchy: Participation and Opposition</w:t>
      </w:r>
      <w:r>
        <w:t xml:space="preserve">. Yale University Press.</w:t>
      </w:r>
    </w:p>
    <w:bookmarkEnd w:id="84"/>
    <w:bookmarkStart w:id="86" w:name="ref-Dalton2007-ei"/>
    <w:p>
      <w:pPr>
        <w:pStyle w:val="Bibliography"/>
      </w:pPr>
      <w:r>
        <w:t xml:space="preserve">Dalton, Russell J, and Hans-Dieter Klingemann, eds. 2007.</w:t>
      </w:r>
      <w:r>
        <w:t xml:space="preserve"> </w:t>
      </w:r>
      <w:r>
        <w:rPr>
          <w:i/>
          <w:iCs/>
        </w:rPr>
        <w:t xml:space="preserve">The</w:t>
      </w:r>
      <w:r>
        <w:rPr>
          <w:i/>
          <w:iCs/>
        </w:rPr>
        <w:t xml:space="preserve"> </w:t>
      </w:r>
      <w:r>
        <w:rPr>
          <w:i/>
          <w:iCs/>
        </w:rPr>
        <w:t xml:space="preserve">oxford</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political</w:t>
      </w:r>
      <w:r>
        <w:rPr>
          <w:i/>
          <w:iCs/>
        </w:rPr>
        <w:t xml:space="preserve"> </w:t>
      </w:r>
      <w:r>
        <w:rPr>
          <w:i/>
          <w:iCs/>
        </w:rPr>
        <w:t xml:space="preserve">behavior</w:t>
      </w:r>
      <w:r>
        <w:t xml:space="preserve">. Oxford Handbooks. Oxford University Press.</w:t>
      </w:r>
      <w:r>
        <w:t xml:space="preserve"> </w:t>
      </w:r>
      <w:hyperlink r:id="rId85">
        <w:r>
          <w:rPr>
            <w:rStyle w:val="Hyperlink"/>
          </w:rPr>
          <w:t xml:space="preserve">https://doi.org/10.1093/oxfordhb/9780199270125.001.0001</w:t>
        </w:r>
      </w:hyperlink>
      <w:r>
        <w:t xml:space="preserve">.</w:t>
      </w:r>
    </w:p>
    <w:bookmarkEnd w:id="86"/>
    <w:bookmarkStart w:id="88" w:name="ref-Daoust2024-ie"/>
    <w:p>
      <w:pPr>
        <w:pStyle w:val="Bibliography"/>
      </w:pPr>
      <w:r>
        <w:t xml:space="preserve">Daoust, Jean-François, Miroslav Nemčok, Philipp Broniecki, and Peter J Loewen. 2024.</w:t>
      </w:r>
      <w:r>
        <w:t xml:space="preserve"> </w:t>
      </w:r>
      <w:r>
        <w:t xml:space="preserve">“</w:t>
      </w:r>
      <w:r>
        <w:t xml:space="preserve">Reassessing the winner-loser gap in satisfaction with democracy</w:t>
      </w:r>
      <w:r>
        <w:t xml:space="preserve">.”</w:t>
      </w:r>
      <w:r>
        <w:t xml:space="preserve"> </w:t>
      </w:r>
      <w:r>
        <w:rPr>
          <w:i/>
          <w:iCs/>
        </w:rPr>
        <w:t xml:space="preserve">PloS One</w:t>
      </w:r>
      <w:r>
        <w:t xml:space="preserve"> </w:t>
      </w:r>
      <w:r>
        <w:t xml:space="preserve">19 (December): e0314967.</w:t>
      </w:r>
      <w:r>
        <w:t xml:space="preserve"> </w:t>
      </w:r>
      <w:hyperlink r:id="rId87">
        <w:r>
          <w:rPr>
            <w:rStyle w:val="Hyperlink"/>
          </w:rPr>
          <w:t xml:space="preserve">https://doi.org/10.1371/journal.pone.0314967</w:t>
        </w:r>
      </w:hyperlink>
      <w:r>
        <w:t xml:space="preserve">.</w:t>
      </w:r>
    </w:p>
    <w:bookmarkEnd w:id="88"/>
    <w:bookmarkStart w:id="90"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r>
        <w:t xml:space="preserve"> </w:t>
      </w:r>
      <w:hyperlink r:id="rId89">
        <w:r>
          <w:rPr>
            <w:rStyle w:val="Hyperlink"/>
          </w:rPr>
          <w:t xml:space="preserve">https://doi.org/10.56021/9780801860140</w:t>
        </w:r>
      </w:hyperlink>
      <w:r>
        <w:t xml:space="preserve">.</w:t>
      </w:r>
    </w:p>
    <w:bookmarkEnd w:id="90"/>
    <w:bookmarkStart w:id="92"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91">
        <w:r>
          <w:rPr>
            <w:rStyle w:val="Hyperlink"/>
          </w:rPr>
          <w:t xml:space="preserve">https://doi.org/10.1353/jod.2015.0009</w:t>
        </w:r>
      </w:hyperlink>
      <w:r>
        <w:t xml:space="preserve">.</w:t>
      </w:r>
    </w:p>
    <w:bookmarkEnd w:id="92"/>
    <w:bookmarkStart w:id="94" w:name="ref-Eck2025-jl"/>
    <w:p>
      <w:pPr>
        <w:pStyle w:val="Bibliography"/>
      </w:pPr>
      <w:r>
        <w:t xml:space="preserve">Eck, Bjarn, and Emilien Paulis. 2025.</w:t>
      </w:r>
      <w:r>
        <w:t xml:space="preserve"> </w:t>
      </w:r>
      <w:r>
        <w:t xml:space="preserve">“</w:t>
      </w:r>
      <w:r>
        <w:t xml:space="preserve">Defending the status quo or seeking change? Electoral outcomes, affective polarization, and support for referendums</w:t>
      </w:r>
      <w:r>
        <w:t xml:space="preserve">.”</w:t>
      </w:r>
      <w:r>
        <w:t xml:space="preserve"> </w:t>
      </w:r>
      <w:r>
        <w:rPr>
          <w:i/>
          <w:iCs/>
        </w:rPr>
        <w:t xml:space="preserve">British Journal of Political Science</w:t>
      </w:r>
      <w:r>
        <w:t xml:space="preserve"> </w:t>
      </w:r>
      <w:r>
        <w:t xml:space="preserve">55.</w:t>
      </w:r>
      <w:r>
        <w:t xml:space="preserve"> </w:t>
      </w:r>
      <w:hyperlink r:id="rId93">
        <w:r>
          <w:rPr>
            <w:rStyle w:val="Hyperlink"/>
          </w:rPr>
          <w:t xml:space="preserve">https://doi.org/10.1017/s0007123425000365</w:t>
        </w:r>
      </w:hyperlink>
      <w:r>
        <w:t xml:space="preserve">.</w:t>
      </w:r>
    </w:p>
    <w:bookmarkEnd w:id="94"/>
    <w:bookmarkStart w:id="96" w:name="ref-Erhardt2023-um"/>
    <w:p>
      <w:pPr>
        <w:pStyle w:val="Bibliography"/>
      </w:pPr>
      <w:r>
        <w:t xml:space="preserve">Erhardt, Julian. 2023.</w:t>
      </w:r>
      <w:r>
        <w:t xml:space="preserve"> </w:t>
      </w:r>
      <w:r>
        <w:t xml:space="preserve">“</w:t>
      </w:r>
      <w:r>
        <w:t xml:space="preserve">Political support through representation by the government. Evidence from Dutch panel data</w:t>
      </w:r>
      <w:r>
        <w:t xml:space="preserve">.”</w:t>
      </w:r>
      <w:r>
        <w:t xml:space="preserve"> </w:t>
      </w:r>
      <w:r>
        <w:rPr>
          <w:i/>
          <w:iCs/>
        </w:rPr>
        <w:t xml:space="preserve">Swiss Political Science Review</w:t>
      </w:r>
      <w:r>
        <w:t xml:space="preserve"> </w:t>
      </w:r>
      <w:r>
        <w:t xml:space="preserve">29 (June): 202–22.</w:t>
      </w:r>
      <w:r>
        <w:t xml:space="preserve"> </w:t>
      </w:r>
      <w:hyperlink r:id="rId95">
        <w:r>
          <w:rPr>
            <w:rStyle w:val="Hyperlink"/>
          </w:rPr>
          <w:t xml:space="preserve">https://doi.org/10.1111/spsr.12561</w:t>
        </w:r>
      </w:hyperlink>
      <w:r>
        <w:t xml:space="preserve">.</w:t>
      </w:r>
    </w:p>
    <w:bookmarkEnd w:id="96"/>
    <w:bookmarkStart w:id="98"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97">
        <w:r>
          <w:rPr>
            <w:rStyle w:val="Hyperlink"/>
          </w:rPr>
          <w:t xml:space="preserve">https://doi.org/10.1016/j.electstud.2010.09.009</w:t>
        </w:r>
      </w:hyperlink>
      <w:r>
        <w:t xml:space="preserve">.</w:t>
      </w:r>
    </w:p>
    <w:bookmarkEnd w:id="98"/>
    <w:bookmarkStart w:id="100"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99">
        <w:r>
          <w:rPr>
            <w:rStyle w:val="Hyperlink"/>
          </w:rPr>
          <w:t xml:space="preserve">https://doi.org/10.1111/1475-6765.12370</w:t>
        </w:r>
      </w:hyperlink>
      <w:r>
        <w:t xml:space="preserve">.</w:t>
      </w:r>
    </w:p>
    <w:bookmarkEnd w:id="100"/>
    <w:bookmarkStart w:id="102"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(February): 194–207.</w:t>
      </w:r>
      <w:r>
        <w:t xml:space="preserve"> </w:t>
      </w:r>
      <w:hyperlink r:id="rId101">
        <w:r>
          <w:rPr>
            <w:rStyle w:val="Hyperlink"/>
          </w:rPr>
          <w:t xml:space="preserve">https://doi.org/10.1111/j.1468-2508.2006.00380.x</w:t>
        </w:r>
      </w:hyperlink>
      <w:r>
        <w:t xml:space="preserve">.</w:t>
      </w:r>
    </w:p>
    <w:bookmarkEnd w:id="102"/>
    <w:bookmarkStart w:id="104"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103">
        <w:r>
          <w:rPr>
            <w:rStyle w:val="Hyperlink"/>
          </w:rPr>
          <w:t xml:space="preserve">https://doi.org/10.1093/acprof:oso/9780198766902.001.0001</w:t>
        </w:r>
      </w:hyperlink>
      <w:r>
        <w:t xml:space="preserve">.</w:t>
      </w:r>
    </w:p>
    <w:bookmarkEnd w:id="104"/>
    <w:bookmarkStart w:id="106"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105">
        <w:r>
          <w:rPr>
            <w:rStyle w:val="Hyperlink"/>
          </w:rPr>
          <w:t xml:space="preserve">https://doi.org/10.2307/2110623</w:t>
        </w:r>
      </w:hyperlink>
      <w:r>
        <w:t xml:space="preserve">.</w:t>
      </w:r>
    </w:p>
    <w:bookmarkEnd w:id="106"/>
    <w:bookmarkStart w:id="108" w:name="ref-Foa2016-lq"/>
    <w:p>
      <w:pPr>
        <w:pStyle w:val="Bibliography"/>
      </w:pPr>
      <w:r>
        <w:t xml:space="preserve">Foa, Roberto Stefan, and Yascha Mounk. 2016.</w:t>
      </w:r>
      <w:r>
        <w:t xml:space="preserve"> </w:t>
      </w:r>
      <w:r>
        <w:t xml:space="preserve">“</w:t>
      </w:r>
      <w:r>
        <w:t xml:space="preserve">The democratic disconnect</w:t>
      </w:r>
      <w:r>
        <w:t xml:space="preserve">.”</w:t>
      </w:r>
      <w:r>
        <w:t xml:space="preserve"> </w:t>
      </w:r>
      <w:r>
        <w:rPr>
          <w:i/>
          <w:iCs/>
        </w:rPr>
        <w:t xml:space="preserve">Journal of Democracy</w:t>
      </w:r>
      <w:r>
        <w:t xml:space="preserve"> </w:t>
      </w:r>
      <w:r>
        <w:t xml:space="preserve">27: 5–17.</w:t>
      </w:r>
      <w:r>
        <w:t xml:space="preserve"> </w:t>
      </w:r>
      <w:hyperlink r:id="rId107">
        <w:r>
          <w:rPr>
            <w:rStyle w:val="Hyperlink"/>
          </w:rPr>
          <w:t xml:space="preserve">https://doi.org/10.1353/jod.2016.0049</w:t>
        </w:r>
      </w:hyperlink>
      <w:r>
        <w:t xml:space="preserve">.</w:t>
      </w:r>
    </w:p>
    <w:bookmarkEnd w:id="108"/>
    <w:bookmarkStart w:id="110" w:name="ref-Graham2020-jr"/>
    <w:p>
      <w:pPr>
        <w:pStyle w:val="Bibliography"/>
      </w:pPr>
      <w:r>
        <w:t xml:space="preserve">Graham, Matthew H, and Milan W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(May): 392–409.</w:t>
      </w:r>
      <w:r>
        <w:t xml:space="preserve"> </w:t>
      </w:r>
      <w:hyperlink r:id="rId109">
        <w:r>
          <w:rPr>
            <w:rStyle w:val="Hyperlink"/>
          </w:rPr>
          <w:t xml:space="preserve">https://doi.org/10.1017/s0003055420000052</w:t>
        </w:r>
      </w:hyperlink>
      <w:r>
        <w:t xml:space="preserve">.</w:t>
      </w:r>
    </w:p>
    <w:bookmarkEnd w:id="110"/>
    <w:bookmarkStart w:id="112" w:name="ref-Halliez2023-zu"/>
    <w:p>
      <w:pPr>
        <w:pStyle w:val="Bibliography"/>
      </w:pPr>
      <w:r>
        <w:t xml:space="preserve">Halliez, Adrien A, and Judd R Thornton. 2023.</w:t>
      </w:r>
      <w:r>
        <w:t xml:space="preserve"> </w:t>
      </w:r>
      <w:r>
        <w:t xml:space="preserve">“</w:t>
      </w:r>
      <w:r>
        <w:t xml:space="preserve">The winner-loser satisfaction gap in the absence of a clear outcome</w:t>
      </w:r>
      <w:r>
        <w:t xml:space="preserve">.”</w:t>
      </w:r>
      <w:r>
        <w:t xml:space="preserve"> </w:t>
      </w:r>
      <w:r>
        <w:rPr>
          <w:i/>
          <w:iCs/>
        </w:rPr>
        <w:t xml:space="preserve">Party Politics</w:t>
      </w:r>
      <w:r>
        <w:t xml:space="preserve"> </w:t>
      </w:r>
      <w:r>
        <w:t xml:space="preserve">29 (March): 260–69.</w:t>
      </w:r>
      <w:r>
        <w:t xml:space="preserve"> </w:t>
      </w:r>
      <w:hyperlink r:id="rId111">
        <w:r>
          <w:rPr>
            <w:rStyle w:val="Hyperlink"/>
          </w:rPr>
          <w:t xml:space="preserve">https://doi.org/10.1177/13540688211058111</w:t>
        </w:r>
      </w:hyperlink>
      <w:r>
        <w:t xml:space="preserve">.</w:t>
      </w:r>
    </w:p>
    <w:bookmarkEnd w:id="112"/>
    <w:bookmarkStart w:id="114"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113">
        <w:r>
          <w:rPr>
            <w:rStyle w:val="Hyperlink"/>
          </w:rPr>
          <w:t xml:space="preserve">https://doi.org/10.1177/0021909620911150</w:t>
        </w:r>
      </w:hyperlink>
      <w:r>
        <w:t xml:space="preserve">.</w:t>
      </w:r>
    </w:p>
    <w:bookmarkEnd w:id="114"/>
    <w:bookmarkStart w:id="115"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115"/>
    <w:bookmarkStart w:id="116"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116"/>
    <w:bookmarkStart w:id="117"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117"/>
    <w:bookmarkStart w:id="119"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r>
        <w:t xml:space="preserve"> </w:t>
      </w:r>
      <w:hyperlink r:id="rId118">
        <w:r>
          <w:rPr>
            <w:rStyle w:val="Hyperlink"/>
          </w:rPr>
          <w:t xml:space="preserve">https://doi.org/10.1515/9780691214429</w:t>
        </w:r>
      </w:hyperlink>
      <w:r>
        <w:t xml:space="preserve">.</w:t>
      </w:r>
    </w:p>
    <w:bookmarkEnd w:id="119"/>
    <w:bookmarkStart w:id="121"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r>
        <w:t xml:space="preserve"> </w:t>
      </w:r>
      <w:hyperlink r:id="rId120">
        <w:r>
          <w:rPr>
            <w:rStyle w:val="Hyperlink"/>
          </w:rPr>
          <w:t xml:space="preserve">https://doi.org/10.2307/1914185</w:t>
        </w:r>
      </w:hyperlink>
      <w:r>
        <w:t xml:space="preserve">.</w:t>
      </w:r>
    </w:p>
    <w:bookmarkEnd w:id="121"/>
    <w:bookmarkStart w:id="123" w:name="ref-Kuhonta2014-qk"/>
    <w:p>
      <w:pPr>
        <w:pStyle w:val="Bibliography"/>
      </w:pPr>
      <w:r>
        <w:t xml:space="preserve">Kuhonta, Erik M, and Aim Sinpeng. 2014.</w:t>
      </w:r>
      <w:r>
        <w:t xml:space="preserve"> </w:t>
      </w:r>
      <w:r>
        <w:t xml:space="preserve">“</w:t>
      </w:r>
      <w:r>
        <w:t xml:space="preserve">Democratic regression in Thailand: The ambivalent role of civil society and political institutions</w:t>
      </w:r>
      <w:r>
        <w:t xml:space="preserve">.”</w:t>
      </w:r>
      <w:r>
        <w:t xml:space="preserve"> </w:t>
      </w:r>
      <w:r>
        <w:rPr>
          <w:i/>
          <w:iCs/>
        </w:rPr>
        <w:t xml:space="preserve">Contemporary Southeast Asia</w:t>
      </w:r>
      <w:r>
        <w:t xml:space="preserve"> </w:t>
      </w:r>
      <w:r>
        <w:t xml:space="preserve">36 (December): 333–55.</w:t>
      </w:r>
      <w:r>
        <w:t xml:space="preserve"> </w:t>
      </w:r>
      <w:hyperlink r:id="rId122">
        <w:r>
          <w:rPr>
            <w:rStyle w:val="Hyperlink"/>
          </w:rPr>
          <w:t xml:space="preserve">https://doi.org/10.1355/cs36-3a</w:t>
        </w:r>
      </w:hyperlink>
      <w:r>
        <w:t xml:space="preserve">.</w:t>
      </w:r>
    </w:p>
    <w:bookmarkEnd w:id="123"/>
    <w:bookmarkStart w:id="125"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124">
        <w:r>
          <w:rPr>
            <w:rStyle w:val="Hyperlink"/>
          </w:rPr>
          <w:t xml:space="preserve">https://doi.org/10.1037/0033-2909.108.3.480</w:t>
        </w:r>
      </w:hyperlink>
      <w:r>
        <w:t xml:space="preserve">.</w:t>
      </w:r>
    </w:p>
    <w:bookmarkEnd w:id="125"/>
    <w:bookmarkStart w:id="126" w:name="ref-Levitsky2018-dd"/>
    <w:p>
      <w:pPr>
        <w:pStyle w:val="Bibliography"/>
      </w:pPr>
      <w:r>
        <w:t xml:space="preserve">Levitsky, Steven, and Daniel Ziblatt. 2018.</w:t>
      </w:r>
      <w:r>
        <w:t xml:space="preserve"> </w:t>
      </w:r>
      <w:r>
        <w:rPr>
          <w:i/>
          <w:iCs/>
        </w:rPr>
        <w:t xml:space="preserve">How democracies die</w:t>
      </w:r>
      <w:r>
        <w:t xml:space="preserve">. Viking.</w:t>
      </w:r>
    </w:p>
    <w:bookmarkEnd w:id="126"/>
    <w:bookmarkStart w:id="128" w:name="ref-Linz1996-qs"/>
    <w:p>
      <w:pPr>
        <w:pStyle w:val="Bibliography"/>
      </w:pPr>
      <w:r>
        <w:t xml:space="preserve">Linz, Juan J,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27">
        <w:r>
          <w:rPr>
            <w:rStyle w:val="Hyperlink"/>
          </w:rPr>
          <w:t xml:space="preserve">https://doi.org/10.1353/jod.1996.0031</w:t>
        </w:r>
      </w:hyperlink>
      <w:r>
        <w:t xml:space="preserve">.</w:t>
      </w:r>
    </w:p>
    <w:bookmarkEnd w:id="128"/>
    <w:bookmarkStart w:id="130"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29">
        <w:r>
          <w:rPr>
            <w:rStyle w:val="Hyperlink"/>
          </w:rPr>
          <w:t xml:space="preserve">https://doi.org/10.1080/13510347.2019.1582029</w:t>
        </w:r>
      </w:hyperlink>
      <w:r>
        <w:t xml:space="preserve">.</w:t>
      </w:r>
    </w:p>
    <w:bookmarkEnd w:id="130"/>
    <w:bookmarkStart w:id="132" w:name="ref-Mauk2020-bu"/>
    <w:p>
      <w:pPr>
        <w:pStyle w:val="Bibliography"/>
      </w:pPr>
      <w:r>
        <w:t xml:space="preserve">Mauk, Marlene. 2020.</w:t>
      </w:r>
      <w:r>
        <w:t xml:space="preserve"> </w:t>
      </w:r>
      <w:r>
        <w:rPr>
          <w:i/>
          <w:iCs/>
        </w:rPr>
        <w:t xml:space="preserve">Citizen support for democratic and autocratic regimes</w:t>
      </w:r>
      <w:r>
        <w:t xml:space="preserve">. Comparative Politics. Oxford University Press.</w:t>
      </w:r>
      <w:r>
        <w:t xml:space="preserve"> </w:t>
      </w:r>
      <w:hyperlink r:id="rId131">
        <w:r>
          <w:rPr>
            <w:rStyle w:val="Hyperlink"/>
          </w:rPr>
          <w:t xml:space="preserve">https://doi.org/10.1093/oso/9780198854852.001.0001</w:t>
        </w:r>
      </w:hyperlink>
      <w:r>
        <w:t xml:space="preserve">.</w:t>
      </w:r>
    </w:p>
    <w:bookmarkEnd w:id="132"/>
    <w:bookmarkStart w:id="134"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33">
        <w:r>
          <w:rPr>
            <w:rStyle w:val="Hyperlink"/>
          </w:rPr>
          <w:t xml:space="preserve">https://doi.org/10.1353/jod.2019.0056</w:t>
        </w:r>
      </w:hyperlink>
      <w:r>
        <w:t xml:space="preserve">.</w:t>
      </w:r>
    </w:p>
    <w:bookmarkEnd w:id="134"/>
    <w:bookmarkStart w:id="136" w:name="ref-Mietzner2021-jr"/>
    <w:p>
      <w:pPr>
        <w:pStyle w:val="Bibliography"/>
      </w:pPr>
      <w:r>
        <w:t xml:space="preserve">Mietzner, Marcus. 2021.</w:t>
      </w:r>
      <w:r>
        <w:t xml:space="preserve"> </w:t>
      </w:r>
      <w:r>
        <w:rPr>
          <w:i/>
          <w:iCs/>
        </w:rPr>
        <w:t xml:space="preserve">Democratic deconsolidation in southeast Asia: Democratization and its obstacles in southeast Asia</w:t>
      </w:r>
      <w:r>
        <w:t xml:space="preserve">. Edited by Edward Aspinall and Meredith L Weiss. Elements in Politics and Society in Southeast Asia. Cambridge University Press.</w:t>
      </w:r>
      <w:r>
        <w:t xml:space="preserve"> </w:t>
      </w:r>
      <w:hyperlink r:id="rId135">
        <w:r>
          <w:rPr>
            <w:rStyle w:val="Hyperlink"/>
          </w:rPr>
          <w:t xml:space="preserve">https://doi.org/10.1017/9781108677080</w:t>
        </w:r>
      </w:hyperlink>
      <w:r>
        <w:t xml:space="preserve">.</w:t>
      </w:r>
    </w:p>
    <w:bookmarkEnd w:id="136"/>
    <w:bookmarkStart w:id="138" w:name="ref-Monsivais-Carrillo2020-ck"/>
    <w:p>
      <w:pPr>
        <w:pStyle w:val="Bibliography"/>
      </w:pPr>
      <w:r>
        <w:t xml:space="preserve">Monsiváis-Carrillo, Alejandro. 2020.</w:t>
      </w:r>
      <w:r>
        <w:t xml:space="preserve"> </w:t>
      </w:r>
      <w:r>
        <w:t xml:space="preserve">“</w:t>
      </w:r>
      <w:r>
        <w:t xml:space="preserve">Permissive winners? The winner–loser gap in the perception of freedoms</w:t>
      </w:r>
      <w:r>
        <w:t xml:space="preserve">.”</w:t>
      </w:r>
      <w:r>
        <w:t xml:space="preserve"> </w:t>
      </w:r>
      <w:r>
        <w:rPr>
          <w:i/>
          <w:iCs/>
        </w:rPr>
        <w:t xml:space="preserve">Political Studies</w:t>
      </w:r>
      <w:r>
        <w:t xml:space="preserve"> </w:t>
      </w:r>
      <w:r>
        <w:t xml:space="preserve">70: 173–94.</w:t>
      </w:r>
      <w:r>
        <w:t xml:space="preserve"> </w:t>
      </w:r>
      <w:hyperlink r:id="rId137">
        <w:r>
          <w:rPr>
            <w:rStyle w:val="Hyperlink"/>
          </w:rPr>
          <w:t xml:space="preserve">https://doi.org/10.1177/0032321720952230</w:t>
        </w:r>
      </w:hyperlink>
      <w:r>
        <w:t xml:space="preserve">.</w:t>
      </w:r>
    </w:p>
    <w:bookmarkEnd w:id="138"/>
    <w:bookmarkStart w:id="140"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(October): 553–63.</w:t>
      </w:r>
      <w:r>
        <w:t xml:space="preserve"> </w:t>
      </w:r>
      <w:hyperlink r:id="rId139">
        <w:r>
          <w:rPr>
            <w:rStyle w:val="Hyperlink"/>
          </w:rPr>
          <w:t xml:space="preserve">https://doi.org/10.1017/s0007123400006736</w:t>
        </w:r>
      </w:hyperlink>
      <w:r>
        <w:t xml:space="preserve">.</w:t>
      </w:r>
    </w:p>
    <w:bookmarkEnd w:id="140"/>
    <w:bookmarkStart w:id="142" w:name="ref-Norris2011-qz"/>
    <w:p>
      <w:pPr>
        <w:pStyle w:val="Bibliography"/>
      </w:pPr>
      <w:r>
        <w:t xml:space="preserve">Norris, Pippa. 2011.</w:t>
      </w:r>
      <w:r>
        <w:t xml:space="preserve"> </w:t>
      </w:r>
      <w:r>
        <w:rPr>
          <w:i/>
          <w:iCs/>
        </w:rPr>
        <w:t xml:space="preserve">Democratic deficit: Critical citizens revisited</w:t>
      </w:r>
      <w:r>
        <w:t xml:space="preserve">. Cambridge University Press.</w:t>
      </w:r>
      <w:r>
        <w:t xml:space="preserve"> </w:t>
      </w:r>
      <w:hyperlink r:id="rId141">
        <w:r>
          <w:rPr>
            <w:rStyle w:val="Hyperlink"/>
          </w:rPr>
          <w:t xml:space="preserve">https://doi.org/10.1017/cbo9780511973383</w:t>
        </w:r>
      </w:hyperlink>
      <w:r>
        <w:t xml:space="preserve">.</w:t>
      </w:r>
    </w:p>
    <w:bookmarkEnd w:id="142"/>
    <w:bookmarkStart w:id="144" w:name="ref-Norris2012-er"/>
    <w:p>
      <w:pPr>
        <w:pStyle w:val="Bibliography"/>
      </w:pPr>
      <w:r>
        <w:t xml:space="preserve">Norris, Pippa. 2012.</w:t>
      </w:r>
      <w:r>
        <w:t xml:space="preserve"> </w:t>
      </w:r>
      <w:r>
        <w:rPr>
          <w:i/>
          <w:iCs/>
        </w:rPr>
        <w:t xml:space="preserve">Making democratic governance work: How regimes shape prosperity, welfare, and peace</w:t>
      </w:r>
      <w:r>
        <w:t xml:space="preserve">. Cambridge University Press.</w:t>
      </w:r>
      <w:r>
        <w:t xml:space="preserve"> </w:t>
      </w:r>
      <w:hyperlink r:id="rId143">
        <w:r>
          <w:rPr>
            <w:rStyle w:val="Hyperlink"/>
          </w:rPr>
          <w:t xml:space="preserve">https://doi.org/10.1017/cbo9781139061902</w:t>
        </w:r>
      </w:hyperlink>
      <w:r>
        <w:t xml:space="preserve">.</w:t>
      </w:r>
    </w:p>
    <w:bookmarkEnd w:id="144"/>
    <w:bookmarkStart w:id="145" w:name="ref-Norris2017-mk"/>
    <w:p>
      <w:pPr>
        <w:pStyle w:val="Bibliography"/>
      </w:pPr>
      <w:r>
        <w:t xml:space="preserve">Norris, Pippa. 2017.</w:t>
      </w:r>
      <w:r>
        <w:t xml:space="preserve"> </w:t>
      </w:r>
      <w:r>
        <w:t xml:space="preserve">“</w:t>
      </w:r>
      <w:r>
        <w:t xml:space="preserve">Is western democracy backsliding? Diagnosing the risks</w:t>
      </w:r>
      <w:r>
        <w:t xml:space="preserve">.”</w:t>
      </w:r>
      <w:r>
        <w:t xml:space="preserve"> </w:t>
      </w:r>
      <w:r>
        <w:rPr>
          <w:i/>
          <w:iCs/>
        </w:rPr>
        <w:t xml:space="preserve">Journal of Democracy</w:t>
      </w:r>
      <w:r>
        <w:t xml:space="preserve">.</w:t>
      </w:r>
    </w:p>
    <w:bookmarkEnd w:id="145"/>
    <w:bookmarkStart w:id="147"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r>
        <w:t xml:space="preserve"> </w:t>
      </w:r>
      <w:hyperlink r:id="rId146">
        <w:r>
          <w:rPr>
            <w:rStyle w:val="Hyperlink"/>
          </w:rPr>
          <w:t xml:space="preserve">https://doi.org/10.1515/9780824842659</w:t>
        </w:r>
      </w:hyperlink>
      <w:r>
        <w:t xml:space="preserve">.</w:t>
      </w:r>
    </w:p>
    <w:bookmarkEnd w:id="147"/>
    <w:bookmarkStart w:id="149" w:name="ref-Pankaew2022-pr"/>
    <w:p>
      <w:pPr>
        <w:pStyle w:val="Bibliography"/>
      </w:pPr>
      <w:r>
        <w:t xml:space="preserve">Pankaew, Attasit, Stithorn Thananithichot, and Wichuda Satidporn. 2022.</w:t>
      </w:r>
      <w:r>
        <w:t xml:space="preserve"> </w:t>
      </w:r>
      <w:r>
        <w:t xml:space="preserve">“</w:t>
      </w:r>
      <w:r>
        <w:t xml:space="preserve">Determinants of political participation in Thailand: An analysis of survey data (2002–2014)</w:t>
      </w:r>
      <w:r>
        <w:t xml:space="preserve">.”</w:t>
      </w:r>
      <w:r>
        <w:t xml:space="preserve"> </w:t>
      </w:r>
      <w:r>
        <w:rPr>
          <w:i/>
          <w:iCs/>
        </w:rPr>
        <w:t xml:space="preserve">Asian Politics &amp; Policy</w:t>
      </w:r>
      <w:r>
        <w:t xml:space="preserve"> </w:t>
      </w:r>
      <w:r>
        <w:t xml:space="preserve">14 (January): 92–113.</w:t>
      </w:r>
      <w:r>
        <w:t xml:space="preserve"> </w:t>
      </w:r>
      <w:hyperlink r:id="rId148">
        <w:r>
          <w:rPr>
            <w:rStyle w:val="Hyperlink"/>
          </w:rPr>
          <w:t xml:space="preserve">https://doi.org/10.1111/aspp.12625</w:t>
        </w:r>
      </w:hyperlink>
      <w:r>
        <w:t xml:space="preserve">.</w:t>
      </w:r>
    </w:p>
    <w:bookmarkEnd w:id="149"/>
    <w:bookmarkStart w:id="151" w:name="ref-Rich2025-sf"/>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55–74.</w:t>
      </w:r>
      <w:r>
        <w:t xml:space="preserve"> </w:t>
      </w:r>
      <w:hyperlink r:id="rId150">
        <w:r>
          <w:rPr>
            <w:rStyle w:val="Hyperlink"/>
          </w:rPr>
          <w:t xml:space="preserve">https://doi.org/10.1177/20578911231225501</w:t>
        </w:r>
      </w:hyperlink>
      <w:r>
        <w:t xml:space="preserve">.</w:t>
      </w:r>
    </w:p>
    <w:bookmarkEnd w:id="151"/>
    <w:bookmarkStart w:id="153" w:name="ref-Ricks2019-hs"/>
    <w:p>
      <w:pPr>
        <w:pStyle w:val="Bibliography"/>
      </w:pPr>
      <w:r>
        <w:t xml:space="preserve">Ricks, Jacob I. 2019.</w:t>
      </w:r>
      <w:r>
        <w:t xml:space="preserve"> </w:t>
      </w:r>
      <w:r>
        <w:t xml:space="preserve">“</w:t>
      </w:r>
      <w:r>
        <w:t xml:space="preserve">Thailand’s 2019 vote: The general’s election</w:t>
      </w:r>
      <w:r>
        <w:t xml:space="preserve">.”</w:t>
      </w:r>
      <w:r>
        <w:t xml:space="preserve"> </w:t>
      </w:r>
      <w:r>
        <w:rPr>
          <w:i/>
          <w:iCs/>
        </w:rPr>
        <w:t xml:space="preserve">Pacific Affairs</w:t>
      </w:r>
      <w:r>
        <w:t xml:space="preserve"> </w:t>
      </w:r>
      <w:r>
        <w:t xml:space="preserve">92 (September): 443–57.</w:t>
      </w:r>
      <w:r>
        <w:t xml:space="preserve"> </w:t>
      </w:r>
      <w:hyperlink r:id="rId152">
        <w:r>
          <w:rPr>
            <w:rStyle w:val="Hyperlink"/>
          </w:rPr>
          <w:t xml:space="preserve">https://doi.org/10.5509/2019923443</w:t>
        </w:r>
      </w:hyperlink>
      <w:r>
        <w:t xml:space="preserve">.</w:t>
      </w:r>
    </w:p>
    <w:bookmarkEnd w:id="153"/>
    <w:bookmarkStart w:id="155"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54">
        <w:r>
          <w:rPr>
            <w:rStyle w:val="Hyperlink"/>
          </w:rPr>
          <w:t xml:space="preserve">https://doi.org/10.1177/18681034251341319</w:t>
        </w:r>
      </w:hyperlink>
      <w:r>
        <w:t xml:space="preserve">.</w:t>
      </w:r>
    </w:p>
    <w:bookmarkEnd w:id="155"/>
    <w:bookmarkStart w:id="157" w:name="ref-Sadowski2024-wq"/>
    <w:p>
      <w:pPr>
        <w:pStyle w:val="Bibliography"/>
      </w:pPr>
      <w:r>
        <w:t xml:space="preserve">Sadowski, Ireneusz. 2024.</w:t>
      </w:r>
      <w:r>
        <w:t xml:space="preserve"> </w:t>
      </w:r>
      <w:r>
        <w:t xml:space="preserve">“</w:t>
      </w:r>
      <w:r>
        <w:t xml:space="preserve">Democratic backsliding against a rising wave of support for democracy? Explaining trends in attitudes toward democracy in Poland (1995–2021)</w:t>
      </w:r>
      <w:r>
        <w:t xml:space="preserve">.”</w:t>
      </w:r>
      <w:r>
        <w:t xml:space="preserve"> </w:t>
      </w:r>
      <w:r>
        <w:rPr>
          <w:i/>
          <w:iCs/>
        </w:rPr>
        <w:t xml:space="preserve">International Sociology: Journal of the International Sociological Association</w:t>
      </w:r>
      <w:r>
        <w:t xml:space="preserve"> </w:t>
      </w:r>
      <w:r>
        <w:t xml:space="preserve">39 (November): 698–720.</w:t>
      </w:r>
      <w:r>
        <w:t xml:space="preserve"> </w:t>
      </w:r>
      <w:hyperlink r:id="rId156">
        <w:r>
          <w:rPr>
            <w:rStyle w:val="Hyperlink"/>
          </w:rPr>
          <w:t xml:space="preserve">https://doi.org/10.1177/02685809241284284</w:t>
        </w:r>
      </w:hyperlink>
      <w:r>
        <w:t xml:space="preserve">.</w:t>
      </w:r>
    </w:p>
    <w:bookmarkEnd w:id="157"/>
    <w:bookmarkStart w:id="159"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r>
        <w:t xml:space="preserve"> </w:t>
      </w:r>
      <w:hyperlink r:id="rId158">
        <w:r>
          <w:rPr>
            <w:rStyle w:val="Hyperlink"/>
          </w:rPr>
          <w:t xml:space="preserve">https://doi.org/10.1353/jod.1998.0030</w:t>
        </w:r>
      </w:hyperlink>
      <w:r>
        <w:t xml:space="preserve">.</w:t>
      </w:r>
    </w:p>
    <w:bookmarkEnd w:id="159"/>
    <w:bookmarkStart w:id="161" w:name="ref-Schumpeter2013-em"/>
    <w:p>
      <w:pPr>
        <w:pStyle w:val="Bibliography"/>
      </w:pPr>
      <w:r>
        <w:t xml:space="preserve">Schumpeter, Joseph A. 2013.</w:t>
      </w:r>
      <w:r>
        <w:t xml:space="preserve"> </w:t>
      </w:r>
      <w:r>
        <w:rPr>
          <w:i/>
          <w:iCs/>
        </w:rPr>
        <w:t xml:space="preserve">Capitalism, socialism and democracy</w:t>
      </w:r>
      <w:r>
        <w:t xml:space="preserve">. 3rd ed. Edited by Richard Swedberg. Routledge.</w:t>
      </w:r>
      <w:r>
        <w:t xml:space="preserve"> </w:t>
      </w:r>
      <w:hyperlink r:id="rId160">
        <w:r>
          <w:rPr>
            <w:rStyle w:val="Hyperlink"/>
          </w:rPr>
          <w:t xml:space="preserve">https://doi.org/10.4324/9780203202050</w:t>
        </w:r>
      </w:hyperlink>
      <w:r>
        <w:t xml:space="preserve">.</w:t>
      </w:r>
    </w:p>
    <w:bookmarkEnd w:id="161"/>
    <w:bookmarkStart w:id="163"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r>
        <w:t xml:space="preserve"> </w:t>
      </w:r>
      <w:hyperlink r:id="rId162">
        <w:r>
          <w:rPr>
            <w:rStyle w:val="Hyperlink"/>
          </w:rPr>
          <w:t xml:space="preserve">https://doi.org/10.1017/cbo9781139084086</w:t>
        </w:r>
      </w:hyperlink>
      <w:r>
        <w:t xml:space="preserve">.</w:t>
      </w:r>
    </w:p>
    <w:bookmarkEnd w:id="163"/>
    <w:bookmarkStart w:id="165"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64">
        <w:r>
          <w:rPr>
            <w:rStyle w:val="Hyperlink"/>
          </w:rPr>
          <w:t xml:space="preserve">https://doi.org/10.1017/s1468109918000063</w:t>
        </w:r>
      </w:hyperlink>
      <w:r>
        <w:t xml:space="preserve">.</w:t>
      </w:r>
    </w:p>
    <w:bookmarkEnd w:id="165"/>
    <w:bookmarkStart w:id="167"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66">
        <w:r>
          <w:rPr>
            <w:rStyle w:val="Hyperlink"/>
          </w:rPr>
          <w:t xml:space="preserve">https://doi.org/10.1016/j.electstud.2011.11.001</w:t>
        </w:r>
      </w:hyperlink>
      <w:r>
        <w:t xml:space="preserve">.</w:t>
      </w:r>
    </w:p>
    <w:bookmarkEnd w:id="167"/>
    <w:bookmarkStart w:id="169"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(April): 192–205.</w:t>
      </w:r>
      <w:r>
        <w:t xml:space="preserve"> </w:t>
      </w:r>
      <w:hyperlink r:id="rId168">
        <w:r>
          <w:rPr>
            <w:rStyle w:val="Hyperlink"/>
          </w:rPr>
          <w:t xml:space="preserve">https://doi.org/10.1080/14672715.2021.1882866</w:t>
        </w:r>
      </w:hyperlink>
      <w:r>
        <w:t xml:space="preserve">.</w:t>
      </w:r>
    </w:p>
    <w:bookmarkEnd w:id="169"/>
    <w:bookmarkStart w:id="171" w:name="ref-Slater2010-ba"/>
    <w:p>
      <w:pPr>
        <w:pStyle w:val="Bibliography"/>
      </w:pPr>
      <w:r>
        <w:t xml:space="preserve">Slater, Dan. 2010.</w:t>
      </w:r>
      <w:r>
        <w:t xml:space="preserve"> </w:t>
      </w:r>
      <w:r>
        <w:rPr>
          <w:i/>
          <w:iCs/>
        </w:rPr>
        <w:t xml:space="preserve">Cambridge studies in comparative politics: Ordering power: Contentious politics and authoritarian leviathans in southeast Asia</w:t>
      </w:r>
      <w:r>
        <w:t xml:space="preserve">. Cambridge University Press.</w:t>
      </w:r>
      <w:r>
        <w:t xml:space="preserve"> </w:t>
      </w:r>
      <w:hyperlink r:id="rId170">
        <w:r>
          <w:rPr>
            <w:rStyle w:val="Hyperlink"/>
          </w:rPr>
          <w:t xml:space="preserve">https://doi.org/10.1017/cbo9780511760891</w:t>
        </w:r>
      </w:hyperlink>
      <w:r>
        <w:t xml:space="preserve">.</w:t>
      </w:r>
    </w:p>
    <w:bookmarkEnd w:id="171"/>
    <w:bookmarkStart w:id="173" w:name="ref-Svolik2019-zi"/>
    <w:p>
      <w:pPr>
        <w:pStyle w:val="Bibliography"/>
      </w:pPr>
      <w:r>
        <w:t xml:space="preserve">Svolik, Milan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r>
        <w:t xml:space="preserve"> </w:t>
      </w:r>
      <w:hyperlink r:id="rId172">
        <w:r>
          <w:rPr>
            <w:rStyle w:val="Hyperlink"/>
          </w:rPr>
          <w:t xml:space="preserve">https://doi.org/10.1353/jod.2019.0039</w:t>
        </w:r>
      </w:hyperlink>
      <w:r>
        <w:t xml:space="preserve">.</w:t>
      </w:r>
    </w:p>
    <w:bookmarkEnd w:id="173"/>
    <w:bookmarkStart w:id="175"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74">
        <w:r>
          <w:rPr>
            <w:rStyle w:val="Hyperlink"/>
          </w:rPr>
          <w:t xml:space="preserve">https://doi.org/10.1111/j.1540-5907.2006.00214.x</w:t>
        </w:r>
      </w:hyperlink>
      <w:r>
        <w:t xml:space="preserve">.</w:t>
      </w:r>
    </w:p>
    <w:bookmarkEnd w:id="175"/>
    <w:bookmarkStart w:id="177" w:name="ref-Waldner2018-yw"/>
    <w:p>
      <w:pPr>
        <w:pStyle w:val="Bibliography"/>
      </w:pPr>
      <w:r>
        <w:t xml:space="preserve">Waldner, David, and Ellen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 (Palo Alto, Calif.)</w:t>
      </w:r>
      <w:r>
        <w:t xml:space="preserve"> </w:t>
      </w:r>
      <w:r>
        <w:t xml:space="preserve">21 (May): 93–113.</w:t>
      </w:r>
      <w:r>
        <w:t xml:space="preserve"> </w:t>
      </w:r>
      <w:hyperlink r:id="rId176">
        <w:r>
          <w:rPr>
            <w:rStyle w:val="Hyperlink"/>
          </w:rPr>
          <w:t xml:space="preserve">https://doi.org/10.1146/annurev-polisci-050517-114628</w:t>
        </w:r>
      </w:hyperlink>
      <w:r>
        <w:t xml:space="preserve">.</w:t>
      </w:r>
    </w:p>
    <w:bookmarkEnd w:id="177"/>
    <w:bookmarkStart w:id="179" w:name="ref-Wu2022-hz"/>
    <w:p>
      <w:pPr>
        <w:pStyle w:val="Bibliography"/>
      </w:pPr>
      <w:r>
        <w:t xml:space="preserve">Wu, Chun-Ying, and Chin-En Wu. 2022.</w:t>
      </w:r>
      <w:r>
        <w:t xml:space="preserve"> </w:t>
      </w:r>
      <w:r>
        <w:t xml:space="preserve">“</w:t>
      </w:r>
      <w:r>
        <w:t xml:space="preserve">Regime Types and Winner-Loser Gaps in Support for Democracy in</w:t>
      </w:r>
      <w:r>
        <w:t xml:space="preserve"> </w:t>
      </w:r>
      <w:r>
        <w:t xml:space="preserve">East Asia</w:t>
      </w:r>
      <w:r>
        <w:t xml:space="preserve">.”</w:t>
      </w:r>
      <w:r>
        <w:t xml:space="preserve"> </w:t>
      </w:r>
      <w:r>
        <w:rPr>
          <w:i/>
          <w:iCs/>
        </w:rPr>
        <w:t xml:space="preserve">Democratization</w:t>
      </w:r>
      <w:r>
        <w:t xml:space="preserve"> </w:t>
      </w:r>
      <w:r>
        <w:t xml:space="preserve">29: 1453–73.</w:t>
      </w:r>
      <w:r>
        <w:t xml:space="preserve"> </w:t>
      </w:r>
      <w:hyperlink r:id="rId178">
        <w:r>
          <w:rPr>
            <w:rStyle w:val="Hyperlink"/>
          </w:rPr>
          <w:t xml:space="preserve">https://doi.org/10.1080/13510347.2022.2036721</w:t>
        </w:r>
      </w:hyperlink>
      <w:r>
        <w:t xml:space="preserve">.</w:t>
      </w:r>
    </w:p>
    <w:bookmarkEnd w:id="179"/>
    <w:bookmarkStart w:id="181" w:name="ref-Wuttke2022-wv"/>
    <w:p>
      <w:pPr>
        <w:pStyle w:val="Bibliography"/>
      </w:pPr>
      <w:r>
        <w:t xml:space="preserve">Wuttke, Alexander, Konstantin Gavras, and Harald Schoen. 2022.</w:t>
      </w:r>
      <w:r>
        <w:t xml:space="preserve"> </w:t>
      </w:r>
      <w:r>
        <w:t xml:space="preserve">“</w:t>
      </w:r>
      <w:r>
        <w:t xml:space="preserve">Have Europeans grown tired of democracy? New evidence from eighteen consolidated democracies,</w:t>
      </w:r>
      <w:r>
        <w:t xml:space="preserve"> </w:t>
      </w:r>
      <w:r>
        <w:t xml:space="preserve">1981–2018</w:t>
      </w:r>
      <w:r>
        <w:t xml:space="preserve">.”</w:t>
      </w:r>
      <w:r>
        <w:t xml:space="preserve"> </w:t>
      </w:r>
      <w:r>
        <w:rPr>
          <w:i/>
          <w:iCs/>
        </w:rPr>
        <w:t xml:space="preserve">British Journal of Political Science</w:t>
      </w:r>
      <w:r>
        <w:t xml:space="preserve"> </w:t>
      </w:r>
      <w:r>
        <w:t xml:space="preserve">52 (January): 416–28.</w:t>
      </w:r>
      <w:r>
        <w:t xml:space="preserve"> </w:t>
      </w:r>
      <w:hyperlink r:id="rId180">
        <w:r>
          <w:rPr>
            <w:rStyle w:val="Hyperlink"/>
          </w:rPr>
          <w:t xml:space="preserve">https://doi.org/10.1017/s0007123420000149</w:t>
        </w:r>
      </w:hyperlink>
      <w:r>
        <w:t xml:space="preserve">.</w:t>
      </w:r>
    </w:p>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full ABS dataset across the eleven countries and four waves contains approximately 75,000 respondents. Restrictions to those who reported a vote choice, could be classified as winner or loser, and completed at least one item on the democratic conceptions battery yield the analytic sample of 23,464. The largest source of exclusion is non-voting (approximately 15% across country-waves), followed by missing or refused vote-choice responses (8–12% in most countries, rising to 51% in Thailand Wave 4 where military rule suppressed political disclosure). If respondents who conceal their vote choice under authoritarian conditions hold systematically different democratic conceptions—plausibly more procedural, given the circumstances that motivate concealment—then the estimated loser effect in Thailand Wave 4 is conservative. Appendix B details sample construction and attrition at each stage.</w:t>
      </w:r>
    </w:p>
  </w:footnote>
  <w:footnote w:id="29">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51">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73" Target="https://asianbarometer.org" TargetMode="External" /><Relationship Type="http://schemas.openxmlformats.org/officeDocument/2006/relationships/hyperlink" Id="rId97" Target="https://doi.org/10.1016/j.electstud.2010.09.009" TargetMode="External" /><Relationship Type="http://schemas.openxmlformats.org/officeDocument/2006/relationships/hyperlink" Id="rId166" Target="https://doi.org/10.1016/j.electstud.2011.11.001" TargetMode="External" /><Relationship Type="http://schemas.openxmlformats.org/officeDocument/2006/relationships/hyperlink" Id="rId135" Target="https://doi.org/10.1017/9781108677080" TargetMode="External" /><Relationship Type="http://schemas.openxmlformats.org/officeDocument/2006/relationships/hyperlink" Id="rId170" Target="https://doi.org/10.1017/cbo9780511760891" TargetMode="External" /><Relationship Type="http://schemas.openxmlformats.org/officeDocument/2006/relationships/hyperlink" Id="rId141" Target="https://doi.org/10.1017/cbo9780511973383" TargetMode="External" /><Relationship Type="http://schemas.openxmlformats.org/officeDocument/2006/relationships/hyperlink" Id="rId143" Target="https://doi.org/10.1017/cbo9781139061902" TargetMode="External" /><Relationship Type="http://schemas.openxmlformats.org/officeDocument/2006/relationships/hyperlink" Id="rId162" Target="https://doi.org/10.1017/cbo9781139084086" TargetMode="External" /><Relationship Type="http://schemas.openxmlformats.org/officeDocument/2006/relationships/hyperlink" Id="rId109" Target="https://doi.org/10.1017/s0003055420000052" TargetMode="External" /><Relationship Type="http://schemas.openxmlformats.org/officeDocument/2006/relationships/hyperlink" Id="rId139" Target="https://doi.org/10.1017/s0007123400006736" TargetMode="External" /><Relationship Type="http://schemas.openxmlformats.org/officeDocument/2006/relationships/hyperlink" Id="rId63" Target="https://doi.org/10.1017/s0007123401000175" TargetMode="External" /><Relationship Type="http://schemas.openxmlformats.org/officeDocument/2006/relationships/hyperlink" Id="rId59" Target="https://doi.org/10.1017/s0007123402000133" TargetMode="External" /><Relationship Type="http://schemas.openxmlformats.org/officeDocument/2006/relationships/hyperlink" Id="rId180" Target="https://doi.org/10.1017/s0007123420000149" TargetMode="External" /><Relationship Type="http://schemas.openxmlformats.org/officeDocument/2006/relationships/hyperlink" Id="rId93" Target="https://doi.org/10.1017/s0007123425000365" TargetMode="External" /><Relationship Type="http://schemas.openxmlformats.org/officeDocument/2006/relationships/hyperlink" Id="rId61" Target="https://doi.org/10.1017/s0008423924000775" TargetMode="External" /><Relationship Type="http://schemas.openxmlformats.org/officeDocument/2006/relationships/hyperlink" Id="rId164" Target="https://doi.org/10.1017/s1468109918000063" TargetMode="External" /><Relationship Type="http://schemas.openxmlformats.org/officeDocument/2006/relationships/hyperlink" Id="rId124" Target="https://doi.org/10.1037/0033-2909.108.3.480" TargetMode="External" /><Relationship Type="http://schemas.openxmlformats.org/officeDocument/2006/relationships/hyperlink" Id="rId129" Target="https://doi.org/10.1080/13510347.2019.1582029" TargetMode="External" /><Relationship Type="http://schemas.openxmlformats.org/officeDocument/2006/relationships/hyperlink" Id="rId178" Target="https://doi.org/10.1080/13510347.2022.2036721" TargetMode="External" /><Relationship Type="http://schemas.openxmlformats.org/officeDocument/2006/relationships/hyperlink" Id="rId168" Target="https://doi.org/10.1080/14672715.2021.1882866" TargetMode="External" /><Relationship Type="http://schemas.openxmlformats.org/officeDocument/2006/relationships/hyperlink" Id="rId55" Target="https://doi.org/10.1093/0199276382.001.0001" TargetMode="External" /><Relationship Type="http://schemas.openxmlformats.org/officeDocument/2006/relationships/hyperlink" Id="rId103" Target="https://doi.org/10.1093/acprof:oso/9780198766902.001.0001" TargetMode="External" /><Relationship Type="http://schemas.openxmlformats.org/officeDocument/2006/relationships/hyperlink" Id="rId131" Target="https://doi.org/10.1093/oso/9780198854852.001.0001" TargetMode="External" /><Relationship Type="http://schemas.openxmlformats.org/officeDocument/2006/relationships/hyperlink" Id="rId85" Target="https://doi.org/10.1093/oxfordhb/9780199270125.001.0001" TargetMode="External" /><Relationship Type="http://schemas.openxmlformats.org/officeDocument/2006/relationships/hyperlink" Id="rId99" Target="https://doi.org/10.1111/1475-6765.12370" TargetMode="External" /><Relationship Type="http://schemas.openxmlformats.org/officeDocument/2006/relationships/hyperlink" Id="rId80" Target="https://doi.org/10.1111/ajps.12452" TargetMode="External" /><Relationship Type="http://schemas.openxmlformats.org/officeDocument/2006/relationships/hyperlink" Id="rId82" Target="https://doi.org/10.1111/ajps.12690" TargetMode="External" /><Relationship Type="http://schemas.openxmlformats.org/officeDocument/2006/relationships/hyperlink" Id="rId148" Target="https://doi.org/10.1111/aspp.12625" TargetMode="External" /><Relationship Type="http://schemas.openxmlformats.org/officeDocument/2006/relationships/hyperlink" Id="rId101" Target="https://doi.org/10.1111/j.1468-2508.2006.00380.x" TargetMode="External" /><Relationship Type="http://schemas.openxmlformats.org/officeDocument/2006/relationships/hyperlink" Id="rId174" Target="https://doi.org/10.1111/j.1540-5907.2006.00214.x" TargetMode="External" /><Relationship Type="http://schemas.openxmlformats.org/officeDocument/2006/relationships/hyperlink" Id="rId95" Target="https://doi.org/10.1111/spsr.12561" TargetMode="External" /><Relationship Type="http://schemas.openxmlformats.org/officeDocument/2006/relationships/hyperlink" Id="rId176" Target="https://doi.org/10.1146/annurev-polisci-050517-114628" TargetMode="External" /><Relationship Type="http://schemas.openxmlformats.org/officeDocument/2006/relationships/hyperlink" Id="rId67" Target="https://doi.org/10.1162/rest.90.3.414" TargetMode="External" /><Relationship Type="http://schemas.openxmlformats.org/officeDocument/2006/relationships/hyperlink" Id="rId69" Target="https://doi.org/10.1177/0010414011434009" TargetMode="External" /><Relationship Type="http://schemas.openxmlformats.org/officeDocument/2006/relationships/hyperlink" Id="rId65" Target="https://doi.org/10.1177/00104140231152784" TargetMode="External" /><Relationship Type="http://schemas.openxmlformats.org/officeDocument/2006/relationships/hyperlink" Id="rId113" Target="https://doi.org/10.1177/0021909620911150" TargetMode="External" /><Relationship Type="http://schemas.openxmlformats.org/officeDocument/2006/relationships/hyperlink" Id="rId137" Target="https://doi.org/10.1177/0032321720952230" TargetMode="External" /><Relationship Type="http://schemas.openxmlformats.org/officeDocument/2006/relationships/hyperlink" Id="rId156" Target="https://doi.org/10.1177/02685809241284284" TargetMode="External" /><Relationship Type="http://schemas.openxmlformats.org/officeDocument/2006/relationships/hyperlink" Id="rId71" Target="https://doi.org/10.1177/1065912914532721" TargetMode="External" /><Relationship Type="http://schemas.openxmlformats.org/officeDocument/2006/relationships/hyperlink" Id="rId111" Target="https://doi.org/10.1177/13540688211058111" TargetMode="External" /><Relationship Type="http://schemas.openxmlformats.org/officeDocument/2006/relationships/hyperlink" Id="rId154" Target="https://doi.org/10.1177/18681034251341319" TargetMode="External" /><Relationship Type="http://schemas.openxmlformats.org/officeDocument/2006/relationships/hyperlink" Id="rId150" Target="https://doi.org/10.1177/20578911231225501" TargetMode="External" /><Relationship Type="http://schemas.openxmlformats.org/officeDocument/2006/relationships/hyperlink" Id="rId127" Target="https://doi.org/10.1353/jod.1996.0031" TargetMode="External" /><Relationship Type="http://schemas.openxmlformats.org/officeDocument/2006/relationships/hyperlink" Id="rId158" Target="https://doi.org/10.1353/jod.1998.0030" TargetMode="External" /><Relationship Type="http://schemas.openxmlformats.org/officeDocument/2006/relationships/hyperlink" Id="rId77" Target="https://doi.org/10.1353/jod.2010.0009" TargetMode="External" /><Relationship Type="http://schemas.openxmlformats.org/officeDocument/2006/relationships/hyperlink" Id="rId91" Target="https://doi.org/10.1353/jod.2015.0009" TargetMode="External" /><Relationship Type="http://schemas.openxmlformats.org/officeDocument/2006/relationships/hyperlink" Id="rId107" Target="https://doi.org/10.1353/jod.2016.0049" TargetMode="External" /><Relationship Type="http://schemas.openxmlformats.org/officeDocument/2006/relationships/hyperlink" Id="rId172" Target="https://doi.org/10.1353/jod.2019.0039" TargetMode="External" /><Relationship Type="http://schemas.openxmlformats.org/officeDocument/2006/relationships/hyperlink" Id="rId133" Target="https://doi.org/10.1353/jod.2019.0056" TargetMode="External" /><Relationship Type="http://schemas.openxmlformats.org/officeDocument/2006/relationships/hyperlink" Id="rId122" Target="https://doi.org/10.1355/cs36-3a" TargetMode="External" /><Relationship Type="http://schemas.openxmlformats.org/officeDocument/2006/relationships/hyperlink" Id="rId87" Target="https://doi.org/10.1371/journal.pone.0314967" TargetMode="External" /><Relationship Type="http://schemas.openxmlformats.org/officeDocument/2006/relationships/hyperlink" Id="rId118" Target="https://doi.org/10.1515/9780691214429" TargetMode="External" /><Relationship Type="http://schemas.openxmlformats.org/officeDocument/2006/relationships/hyperlink" Id="rId146" Target="https://doi.org/10.1515/9780824842659" TargetMode="External" /><Relationship Type="http://schemas.openxmlformats.org/officeDocument/2006/relationships/hyperlink" Id="rId120" Target="https://doi.org/10.2307/1914185" TargetMode="External" /><Relationship Type="http://schemas.openxmlformats.org/officeDocument/2006/relationships/hyperlink" Id="rId105" Target="https://doi.org/10.2307/2110623" TargetMode="External" /><Relationship Type="http://schemas.openxmlformats.org/officeDocument/2006/relationships/hyperlink" Id="rId57" Target="https://doi.org/10.2307/2952259" TargetMode="External" /><Relationship Type="http://schemas.openxmlformats.org/officeDocument/2006/relationships/hyperlink" Id="rId160" Target="https://doi.org/10.4324/9780203202050" TargetMode="External" /><Relationship Type="http://schemas.openxmlformats.org/officeDocument/2006/relationships/hyperlink" Id="rId152" Target="https://doi.org/10.5509/2019923443" TargetMode="External" /><Relationship Type="http://schemas.openxmlformats.org/officeDocument/2006/relationships/hyperlink" Id="rId89" Target="https://doi.org/10.56021/9780801860140" TargetMode="External" /><Relationship Type="http://schemas.openxmlformats.org/officeDocument/2006/relationships/hyperlink" Id="rId75" Target="https://doi.org/10.7312/chu-14534" TargetMode="External" /></Relationships>
</file>

<file path=word/_rels/footnotes.xml.rels><?xml version="1.0" encoding="UTF-8"?><Relationships xmlns="http://schemas.openxmlformats.org/package/2006/relationships"><Relationship Type="http://schemas.openxmlformats.org/officeDocument/2006/relationships/hyperlink" Id="rId73" Target="https://asianbarometer.org" TargetMode="External" /><Relationship Type="http://schemas.openxmlformats.org/officeDocument/2006/relationships/hyperlink" Id="rId97" Target="https://doi.org/10.1016/j.electstud.2010.09.009" TargetMode="External" /><Relationship Type="http://schemas.openxmlformats.org/officeDocument/2006/relationships/hyperlink" Id="rId166" Target="https://doi.org/10.1016/j.electstud.2011.11.001" TargetMode="External" /><Relationship Type="http://schemas.openxmlformats.org/officeDocument/2006/relationships/hyperlink" Id="rId135" Target="https://doi.org/10.1017/9781108677080" TargetMode="External" /><Relationship Type="http://schemas.openxmlformats.org/officeDocument/2006/relationships/hyperlink" Id="rId170" Target="https://doi.org/10.1017/cbo9780511760891" TargetMode="External" /><Relationship Type="http://schemas.openxmlformats.org/officeDocument/2006/relationships/hyperlink" Id="rId141" Target="https://doi.org/10.1017/cbo9780511973383" TargetMode="External" /><Relationship Type="http://schemas.openxmlformats.org/officeDocument/2006/relationships/hyperlink" Id="rId143" Target="https://doi.org/10.1017/cbo9781139061902" TargetMode="External" /><Relationship Type="http://schemas.openxmlformats.org/officeDocument/2006/relationships/hyperlink" Id="rId162" Target="https://doi.org/10.1017/cbo9781139084086" TargetMode="External" /><Relationship Type="http://schemas.openxmlformats.org/officeDocument/2006/relationships/hyperlink" Id="rId109" Target="https://doi.org/10.1017/s0003055420000052" TargetMode="External" /><Relationship Type="http://schemas.openxmlformats.org/officeDocument/2006/relationships/hyperlink" Id="rId139" Target="https://doi.org/10.1017/s0007123400006736" TargetMode="External" /><Relationship Type="http://schemas.openxmlformats.org/officeDocument/2006/relationships/hyperlink" Id="rId63" Target="https://doi.org/10.1017/s0007123401000175" TargetMode="External" /><Relationship Type="http://schemas.openxmlformats.org/officeDocument/2006/relationships/hyperlink" Id="rId59" Target="https://doi.org/10.1017/s0007123402000133" TargetMode="External" /><Relationship Type="http://schemas.openxmlformats.org/officeDocument/2006/relationships/hyperlink" Id="rId180" Target="https://doi.org/10.1017/s0007123420000149" TargetMode="External" /><Relationship Type="http://schemas.openxmlformats.org/officeDocument/2006/relationships/hyperlink" Id="rId93" Target="https://doi.org/10.1017/s0007123425000365" TargetMode="External" /><Relationship Type="http://schemas.openxmlformats.org/officeDocument/2006/relationships/hyperlink" Id="rId61" Target="https://doi.org/10.1017/s0008423924000775" TargetMode="External" /><Relationship Type="http://schemas.openxmlformats.org/officeDocument/2006/relationships/hyperlink" Id="rId164" Target="https://doi.org/10.1017/s1468109918000063" TargetMode="External" /><Relationship Type="http://schemas.openxmlformats.org/officeDocument/2006/relationships/hyperlink" Id="rId124" Target="https://doi.org/10.1037/0033-2909.108.3.480" TargetMode="External" /><Relationship Type="http://schemas.openxmlformats.org/officeDocument/2006/relationships/hyperlink" Id="rId129" Target="https://doi.org/10.1080/13510347.2019.1582029" TargetMode="External" /><Relationship Type="http://schemas.openxmlformats.org/officeDocument/2006/relationships/hyperlink" Id="rId178" Target="https://doi.org/10.1080/13510347.2022.2036721" TargetMode="External" /><Relationship Type="http://schemas.openxmlformats.org/officeDocument/2006/relationships/hyperlink" Id="rId168" Target="https://doi.org/10.1080/14672715.2021.1882866" TargetMode="External" /><Relationship Type="http://schemas.openxmlformats.org/officeDocument/2006/relationships/hyperlink" Id="rId55" Target="https://doi.org/10.1093/0199276382.001.0001" TargetMode="External" /><Relationship Type="http://schemas.openxmlformats.org/officeDocument/2006/relationships/hyperlink" Id="rId103" Target="https://doi.org/10.1093/acprof:oso/9780198766902.001.0001" TargetMode="External" /><Relationship Type="http://schemas.openxmlformats.org/officeDocument/2006/relationships/hyperlink" Id="rId131" Target="https://doi.org/10.1093/oso/9780198854852.001.0001" TargetMode="External" /><Relationship Type="http://schemas.openxmlformats.org/officeDocument/2006/relationships/hyperlink" Id="rId85" Target="https://doi.org/10.1093/oxfordhb/9780199270125.001.0001" TargetMode="External" /><Relationship Type="http://schemas.openxmlformats.org/officeDocument/2006/relationships/hyperlink" Id="rId99" Target="https://doi.org/10.1111/1475-6765.12370" TargetMode="External" /><Relationship Type="http://schemas.openxmlformats.org/officeDocument/2006/relationships/hyperlink" Id="rId80" Target="https://doi.org/10.1111/ajps.12452" TargetMode="External" /><Relationship Type="http://schemas.openxmlformats.org/officeDocument/2006/relationships/hyperlink" Id="rId82" Target="https://doi.org/10.1111/ajps.12690" TargetMode="External" /><Relationship Type="http://schemas.openxmlformats.org/officeDocument/2006/relationships/hyperlink" Id="rId148" Target="https://doi.org/10.1111/aspp.12625" TargetMode="External" /><Relationship Type="http://schemas.openxmlformats.org/officeDocument/2006/relationships/hyperlink" Id="rId101" Target="https://doi.org/10.1111/j.1468-2508.2006.00380.x" TargetMode="External" /><Relationship Type="http://schemas.openxmlformats.org/officeDocument/2006/relationships/hyperlink" Id="rId174" Target="https://doi.org/10.1111/j.1540-5907.2006.00214.x" TargetMode="External" /><Relationship Type="http://schemas.openxmlformats.org/officeDocument/2006/relationships/hyperlink" Id="rId95" Target="https://doi.org/10.1111/spsr.12561" TargetMode="External" /><Relationship Type="http://schemas.openxmlformats.org/officeDocument/2006/relationships/hyperlink" Id="rId176" Target="https://doi.org/10.1146/annurev-polisci-050517-114628" TargetMode="External" /><Relationship Type="http://schemas.openxmlformats.org/officeDocument/2006/relationships/hyperlink" Id="rId67" Target="https://doi.org/10.1162/rest.90.3.414" TargetMode="External" /><Relationship Type="http://schemas.openxmlformats.org/officeDocument/2006/relationships/hyperlink" Id="rId69" Target="https://doi.org/10.1177/0010414011434009" TargetMode="External" /><Relationship Type="http://schemas.openxmlformats.org/officeDocument/2006/relationships/hyperlink" Id="rId65" Target="https://doi.org/10.1177/00104140231152784" TargetMode="External" /><Relationship Type="http://schemas.openxmlformats.org/officeDocument/2006/relationships/hyperlink" Id="rId113" Target="https://doi.org/10.1177/0021909620911150" TargetMode="External" /><Relationship Type="http://schemas.openxmlformats.org/officeDocument/2006/relationships/hyperlink" Id="rId137" Target="https://doi.org/10.1177/0032321720952230" TargetMode="External" /><Relationship Type="http://schemas.openxmlformats.org/officeDocument/2006/relationships/hyperlink" Id="rId156" Target="https://doi.org/10.1177/02685809241284284" TargetMode="External" /><Relationship Type="http://schemas.openxmlformats.org/officeDocument/2006/relationships/hyperlink" Id="rId71" Target="https://doi.org/10.1177/1065912914532721" TargetMode="External" /><Relationship Type="http://schemas.openxmlformats.org/officeDocument/2006/relationships/hyperlink" Id="rId111" Target="https://doi.org/10.1177/13540688211058111" TargetMode="External" /><Relationship Type="http://schemas.openxmlformats.org/officeDocument/2006/relationships/hyperlink" Id="rId154" Target="https://doi.org/10.1177/18681034251341319" TargetMode="External" /><Relationship Type="http://schemas.openxmlformats.org/officeDocument/2006/relationships/hyperlink" Id="rId150" Target="https://doi.org/10.1177/20578911231225501" TargetMode="External" /><Relationship Type="http://schemas.openxmlformats.org/officeDocument/2006/relationships/hyperlink" Id="rId127" Target="https://doi.org/10.1353/jod.1996.0031" TargetMode="External" /><Relationship Type="http://schemas.openxmlformats.org/officeDocument/2006/relationships/hyperlink" Id="rId158" Target="https://doi.org/10.1353/jod.1998.0030" TargetMode="External" /><Relationship Type="http://schemas.openxmlformats.org/officeDocument/2006/relationships/hyperlink" Id="rId77" Target="https://doi.org/10.1353/jod.2010.0009" TargetMode="External" /><Relationship Type="http://schemas.openxmlformats.org/officeDocument/2006/relationships/hyperlink" Id="rId91" Target="https://doi.org/10.1353/jod.2015.0009" TargetMode="External" /><Relationship Type="http://schemas.openxmlformats.org/officeDocument/2006/relationships/hyperlink" Id="rId107" Target="https://doi.org/10.1353/jod.2016.0049" TargetMode="External" /><Relationship Type="http://schemas.openxmlformats.org/officeDocument/2006/relationships/hyperlink" Id="rId172" Target="https://doi.org/10.1353/jod.2019.0039" TargetMode="External" /><Relationship Type="http://schemas.openxmlformats.org/officeDocument/2006/relationships/hyperlink" Id="rId133" Target="https://doi.org/10.1353/jod.2019.0056" TargetMode="External" /><Relationship Type="http://schemas.openxmlformats.org/officeDocument/2006/relationships/hyperlink" Id="rId122" Target="https://doi.org/10.1355/cs36-3a" TargetMode="External" /><Relationship Type="http://schemas.openxmlformats.org/officeDocument/2006/relationships/hyperlink" Id="rId87" Target="https://doi.org/10.1371/journal.pone.0314967" TargetMode="External" /><Relationship Type="http://schemas.openxmlformats.org/officeDocument/2006/relationships/hyperlink" Id="rId118" Target="https://doi.org/10.1515/9780691214429" TargetMode="External" /><Relationship Type="http://schemas.openxmlformats.org/officeDocument/2006/relationships/hyperlink" Id="rId146" Target="https://doi.org/10.1515/9780824842659" TargetMode="External" /><Relationship Type="http://schemas.openxmlformats.org/officeDocument/2006/relationships/hyperlink" Id="rId120" Target="https://doi.org/10.2307/1914185" TargetMode="External" /><Relationship Type="http://schemas.openxmlformats.org/officeDocument/2006/relationships/hyperlink" Id="rId105" Target="https://doi.org/10.2307/2110623" TargetMode="External" /><Relationship Type="http://schemas.openxmlformats.org/officeDocument/2006/relationships/hyperlink" Id="rId57" Target="https://doi.org/10.2307/2952259" TargetMode="External" /><Relationship Type="http://schemas.openxmlformats.org/officeDocument/2006/relationships/hyperlink" Id="rId160" Target="https://doi.org/10.4324/9780203202050" TargetMode="External" /><Relationship Type="http://schemas.openxmlformats.org/officeDocument/2006/relationships/hyperlink" Id="rId152" Target="https://doi.org/10.5509/2019923443" TargetMode="External" /><Relationship Type="http://schemas.openxmlformats.org/officeDocument/2006/relationships/hyperlink" Id="rId89" Target="https://doi.org/10.56021/9780801860140" TargetMode="External" /><Relationship Type="http://schemas.openxmlformats.org/officeDocument/2006/relationships/hyperlink" Id="rId75" Target="https://doi.org/10.7312/chu-145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Jeffrey Stark</dc:creator>
  <cp:keywords>democratic conceptions, electoral losers, procedural democracy, Thailand, South Korea</cp:keywords>
  <dcterms:created xsi:type="dcterms:W3CDTF">2026-03-05T12:02:31Z</dcterms:created>
  <dcterms:modified xsi:type="dcterms:W3CDTF">2026-03-05T12:02:31Z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how citizens evaluate democracy but what they understand it to mean? Electoral losers across eleven Asian democracies consistently gravitate toward liberal-procedural conceptions of democracy—free expression, media freedom, judicial accountability—while winners orient toward substantive outcomes like economic equality and welfare. The gap is small in the aggregate. Context makes it consequential. In Thailand, the procedural-substantive divide between winners and losers widened from near zero to over twenty percentage points across a decade spanning the 2014 coup and its aftermath; in South Korea, where a constitutional crisis of comparable severity was resolved through institutional channels, it barely moved. Drawing on three main waves of Asian Barometer Survey data (2010–2022, n = 23,464) plus a structurally distinct Wave 2 baseline (2005–2008), multinomial logit models with country and wave fixed effects estimate this winner-loser gap while three mechanism tests distinguish positional updating from stable cultural sorting: the loser effect amplifies where citizens perceive elections as unfair, does not extend to non-procedural domains such as material welfare, and persists after demographic reweighting holds coalition composition constant. If exclusion from political authority—rather than prior disposition—drives how citizens define democracy, the implications for democratic resilience are troubling. Erosion concentrates procedural commitments among those whom the political system has rendered least capable of defending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2026-03-05</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esources">
    <vt:lpwstr/>
  </property>
  <property fmtid="{D5CDD505-2E9C-101B-9397-08002B2CF9AE}" pid="17" name="toc-title">
    <vt:lpwstr>Table of contents</vt:lpwstr>
  </property>
</Properties>
</file>