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1F4E79"/>
          <w:sz w:val="52"/>
          <w:szCs w:val="52"/>
        </w:rPr>
        <w:t xml:space="preserve">ACS PUMS Codebook Reference</w:t>
      </w:r>
    </w:p>
    <w:p>
      <w:pPr>
        <w:spacing w:before="0" w:after="160"/>
      </w:pPr>
      <w:r>
        <w:rPr>
          <w:rFonts w:ascii="Arial" w:cs="Arial" w:eastAsia="Arial" w:hAnsi="Arial"/>
          <w:i/>
          <w:iCs/>
          <w:color w:val="595959"/>
          <w:sz w:val="24"/>
          <w:szCs w:val="24"/>
        </w:rPr>
        <w:t xml:space="preserve">Philadelphia Metropolitan Area • New Jersey &amp; Pennsylvania • 2005–2013</w:t>
      </w:r>
    </w:p>
    <w:p>
      <w:pPr>
        <w:pBdr>
          <w:bottom w:val="single" w:color="2E75B6" w:sz="6"/>
        </w:pBdr>
        <w:spacing w:before="0" w:after="320"/>
      </w:pPr>
    </w:p>
    <w:p>
      <w:pPr>
        <w:pStyle w:val="Heading1"/>
        <w:spacing w:before="360" w:after="200"/>
      </w:pPr>
      <w:r>
        <w:rPr>
          <w:rFonts w:ascii="Arial" w:cs="Arial" w:eastAsia="Arial" w:hAnsi="Arial"/>
          <w:b/>
          <w:bCs/>
          <w:color w:val="1F4E79"/>
          <w:sz w:val="32"/>
          <w:szCs w:val="32"/>
        </w:rPr>
        <w:t xml:space="preserve">Overview</w:t>
      </w:r>
    </w:p>
    <w:p>
      <w:pPr>
        <w:spacing w:before="60" w:after="60"/>
      </w:pPr>
      <w:r>
        <w:rPr>
          <w:rFonts w:ascii="Arial" w:cs="Arial" w:eastAsia="Arial" w:hAnsi="Arial"/>
          <w:sz w:val="20"/>
          <w:szCs w:val="20"/>
        </w:rPr>
        <w:t xml:space="preserve">This reference document describes all 34 variables present in the pooled ACS PUMS dataset for the Philadelphia Metropolitan Area (New Jersey and Pennsylvania), spanning survey years 2005–2013. Definitions are drawn from the official ACS PUMS Data Dictionaries for each year.</w:t>
      </w:r>
    </w:p>
    <w:p>
      <w:pPr>
        <w:spacing w:before="60" w:after="6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Key analytical considerations:</w:t>
      </w:r>
    </w:p>
    <w:p>
      <w:pPr>
        <w:spacing w:before="60" w:after="60"/>
      </w:pPr>
      <w:r>
        <w:rPr>
          <w:rFonts w:ascii="Arial" w:cs="Arial" w:eastAsia="Arial" w:hAnsi="Arial"/>
          <w:sz w:val="20"/>
          <w:szCs w:val="20"/>
        </w:rPr>
        <w:t xml:space="preserve">1. FS (Food Stamps) changed from a dollar-amount variable to a binary yes/no flag in 2007.</w:t>
      </w:r>
    </w:p>
    <w:p>
      <w:pPr>
        <w:spacing w:before="60" w:after="60"/>
      </w:pPr>
      <w:r>
        <w:rPr>
          <w:rFonts w:ascii="Arial" w:cs="Arial" w:eastAsia="Arial" w:hAnsi="Arial"/>
          <w:sz w:val="20"/>
          <w:szCs w:val="20"/>
        </w:rPr>
        <w:t xml:space="preserve">2. WKW (Weeks Worked) changed from a continuous measure (1–52 weeks) to a 6-bin categorical in 2007 — directly affecting FLI eligibility coding.</w:t>
      </w:r>
    </w:p>
    <w:p>
      <w:pPr>
        <w:spacing w:before="60" w:after="60"/>
      </w:pPr>
      <w:r>
        <w:rPr>
          <w:rFonts w:ascii="Arial" w:cs="Arial" w:eastAsia="Arial" w:hAnsi="Arial"/>
          <w:sz w:val="20"/>
          <w:szCs w:val="20"/>
        </w:rPr>
        <w:t xml:space="preserve">3. SCHL (Education) expanded from 16 to 24 categories in 2008 — not directly comparable across this break.</w:t>
      </w:r>
    </w:p>
    <w:p>
      <w:pPr>
        <w:spacing w:before="60" w:after="60"/>
      </w:pPr>
      <w:r>
        <w:rPr>
          <w:rFonts w:ascii="Arial" w:cs="Arial" w:eastAsia="Arial" w:hAnsi="Arial"/>
          <w:sz w:val="20"/>
          <w:szCs w:val="20"/>
        </w:rPr>
        <w:t xml:space="preserve">4. PUMA boundaries were redefined using 2010 Census geography starting in 2012 — geographic codes are not comparable before and after.</w:t>
      </w:r>
    </w:p>
    <w:p>
      <w:pPr>
        <w:spacing w:before="60" w:after="60"/>
      </w:pPr>
      <w:r>
        <w:rPr>
          <w:rFonts w:ascii="Arial" w:cs="Arial" w:eastAsia="Arial" w:hAnsi="Arial"/>
          <w:sz w:val="20"/>
          <w:szCs w:val="20"/>
        </w:rPr>
        <w:t xml:space="preserve">5. REL (Relationship) expanded from 14 to 17 categories in 2008 and was renamed RELP in 2010+ codebooks.</w:t>
      </w:r>
    </w:p>
    <w:p>
      <w:pPr>
        <w:spacing w:before="60" w:after="60"/>
      </w:pPr>
      <w:r>
        <w:rPr>
          <w:rFonts w:ascii="Arial" w:cs="Arial" w:eastAsia="Arial" w:hAnsi="Arial"/>
          <w:sz w:val="20"/>
          <w:szCs w:val="20"/>
        </w:rPr>
        <w:t xml:space="preserve">6. DS/DIS (Disability) was renamed from DS to DIS in 2008; encoding unchanged.</w:t>
      </w:r>
    </w:p>
    <w:p>
      <w:pPr>
        <w:spacing w:before="60" w:after="60"/>
      </w:pPr>
      <w:r>
        <w:rPr>
          <w:rFonts w:ascii="Arial" w:cs="Arial" w:eastAsia="Arial" w:hAnsi="Arial"/>
          <w:sz w:val="20"/>
          <w:szCs w:val="20"/>
        </w:rPr>
        <w:t xml:space="preserve">7. POWSP (Place of Work) first appears in 2007; absent from 2005–2006.</w:t>
      </w:r>
    </w:p>
    <w:p>
      <w:pPr>
        <w:spacing w:before="60" w:after="60"/>
      </w:pPr>
      <w:r>
        <w:rPr>
          <w:rFonts w:ascii="Arial" w:cs="Arial" w:eastAsia="Arial" w:hAnsi="Arial"/>
          <w:sz w:val="20"/>
          <w:szCs w:val="20"/>
        </w:rPr>
        <w:t xml:space="preserve">8. county_new and year are researcher-added variables not in the original ACS.</w:t>
      </w:r>
    </w:p>
    <w:p>
      <w:pPr>
        <w:spacing w:before="60" w:after="60"/>
      </w:pPr>
      <w:r>
        <w:rPr>
          <w:rFonts w:ascii="Arial" w:cs="Arial" w:eastAsia="Arial" w:hAnsi="Arial"/>
          <w:sz w:val="20"/>
          <w:szCs w:val="20"/>
        </w:rPr>
        <w:t xml:space="preserve"/>
      </w:r>
    </w:p>
    <w:p>
      <w:pPr>
        <w:pStyle w:val="Heading1"/>
        <w:spacing w:before="360" w:after="200"/>
      </w:pPr>
      <w:r>
        <w:rPr>
          <w:rFonts w:ascii="Arial" w:cs="Arial" w:eastAsia="Arial" w:hAnsi="Arial"/>
          <w:b/>
          <w:bCs/>
          <w:color w:val="1F4E79"/>
          <w:sz w:val="32"/>
          <w:szCs w:val="32"/>
        </w:rPr>
        <w:t xml:space="preserve">Variable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6E4F0" w:val="clear"/>
            <w:tcMar>
              <w:top w:type="dxa" w:w="100"/>
              <w:left w:type="dxa" w:w="180"/>
              <w:bottom w:type="dxa" w:w="100"/>
              <w:right w:type="dxa" w:w="180"/>
            </w:tcMar>
          </w:tcPr>
          <w:p>
            <w:r>
              <w:rPr>
                <w:rFonts w:ascii="Courier New" w:cs="Courier New" w:eastAsia="Courier New" w:hAnsi="Courier New"/>
                <w:b/>
                <w:bCs/>
                <w:color w:val="1F4E79"/>
                <w:sz w:val="24"/>
                <w:szCs w:val="24"/>
              </w:rPr>
              <w:t xml:space="preserve">SERIALNO</w:t>
            </w:r>
            <w:r>
              <w:rPr>
                <w:rFonts w:ascii="Arial" w:cs="Arial" w:eastAsia="Arial" w:hAnsi="Arial"/>
                <w:b/>
                <w:bCs/>
                <w:color w:val="2C2C2C"/>
                <w:sz w:val="22"/>
                <w:szCs w:val="22"/>
              </w:rPr>
              <w:t xml:space="preserve">  —  Housing Unit/GQ Person Serial Number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AFAFA" w:val="clear"/>
            <w:tcMar>
              <w:top w:type="dxa" w:w="80"/>
              <w:left w:type="dxa" w:w="180"/>
              <w:bottom w:type="dxa" w:w="80"/>
              <w:right w:type="dxa" w:w="180"/>
            </w:tcMar>
          </w:tcPr>
          <w:p>
            <w:r>
              <w:rPr>
                <w:rFonts w:ascii="Arial" w:cs="Arial" w:eastAsia="Arial" w:hAnsi="Arial"/>
                <w:b/>
                <w:bCs/>
                <w:sz w:val="18"/>
                <w:szCs w:val="18"/>
              </w:rPr>
              <w:t xml:space="preserve">Description: </w:t>
            </w:r>
            <w:r>
              <w:rPr>
                <w:rFonts w:ascii="Arial" w:cs="Arial" w:eastAsia="Arial" w:hAnsi="Arial"/>
                <w:sz w:val="18"/>
                <w:szCs w:val="18"/>
              </w:rPr>
              <w:t xml:space="preserve">7-digit unique identifier for each housing unit or group quarters (GQ) person record, assigned within state.</w:t>
            </w:r>
          </w:p>
          <w:p>
            <w:r>
              <w:rPr>
                <w:rFonts w:ascii="Arial" w:cs="Arial" w:eastAsia="Arial" w:hAnsi="Arial"/>
                <w:b/>
                <w:bCs/>
                <w:sz w:val="18"/>
                <w:szCs w:val="18"/>
              </w:rPr>
              <w:t xml:space="preserve">Encoding: </w:t>
            </w:r>
            <w:r>
              <w:rPr>
                <w:rFonts w:ascii="Arial" w:cs="Arial" w:eastAsia="Arial" w:hAnsi="Arial"/>
                <w:i/>
                <w:iCs/>
                <w:sz w:val="18"/>
                <w:szCs w:val="18"/>
              </w:rPr>
              <w:t xml:space="preserve">0000001–9999999 = Unique identifier. In 2007, range expanded to 2007000000001–2011999999999.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Years</w:t>
            </w:r>
          </w:p>
        </w:tc>
        <w:tc>
          <w:tcPr>
            <w:tcW w:type="dxa" w:w="736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Definition / Encoding Notes</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sz w:val="17"/>
                <w:szCs w:val="17"/>
              </w:rPr>
              <w:t xml:space="preserve">2005–2006, 2008+</w:t>
            </w:r>
          </w:p>
        </w:tc>
        <w:tc>
          <w:tcPr>
            <w:tcW w:type="dxa" w:w="73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7-digit integer within state: 0000001–9999999</w:t>
            </w:r>
          </w:p>
        </w:tc>
      </w:tr>
      <w:tr>
        <w:tc>
          <w:tcPr>
            <w:tcW w:type="dxa" w:w="20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sz w:val="17"/>
                <w:szCs w:val="17"/>
              </w:rPr>
              <w:t xml:space="preserve">2007</w:t>
            </w:r>
          </w:p>
        </w:tc>
        <w:tc>
          <w:tcPr>
            <w:tcW w:type="dxa" w:w="736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Arial" w:cs="Arial" w:eastAsia="Arial" w:hAnsi="Arial"/>
                <w:sz w:val="17"/>
                <w:szCs w:val="17"/>
              </w:rPr>
              <w:t xml:space="preserve">13-digit unique identifier spanning years: 2007000000001–2011999999999</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6E4F0" w:val="clear"/>
            <w:tcMar>
              <w:top w:type="dxa" w:w="100"/>
              <w:left w:type="dxa" w:w="180"/>
              <w:bottom w:type="dxa" w:w="100"/>
              <w:right w:type="dxa" w:w="180"/>
            </w:tcMar>
          </w:tcPr>
          <w:p>
            <w:r>
              <w:rPr>
                <w:rFonts w:ascii="Courier New" w:cs="Courier New" w:eastAsia="Courier New" w:hAnsi="Courier New"/>
                <w:b/>
                <w:bCs/>
                <w:color w:val="1F4E79"/>
                <w:sz w:val="24"/>
                <w:szCs w:val="24"/>
              </w:rPr>
              <w:t xml:space="preserve">WGTP</w:t>
            </w:r>
            <w:r>
              <w:rPr>
                <w:rFonts w:ascii="Arial" w:cs="Arial" w:eastAsia="Arial" w:hAnsi="Arial"/>
                <w:b/>
                <w:bCs/>
                <w:color w:val="2C2C2C"/>
                <w:sz w:val="22"/>
                <w:szCs w:val="22"/>
              </w:rPr>
              <w:t xml:space="preserve">  —  Housing Weight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AFAFA" w:val="clear"/>
            <w:tcMar>
              <w:top w:type="dxa" w:w="80"/>
              <w:left w:type="dxa" w:w="180"/>
              <w:bottom w:type="dxa" w:w="80"/>
              <w:right w:type="dxa" w:w="180"/>
            </w:tcMar>
          </w:tcPr>
          <w:p>
            <w:r>
              <w:rPr>
                <w:rFonts w:ascii="Arial" w:cs="Arial" w:eastAsia="Arial" w:hAnsi="Arial"/>
                <w:b/>
                <w:bCs/>
                <w:sz w:val="18"/>
                <w:szCs w:val="18"/>
              </w:rPr>
              <w:t xml:space="preserve">Description: </w:t>
            </w:r>
            <w:r>
              <w:rPr>
                <w:rFonts w:ascii="Arial" w:cs="Arial" w:eastAsia="Arial" w:hAnsi="Arial"/>
                <w:sz w:val="18"/>
                <w:szCs w:val="18"/>
              </w:rPr>
              <w:t xml:space="preserve">Integer sampling weight for the housing unit. Used to produce population-representative estimates.</w:t>
            </w:r>
          </w:p>
          <w:p>
            <w:r>
              <w:rPr>
                <w:rFonts w:ascii="Arial" w:cs="Arial" w:eastAsia="Arial" w:hAnsi="Arial"/>
                <w:b/>
                <w:bCs/>
                <w:sz w:val="18"/>
                <w:szCs w:val="18"/>
              </w:rPr>
              <w:t xml:space="preserve">Encoding: </w:t>
            </w:r>
            <w:r>
              <w:rPr>
                <w:rFonts w:ascii="Arial" w:cs="Arial" w:eastAsia="Arial" w:hAnsi="Arial"/>
                <w:i/>
                <w:iCs/>
                <w:sz w:val="18"/>
                <w:szCs w:val="18"/>
              </w:rPr>
              <w:t xml:space="preserve">0001–9999 = Integer weight. In some years, 0000 = Group Quarter placeholder record.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Years</w:t>
            </w:r>
          </w:p>
        </w:tc>
        <w:tc>
          <w:tcPr>
            <w:tcW w:type="dxa" w:w="736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Definition / Encoding Notes</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sz w:val="17"/>
                <w:szCs w:val="17"/>
              </w:rPr>
              <w:t xml:space="preserve">2005–2009, 2011</w:t>
            </w:r>
          </w:p>
        </w:tc>
        <w:tc>
          <w:tcPr>
            <w:tcW w:type="dxa" w:w="73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4-digit: 0001–9999</w:t>
            </w:r>
          </w:p>
        </w:tc>
      </w:tr>
      <w:tr>
        <w:tc>
          <w:tcPr>
            <w:tcW w:type="dxa" w:w="20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sz w:val="17"/>
                <w:szCs w:val="17"/>
              </w:rPr>
              <w:t xml:space="preserve">2007, 2010, 2012–2013</w:t>
            </w:r>
          </w:p>
        </w:tc>
        <w:tc>
          <w:tcPr>
            <w:tcW w:type="dxa" w:w="736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Arial" w:cs="Arial" w:eastAsia="Arial" w:hAnsi="Arial"/>
                <w:sz w:val="17"/>
                <w:szCs w:val="17"/>
              </w:rPr>
              <w:t xml:space="preserve">5-digit: 00001–09999; 0000 = GQ placeholder</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6E4F0" w:val="clear"/>
            <w:tcMar>
              <w:top w:type="dxa" w:w="100"/>
              <w:left w:type="dxa" w:w="180"/>
              <w:bottom w:type="dxa" w:w="100"/>
              <w:right w:type="dxa" w:w="180"/>
            </w:tcMar>
          </w:tcPr>
          <w:p>
            <w:r>
              <w:rPr>
                <w:rFonts w:ascii="Courier New" w:cs="Courier New" w:eastAsia="Courier New" w:hAnsi="Courier New"/>
                <w:b/>
                <w:bCs/>
                <w:color w:val="1F4E79"/>
                <w:sz w:val="24"/>
                <w:szCs w:val="24"/>
              </w:rPr>
              <w:t xml:space="preserve">PWGTP</w:t>
            </w:r>
            <w:r>
              <w:rPr>
                <w:rFonts w:ascii="Arial" w:cs="Arial" w:eastAsia="Arial" w:hAnsi="Arial"/>
                <w:b/>
                <w:bCs/>
                <w:color w:val="2C2C2C"/>
                <w:sz w:val="22"/>
                <w:szCs w:val="22"/>
              </w:rPr>
              <w:t xml:space="preserve">  —  Person Weight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AFAFA" w:val="clear"/>
            <w:tcMar>
              <w:top w:type="dxa" w:w="80"/>
              <w:left w:type="dxa" w:w="180"/>
              <w:bottom w:type="dxa" w:w="80"/>
              <w:right w:type="dxa" w:w="180"/>
            </w:tcMar>
          </w:tcPr>
          <w:p>
            <w:r>
              <w:rPr>
                <w:rFonts w:ascii="Arial" w:cs="Arial" w:eastAsia="Arial" w:hAnsi="Arial"/>
                <w:b/>
                <w:bCs/>
                <w:sz w:val="18"/>
                <w:szCs w:val="18"/>
              </w:rPr>
              <w:t xml:space="preserve">Description: </w:t>
            </w:r>
            <w:r>
              <w:rPr>
                <w:rFonts w:ascii="Arial" w:cs="Arial" w:eastAsia="Arial" w:hAnsi="Arial"/>
                <w:sz w:val="18"/>
                <w:szCs w:val="18"/>
              </w:rPr>
              <w:t xml:space="preserve">Integer sampling weight for the individual person record. Used alongside WGTP for person-level estimates.</w:t>
            </w:r>
          </w:p>
          <w:p>
            <w:r>
              <w:rPr>
                <w:rFonts w:ascii="Arial" w:cs="Arial" w:eastAsia="Arial" w:hAnsi="Arial"/>
                <w:b/>
                <w:bCs/>
                <w:sz w:val="18"/>
                <w:szCs w:val="18"/>
              </w:rPr>
              <w:t xml:space="preserve">Encoding: </w:t>
            </w:r>
            <w:r>
              <w:rPr>
                <w:rFonts w:ascii="Arial" w:cs="Arial" w:eastAsia="Arial" w:hAnsi="Arial"/>
                <w:i/>
                <w:iCs/>
                <w:sz w:val="18"/>
                <w:szCs w:val="18"/>
              </w:rPr>
              <w:t xml:space="preserve">0001–9999 (4-digit) or 00001–09999 (5-digit depending on year).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Years</w:t>
            </w:r>
          </w:p>
        </w:tc>
        <w:tc>
          <w:tcPr>
            <w:tcW w:type="dxa" w:w="736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Definition / Encoding Notes</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sz w:val="17"/>
                <w:szCs w:val="17"/>
              </w:rPr>
              <w:t xml:space="preserve">2005–2006</w:t>
            </w:r>
          </w:p>
        </w:tc>
        <w:tc>
          <w:tcPr>
            <w:tcW w:type="dxa" w:w="73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Documented as 4-digit: 0001–9999</w:t>
            </w:r>
          </w:p>
        </w:tc>
      </w:tr>
      <w:tr>
        <w:tc>
          <w:tcPr>
            <w:tcW w:type="dxa" w:w="20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sz w:val="17"/>
                <w:szCs w:val="17"/>
              </w:rPr>
              <w:t xml:space="preserve">2007–2011</w:t>
            </w:r>
          </w:p>
        </w:tc>
        <w:tc>
          <w:tcPr>
            <w:tcW w:type="dxa" w:w="736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Arial" w:cs="Arial" w:eastAsia="Arial" w:hAnsi="Arial"/>
                <w:sz w:val="17"/>
                <w:szCs w:val="17"/>
              </w:rPr>
              <w:t xml:space="preserve">4-digit range: 0001–9999</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sz w:val="17"/>
                <w:szCs w:val="17"/>
              </w:rPr>
              <w:t xml:space="preserve">2012–2013</w:t>
            </w:r>
          </w:p>
        </w:tc>
        <w:tc>
          <w:tcPr>
            <w:tcW w:type="dxa" w:w="73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5-digit range: 00001–09999</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6E4F0" w:val="clear"/>
            <w:tcMar>
              <w:top w:type="dxa" w:w="100"/>
              <w:left w:type="dxa" w:w="180"/>
              <w:bottom w:type="dxa" w:w="100"/>
              <w:right w:type="dxa" w:w="180"/>
            </w:tcMar>
          </w:tcPr>
          <w:p>
            <w:r>
              <w:rPr>
                <w:rFonts w:ascii="Courier New" w:cs="Courier New" w:eastAsia="Courier New" w:hAnsi="Courier New"/>
                <w:b/>
                <w:bCs/>
                <w:color w:val="1F4E79"/>
                <w:sz w:val="24"/>
                <w:szCs w:val="24"/>
              </w:rPr>
              <w:t xml:space="preserve">FS</w:t>
            </w:r>
            <w:r>
              <w:rPr>
                <w:rFonts w:ascii="Arial" w:cs="Arial" w:eastAsia="Arial" w:hAnsi="Arial"/>
                <w:b/>
                <w:bCs/>
                <w:color w:val="2C2C2C"/>
                <w:sz w:val="22"/>
                <w:szCs w:val="22"/>
              </w:rPr>
              <w:t xml:space="preserve">  —  Food Stamp / SNAP Recipiency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AFAFA" w:val="clear"/>
            <w:tcMar>
              <w:top w:type="dxa" w:w="80"/>
              <w:left w:type="dxa" w:w="180"/>
              <w:bottom w:type="dxa" w:w="80"/>
              <w:right w:type="dxa" w:w="180"/>
            </w:tcMar>
          </w:tcPr>
          <w:p>
            <w:r>
              <w:rPr>
                <w:rFonts w:ascii="Arial" w:cs="Arial" w:eastAsia="Arial" w:hAnsi="Arial"/>
                <w:b/>
                <w:bCs/>
                <w:sz w:val="18"/>
                <w:szCs w:val="18"/>
              </w:rPr>
              <w:t xml:space="preserve">Description: </w:t>
            </w:r>
            <w:r>
              <w:rPr>
                <w:rFonts w:ascii="Arial" w:cs="Arial" w:eastAsia="Arial" w:hAnsi="Arial"/>
                <w:sz w:val="18"/>
                <w:szCs w:val="18"/>
              </w:rPr>
              <w:t xml:space="preserve">Indicates whether the household received food stamp benefits in the past 12 months. The variable's definition and encoding changed substantially in 2007.</w:t>
            </w:r>
          </w:p>
          <w:p>
            <w:r>
              <w:rPr>
                <w:rFonts w:ascii="Arial" w:cs="Arial" w:eastAsia="Arial" w:hAnsi="Arial"/>
                <w:b/>
                <w:bCs/>
                <w:sz w:val="18"/>
                <w:szCs w:val="18"/>
              </w:rPr>
              <w:t xml:space="preserve">Encoding: </w:t>
            </w:r>
            <w:r>
              <w:rPr>
                <w:rFonts w:ascii="Arial" w:cs="Arial" w:eastAsia="Arial" w:hAnsi="Arial"/>
                <w:i/>
                <w:iCs/>
                <w:sz w:val="18"/>
                <w:szCs w:val="18"/>
              </w:rPr>
              <w:t xml:space="preserve">Pre-2007: 0 = None; 1–99999 = Dollar amount received. 2007+: 1 = Yes; 2 = No. b = N/A (vacant).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Years</w:t>
            </w:r>
          </w:p>
        </w:tc>
        <w:tc>
          <w:tcPr>
            <w:tcW w:type="dxa" w:w="736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Definition / Encoding Notes</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sz w:val="17"/>
                <w:szCs w:val="17"/>
              </w:rPr>
              <w:t xml:space="preserve">2005–2006</w:t>
            </w:r>
          </w:p>
        </w:tc>
        <w:tc>
          <w:tcPr>
            <w:tcW w:type="dxa" w:w="73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Dollar amount of food stamps received. 0 = None; 1–99999 = $ amount. Label: 'Food Stamp Amount'</w:t>
            </w:r>
          </w:p>
        </w:tc>
      </w:tr>
      <w:tr>
        <w:tc>
          <w:tcPr>
            <w:tcW w:type="dxa" w:w="20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sz w:val="17"/>
                <w:szCs w:val="17"/>
              </w:rPr>
              <w:t xml:space="preserve">2007+</w:t>
            </w:r>
          </w:p>
        </w:tc>
        <w:tc>
          <w:tcPr>
            <w:tcW w:type="dxa" w:w="736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Arial" w:cs="Arial" w:eastAsia="Arial" w:hAnsi="Arial"/>
                <w:sz w:val="17"/>
                <w:szCs w:val="17"/>
              </w:rPr>
              <w:t xml:space="preserve">Binary recipiency flag. 1 = Yes; 2 = No. Label changed to 'Yearly food stamp/SNAP recipiency'</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6E4F0" w:val="clear"/>
            <w:tcMar>
              <w:top w:type="dxa" w:w="100"/>
              <w:left w:type="dxa" w:w="180"/>
              <w:bottom w:type="dxa" w:w="100"/>
              <w:right w:type="dxa" w:w="180"/>
            </w:tcMar>
          </w:tcPr>
          <w:p>
            <w:r>
              <w:rPr>
                <w:rFonts w:ascii="Courier New" w:cs="Courier New" w:eastAsia="Courier New" w:hAnsi="Courier New"/>
                <w:b/>
                <w:bCs/>
                <w:color w:val="1F4E79"/>
                <w:sz w:val="24"/>
                <w:szCs w:val="24"/>
              </w:rPr>
              <w:t xml:space="preserve">NP</w:t>
            </w:r>
            <w:r>
              <w:rPr>
                <w:rFonts w:ascii="Arial" w:cs="Arial" w:eastAsia="Arial" w:hAnsi="Arial"/>
                <w:b/>
                <w:bCs/>
                <w:color w:val="2C2C2C"/>
                <w:sz w:val="22"/>
                <w:szCs w:val="22"/>
              </w:rPr>
              <w:t xml:space="preserve">  —  Number of Person Records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AFAFA" w:val="clear"/>
            <w:tcMar>
              <w:top w:type="dxa" w:w="80"/>
              <w:left w:type="dxa" w:w="180"/>
              <w:bottom w:type="dxa" w:w="80"/>
              <w:right w:type="dxa" w:w="180"/>
            </w:tcMar>
          </w:tcPr>
          <w:p>
            <w:r>
              <w:rPr>
                <w:rFonts w:ascii="Arial" w:cs="Arial" w:eastAsia="Arial" w:hAnsi="Arial"/>
                <w:b/>
                <w:bCs/>
                <w:sz w:val="18"/>
                <w:szCs w:val="18"/>
              </w:rPr>
              <w:t xml:space="preserve">Description: </w:t>
            </w:r>
            <w:r>
              <w:rPr>
                <w:rFonts w:ascii="Arial" w:cs="Arial" w:eastAsia="Arial" w:hAnsi="Arial"/>
                <w:sz w:val="18"/>
                <w:szCs w:val="18"/>
              </w:rPr>
              <w:t xml:space="preserve">Number of person records following this housing record. Indicates household size.</w:t>
            </w:r>
          </w:p>
          <w:p>
            <w:r>
              <w:rPr>
                <w:rFonts w:ascii="Arial" w:cs="Arial" w:eastAsia="Arial" w:hAnsi="Arial"/>
                <w:b/>
                <w:bCs/>
                <w:sz w:val="18"/>
                <w:szCs w:val="18"/>
              </w:rPr>
              <w:t xml:space="preserve">Encoding: </w:t>
            </w:r>
            <w:r>
              <w:rPr>
                <w:rFonts w:ascii="Arial" w:cs="Arial" w:eastAsia="Arial" w:hAnsi="Arial"/>
                <w:i/>
                <w:iCs/>
                <w:sz w:val="18"/>
                <w:szCs w:val="18"/>
              </w:rPr>
              <w:t xml:space="preserve">00 = Vacant unit; 01 = One person; 02–20 = Number of persons in household.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Years</w:t>
            </w:r>
          </w:p>
        </w:tc>
        <w:tc>
          <w:tcPr>
            <w:tcW w:type="dxa" w:w="736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Definition / Encoding Notes</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sz w:val="17"/>
                <w:szCs w:val="17"/>
              </w:rPr>
              <w:t xml:space="preserve">2005–2013</w:t>
            </w:r>
          </w:p>
        </w:tc>
        <w:tc>
          <w:tcPr>
            <w:tcW w:type="dxa" w:w="73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Stable encoding: 00 = vacant, 01–20 = household size. No substantive changes.</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6E4F0" w:val="clear"/>
            <w:tcMar>
              <w:top w:type="dxa" w:w="100"/>
              <w:left w:type="dxa" w:w="180"/>
              <w:bottom w:type="dxa" w:w="100"/>
              <w:right w:type="dxa" w:w="180"/>
            </w:tcMar>
          </w:tcPr>
          <w:p>
            <w:r>
              <w:rPr>
                <w:rFonts w:ascii="Courier New" w:cs="Courier New" w:eastAsia="Courier New" w:hAnsi="Courier New"/>
                <w:b/>
                <w:bCs/>
                <w:color w:val="1F4E79"/>
                <w:sz w:val="24"/>
                <w:szCs w:val="24"/>
              </w:rPr>
              <w:t xml:space="preserve">NRC</w:t>
            </w:r>
            <w:r>
              <w:rPr>
                <w:rFonts w:ascii="Arial" w:cs="Arial" w:eastAsia="Arial" w:hAnsi="Arial"/>
                <w:b/>
                <w:bCs/>
                <w:color w:val="2C2C2C"/>
                <w:sz w:val="22"/>
                <w:szCs w:val="22"/>
              </w:rPr>
              <w:t xml:space="preserve">  —  Number of Related Children in Household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AFAFA" w:val="clear"/>
            <w:tcMar>
              <w:top w:type="dxa" w:w="80"/>
              <w:left w:type="dxa" w:w="180"/>
              <w:bottom w:type="dxa" w:w="80"/>
              <w:right w:type="dxa" w:w="180"/>
            </w:tcMar>
          </w:tcPr>
          <w:p>
            <w:r>
              <w:rPr>
                <w:rFonts w:ascii="Arial" w:cs="Arial" w:eastAsia="Arial" w:hAnsi="Arial"/>
                <w:b/>
                <w:bCs/>
                <w:sz w:val="18"/>
                <w:szCs w:val="18"/>
              </w:rPr>
              <w:t xml:space="preserve">Description: </w:t>
            </w:r>
            <w:r>
              <w:rPr>
                <w:rFonts w:ascii="Arial" w:cs="Arial" w:eastAsia="Arial" w:hAnsi="Arial"/>
                <w:sz w:val="18"/>
                <w:szCs w:val="18"/>
              </w:rPr>
              <w:t xml:space="preserve">Unweighted count of related children in the household.</w:t>
            </w:r>
          </w:p>
          <w:p>
            <w:r>
              <w:rPr>
                <w:rFonts w:ascii="Arial" w:cs="Arial" w:eastAsia="Arial" w:hAnsi="Arial"/>
                <w:b/>
                <w:bCs/>
                <w:sz w:val="18"/>
                <w:szCs w:val="18"/>
              </w:rPr>
              <w:t xml:space="preserve">Encoding: </w:t>
            </w:r>
            <w:r>
              <w:rPr>
                <w:rFonts w:ascii="Arial" w:cs="Arial" w:eastAsia="Arial" w:hAnsi="Arial"/>
                <w:i/>
                <w:iCs/>
                <w:sz w:val="18"/>
                <w:szCs w:val="18"/>
              </w:rPr>
              <w:t xml:space="preserve">bb = N/A (GQ/vacant); 00 = No related children; 01–19 = Count of related children.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Years</w:t>
            </w:r>
          </w:p>
        </w:tc>
        <w:tc>
          <w:tcPr>
            <w:tcW w:type="dxa" w:w="736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Definition / Encoding Notes</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sz w:val="17"/>
                <w:szCs w:val="17"/>
              </w:rPr>
              <w:t xml:space="preserve">2005–2013</w:t>
            </w:r>
          </w:p>
        </w:tc>
        <w:tc>
          <w:tcPr>
            <w:tcW w:type="dxa" w:w="73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Stable encoding throughout.</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6E4F0" w:val="clear"/>
            <w:tcMar>
              <w:top w:type="dxa" w:w="100"/>
              <w:left w:type="dxa" w:w="180"/>
              <w:bottom w:type="dxa" w:w="100"/>
              <w:right w:type="dxa" w:w="180"/>
            </w:tcMar>
          </w:tcPr>
          <w:p>
            <w:r>
              <w:rPr>
                <w:rFonts w:ascii="Courier New" w:cs="Courier New" w:eastAsia="Courier New" w:hAnsi="Courier New"/>
                <w:b/>
                <w:bCs/>
                <w:color w:val="1F4E79"/>
                <w:sz w:val="24"/>
                <w:szCs w:val="24"/>
              </w:rPr>
              <w:t xml:space="preserve">NOC</w:t>
            </w:r>
            <w:r>
              <w:rPr>
                <w:rFonts w:ascii="Arial" w:cs="Arial" w:eastAsia="Arial" w:hAnsi="Arial"/>
                <w:b/>
                <w:bCs/>
                <w:color w:val="2C2C2C"/>
                <w:sz w:val="22"/>
                <w:szCs w:val="22"/>
              </w:rPr>
              <w:t xml:space="preserve">  —  Number of Own Children in Household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AFAFA" w:val="clear"/>
            <w:tcMar>
              <w:top w:type="dxa" w:w="80"/>
              <w:left w:type="dxa" w:w="180"/>
              <w:bottom w:type="dxa" w:w="80"/>
              <w:right w:type="dxa" w:w="180"/>
            </w:tcMar>
          </w:tcPr>
          <w:p>
            <w:r>
              <w:rPr>
                <w:rFonts w:ascii="Arial" w:cs="Arial" w:eastAsia="Arial" w:hAnsi="Arial"/>
                <w:b/>
                <w:bCs/>
                <w:sz w:val="18"/>
                <w:szCs w:val="18"/>
              </w:rPr>
              <w:t xml:space="preserve">Description: </w:t>
            </w:r>
            <w:r>
              <w:rPr>
                <w:rFonts w:ascii="Arial" w:cs="Arial" w:eastAsia="Arial" w:hAnsi="Arial"/>
                <w:sz w:val="18"/>
                <w:szCs w:val="18"/>
              </w:rPr>
              <w:t xml:space="preserve">Unweighted count of the householder's own children present in the household. Distinct from NRC (which includes related non-own children).</w:t>
            </w:r>
          </w:p>
          <w:p>
            <w:r>
              <w:rPr>
                <w:rFonts w:ascii="Arial" w:cs="Arial" w:eastAsia="Arial" w:hAnsi="Arial"/>
                <w:b/>
                <w:bCs/>
                <w:sz w:val="18"/>
                <w:szCs w:val="18"/>
              </w:rPr>
              <w:t xml:space="preserve">Encoding: </w:t>
            </w:r>
            <w:r>
              <w:rPr>
                <w:rFonts w:ascii="Arial" w:cs="Arial" w:eastAsia="Arial" w:hAnsi="Arial"/>
                <w:i/>
                <w:iCs/>
                <w:sz w:val="18"/>
                <w:szCs w:val="18"/>
              </w:rPr>
              <w:t xml:space="preserve">bb = N/A (GQ/vacant); 00 = No own children; 01–19 = Count of own children.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Years</w:t>
            </w:r>
          </w:p>
        </w:tc>
        <w:tc>
          <w:tcPr>
            <w:tcW w:type="dxa" w:w="736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Definition / Encoding Notes</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sz w:val="17"/>
                <w:szCs w:val="17"/>
              </w:rPr>
              <w:t xml:space="preserve">2005–2013</w:t>
            </w:r>
          </w:p>
        </w:tc>
        <w:tc>
          <w:tcPr>
            <w:tcW w:type="dxa" w:w="73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Stable encoding throughout.</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6E4F0" w:val="clear"/>
            <w:tcMar>
              <w:top w:type="dxa" w:w="100"/>
              <w:left w:type="dxa" w:w="180"/>
              <w:bottom w:type="dxa" w:w="100"/>
              <w:right w:type="dxa" w:w="180"/>
            </w:tcMar>
          </w:tcPr>
          <w:p>
            <w:r>
              <w:rPr>
                <w:rFonts w:ascii="Courier New" w:cs="Courier New" w:eastAsia="Courier New" w:hAnsi="Courier New"/>
                <w:b/>
                <w:bCs/>
                <w:color w:val="1F4E79"/>
                <w:sz w:val="24"/>
                <w:szCs w:val="24"/>
              </w:rPr>
              <w:t xml:space="preserve">HINCP</w:t>
            </w:r>
            <w:r>
              <w:rPr>
                <w:rFonts w:ascii="Arial" w:cs="Arial" w:eastAsia="Arial" w:hAnsi="Arial"/>
                <w:b/>
                <w:bCs/>
                <w:color w:val="2C2C2C"/>
                <w:sz w:val="22"/>
                <w:szCs w:val="22"/>
              </w:rPr>
              <w:t xml:space="preserve">  —  Household Income (Past 12 Months)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AFAFA" w:val="clear"/>
            <w:tcMar>
              <w:top w:type="dxa" w:w="80"/>
              <w:left w:type="dxa" w:w="180"/>
              <w:bottom w:type="dxa" w:w="80"/>
              <w:right w:type="dxa" w:w="180"/>
            </w:tcMar>
          </w:tcPr>
          <w:p>
            <w:r>
              <w:rPr>
                <w:rFonts w:ascii="Arial" w:cs="Arial" w:eastAsia="Arial" w:hAnsi="Arial"/>
                <w:b/>
                <w:bCs/>
                <w:sz w:val="18"/>
                <w:szCs w:val="18"/>
              </w:rPr>
              <w:t xml:space="preserve">Description: </w:t>
            </w:r>
            <w:r>
              <w:rPr>
                <w:rFonts w:ascii="Arial" w:cs="Arial" w:eastAsia="Arial" w:hAnsi="Arial"/>
                <w:sz w:val="18"/>
                <w:szCs w:val="18"/>
              </w:rPr>
              <w:t xml:space="preserve">Total household income in dollars over the past 12 months. Can include negative values for households with net losses. Note: ADJINC inflation adjustment factor should be applied for cross-year comparisons.</w:t>
            </w:r>
          </w:p>
          <w:p>
            <w:r>
              <w:rPr>
                <w:rFonts w:ascii="Arial" w:cs="Arial" w:eastAsia="Arial" w:hAnsi="Arial"/>
                <w:b/>
                <w:bCs/>
                <w:sz w:val="18"/>
                <w:szCs w:val="18"/>
              </w:rPr>
              <w:t xml:space="preserve">Encoding: </w:t>
            </w:r>
            <w:r>
              <w:rPr>
                <w:rFonts w:ascii="Arial" w:cs="Arial" w:eastAsia="Arial" w:hAnsi="Arial"/>
                <w:i/>
                <w:iCs/>
                <w:sz w:val="18"/>
                <w:szCs w:val="18"/>
              </w:rPr>
              <w:t xml:space="preserve">bbbbbbbb = N/A (GQ/vacant); 0 = No income; negative values = net loss; positive = dollar income.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Years</w:t>
            </w:r>
          </w:p>
        </w:tc>
        <w:tc>
          <w:tcPr>
            <w:tcW w:type="dxa" w:w="736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Definition / Encoding Notes</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sz w:val="17"/>
                <w:szCs w:val="17"/>
              </w:rPr>
              <w:t xml:space="preserve">2005–2010</w:t>
            </w:r>
          </w:p>
        </w:tc>
        <w:tc>
          <w:tcPr>
            <w:tcW w:type="dxa" w:w="73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8-digit field: range -59999 to 99999999</w:t>
            </w:r>
          </w:p>
        </w:tc>
      </w:tr>
      <w:tr>
        <w:tc>
          <w:tcPr>
            <w:tcW w:type="dxa" w:w="20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sz w:val="17"/>
                <w:szCs w:val="17"/>
              </w:rPr>
              <w:t xml:space="preserve">2011–2013</w:t>
            </w:r>
          </w:p>
        </w:tc>
        <w:tc>
          <w:tcPr>
            <w:tcW w:type="dxa" w:w="736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Arial" w:cs="Arial" w:eastAsia="Arial" w:hAnsi="Arial"/>
                <w:sz w:val="17"/>
                <w:szCs w:val="17"/>
              </w:rPr>
              <w:t xml:space="preserve">9-digit field: range -00059999 to 999999999. Applies ADJINC for constant-dollar adjustment.</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6E4F0" w:val="clear"/>
            <w:tcMar>
              <w:top w:type="dxa" w:w="100"/>
              <w:left w:type="dxa" w:w="180"/>
              <w:bottom w:type="dxa" w:w="100"/>
              <w:right w:type="dxa" w:w="180"/>
            </w:tcMar>
          </w:tcPr>
          <w:p>
            <w:r>
              <w:rPr>
                <w:rFonts w:ascii="Courier New" w:cs="Courier New" w:eastAsia="Courier New" w:hAnsi="Courier New"/>
                <w:b/>
                <w:bCs/>
                <w:color w:val="1F4E79"/>
                <w:sz w:val="24"/>
                <w:szCs w:val="24"/>
              </w:rPr>
              <w:t xml:space="preserve">HUPAC</w:t>
            </w:r>
            <w:r>
              <w:rPr>
                <w:rFonts w:ascii="Arial" w:cs="Arial" w:eastAsia="Arial" w:hAnsi="Arial"/>
                <w:b/>
                <w:bCs/>
                <w:color w:val="2C2C2C"/>
                <w:sz w:val="22"/>
                <w:szCs w:val="22"/>
              </w:rPr>
              <w:t xml:space="preserve">  —  Household Presence and Age of Children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AFAFA" w:val="clear"/>
            <w:tcMar>
              <w:top w:type="dxa" w:w="80"/>
              <w:left w:type="dxa" w:w="180"/>
              <w:bottom w:type="dxa" w:w="80"/>
              <w:right w:type="dxa" w:w="180"/>
            </w:tcMar>
          </w:tcPr>
          <w:p>
            <w:r>
              <w:rPr>
                <w:rFonts w:ascii="Arial" w:cs="Arial" w:eastAsia="Arial" w:hAnsi="Arial"/>
                <w:b/>
                <w:bCs/>
                <w:sz w:val="18"/>
                <w:szCs w:val="18"/>
              </w:rPr>
              <w:t xml:space="preserve">Description: </w:t>
            </w:r>
            <w:r>
              <w:rPr>
                <w:rFonts w:ascii="Arial" w:cs="Arial" w:eastAsia="Arial" w:hAnsi="Arial"/>
                <w:sz w:val="18"/>
                <w:szCs w:val="18"/>
              </w:rPr>
              <w:t xml:space="preserve">Recode indicating whether children are present in the household and their age groups. Critical for FLI eligibility construction (children under 6 = eligible caregiving need).</w:t>
            </w:r>
          </w:p>
          <w:p>
            <w:r>
              <w:rPr>
                <w:rFonts w:ascii="Arial" w:cs="Arial" w:eastAsia="Arial" w:hAnsi="Arial"/>
                <w:b/>
                <w:bCs/>
                <w:sz w:val="18"/>
                <w:szCs w:val="18"/>
              </w:rPr>
              <w:t xml:space="preserve">Encoding: </w:t>
            </w:r>
            <w:r>
              <w:rPr>
                <w:rFonts w:ascii="Arial" w:cs="Arial" w:eastAsia="Arial" w:hAnsi="Arial"/>
                <w:i/>
                <w:iCs/>
                <w:sz w:val="18"/>
                <w:szCs w:val="18"/>
              </w:rPr>
              <w:t xml:space="preserve">b = N/A (GQ/vacant); 1 = Children under 6 only; 2 = Children 6–17 only; 3 = Children both under 6 and 6–17; 4 = No children.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Years</w:t>
            </w:r>
          </w:p>
        </w:tc>
        <w:tc>
          <w:tcPr>
            <w:tcW w:type="dxa" w:w="736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Definition / Encoding Notes</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sz w:val="17"/>
                <w:szCs w:val="17"/>
              </w:rPr>
              <w:t xml:space="preserve">2005–2013</w:t>
            </w:r>
          </w:p>
        </w:tc>
        <w:tc>
          <w:tcPr>
            <w:tcW w:type="dxa" w:w="73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Stable encoding throughout.</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6E4F0" w:val="clear"/>
            <w:tcMar>
              <w:top w:type="dxa" w:w="100"/>
              <w:left w:type="dxa" w:w="180"/>
              <w:bottom w:type="dxa" w:w="100"/>
              <w:right w:type="dxa" w:w="180"/>
            </w:tcMar>
          </w:tcPr>
          <w:p>
            <w:r>
              <w:rPr>
                <w:rFonts w:ascii="Courier New" w:cs="Courier New" w:eastAsia="Courier New" w:hAnsi="Courier New"/>
                <w:b/>
                <w:bCs/>
                <w:color w:val="1F4E79"/>
                <w:sz w:val="24"/>
                <w:szCs w:val="24"/>
              </w:rPr>
              <w:t xml:space="preserve">FES</w:t>
            </w:r>
            <w:r>
              <w:rPr>
                <w:rFonts w:ascii="Arial" w:cs="Arial" w:eastAsia="Arial" w:hAnsi="Arial"/>
                <w:b/>
                <w:bCs/>
                <w:color w:val="2C2C2C"/>
                <w:sz w:val="22"/>
                <w:szCs w:val="22"/>
              </w:rPr>
              <w:t xml:space="preserve">  —  Family Type and Employment Status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AFAFA" w:val="clear"/>
            <w:tcMar>
              <w:top w:type="dxa" w:w="80"/>
              <w:left w:type="dxa" w:w="180"/>
              <w:bottom w:type="dxa" w:w="80"/>
              <w:right w:type="dxa" w:w="180"/>
            </w:tcMar>
          </w:tcPr>
          <w:p>
            <w:r>
              <w:rPr>
                <w:rFonts w:ascii="Arial" w:cs="Arial" w:eastAsia="Arial" w:hAnsi="Arial"/>
                <w:b/>
                <w:bCs/>
                <w:sz w:val="18"/>
                <w:szCs w:val="18"/>
              </w:rPr>
              <w:t xml:space="preserve">Description: </w:t>
            </w:r>
            <w:r>
              <w:rPr>
                <w:rFonts w:ascii="Arial" w:cs="Arial" w:eastAsia="Arial" w:hAnsi="Arial"/>
                <w:sz w:val="18"/>
                <w:szCs w:val="18"/>
              </w:rPr>
              <w:t xml:space="preserve">Recode combining family structure (married-couple vs. other) with labor force participation of the householder and spouse/partner.</w:t>
            </w:r>
          </w:p>
          <w:p>
            <w:r>
              <w:rPr>
                <w:rFonts w:ascii="Arial" w:cs="Arial" w:eastAsia="Arial" w:hAnsi="Arial"/>
                <w:b/>
                <w:bCs/>
                <w:sz w:val="18"/>
                <w:szCs w:val="18"/>
              </w:rPr>
              <w:t xml:space="preserve">Encoding: </w:t>
            </w:r>
            <w:r>
              <w:rPr>
                <w:rFonts w:ascii="Arial" w:cs="Arial" w:eastAsia="Arial" w:hAnsi="Arial"/>
                <w:i/>
                <w:iCs/>
                <w:sz w:val="18"/>
                <w:szCs w:val="18"/>
              </w:rPr>
              <w:t xml:space="preserve">b = N/A; 1 = Married-couple, both in LF; 2 = Married, husband in LF only; 3 = Married, wife in LF only; 4 = Married, neither in LF; 5–8 = Other family types with varying LF status.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Years</w:t>
            </w:r>
          </w:p>
        </w:tc>
        <w:tc>
          <w:tcPr>
            <w:tcW w:type="dxa" w:w="736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Definition / Encoding Notes</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sz w:val="17"/>
                <w:szCs w:val="17"/>
              </w:rPr>
              <w:t xml:space="preserve">2005–2013</w:t>
            </w:r>
          </w:p>
        </w:tc>
        <w:tc>
          <w:tcPr>
            <w:tcW w:type="dxa" w:w="73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Stable 8-category encoding throughout.</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6E4F0" w:val="clear"/>
            <w:tcMar>
              <w:top w:type="dxa" w:w="100"/>
              <w:left w:type="dxa" w:w="180"/>
              <w:bottom w:type="dxa" w:w="100"/>
              <w:right w:type="dxa" w:w="180"/>
            </w:tcMar>
          </w:tcPr>
          <w:p>
            <w:r>
              <w:rPr>
                <w:rFonts w:ascii="Courier New" w:cs="Courier New" w:eastAsia="Courier New" w:hAnsi="Courier New"/>
                <w:b/>
                <w:bCs/>
                <w:color w:val="1F4E79"/>
                <w:sz w:val="24"/>
                <w:szCs w:val="24"/>
              </w:rPr>
              <w:t xml:space="preserve">WIF</w:t>
            </w:r>
            <w:r>
              <w:rPr>
                <w:rFonts w:ascii="Arial" w:cs="Arial" w:eastAsia="Arial" w:hAnsi="Arial"/>
                <w:b/>
                <w:bCs/>
                <w:color w:val="2C2C2C"/>
                <w:sz w:val="22"/>
                <w:szCs w:val="22"/>
              </w:rPr>
              <w:t xml:space="preserve">  —  Workers in Family (Past 12 Months)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AFAFA" w:val="clear"/>
            <w:tcMar>
              <w:top w:type="dxa" w:w="80"/>
              <w:left w:type="dxa" w:w="180"/>
              <w:bottom w:type="dxa" w:w="80"/>
              <w:right w:type="dxa" w:w="180"/>
            </w:tcMar>
          </w:tcPr>
          <w:p>
            <w:r>
              <w:rPr>
                <w:rFonts w:ascii="Arial" w:cs="Arial" w:eastAsia="Arial" w:hAnsi="Arial"/>
                <w:b/>
                <w:bCs/>
                <w:sz w:val="18"/>
                <w:szCs w:val="18"/>
              </w:rPr>
              <w:t xml:space="preserve">Description: </w:t>
            </w:r>
            <w:r>
              <w:rPr>
                <w:rFonts w:ascii="Arial" w:cs="Arial" w:eastAsia="Arial" w:hAnsi="Arial"/>
                <w:sz w:val="18"/>
                <w:szCs w:val="18"/>
              </w:rPr>
              <w:t xml:space="preserve">Count of workers in the family during the past 12 months.</w:t>
            </w:r>
          </w:p>
          <w:p>
            <w:r>
              <w:rPr>
                <w:rFonts w:ascii="Arial" w:cs="Arial" w:eastAsia="Arial" w:hAnsi="Arial"/>
                <w:b/>
                <w:bCs/>
                <w:sz w:val="18"/>
                <w:szCs w:val="18"/>
              </w:rPr>
              <w:t xml:space="preserve">Encoding: </w:t>
            </w:r>
            <w:r>
              <w:rPr>
                <w:rFonts w:ascii="Arial" w:cs="Arial" w:eastAsia="Arial" w:hAnsi="Arial"/>
                <w:i/>
                <w:iCs/>
                <w:sz w:val="18"/>
                <w:szCs w:val="18"/>
              </w:rPr>
              <w:t xml:space="preserve">b = N/A (GQ/vacant/non-family household); 0 = No workers; 1 = 1 worker; 2 = 2 workers; 3 = 3 or more workers.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Years</w:t>
            </w:r>
          </w:p>
        </w:tc>
        <w:tc>
          <w:tcPr>
            <w:tcW w:type="dxa" w:w="736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Definition / Encoding Notes</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sz w:val="17"/>
                <w:szCs w:val="17"/>
              </w:rPr>
              <w:t xml:space="preserve">2005–2013</w:t>
            </w:r>
          </w:p>
        </w:tc>
        <w:tc>
          <w:tcPr>
            <w:tcW w:type="dxa" w:w="73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Stable encoding throughout.</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6E4F0" w:val="clear"/>
            <w:tcMar>
              <w:top w:type="dxa" w:w="100"/>
              <w:left w:type="dxa" w:w="180"/>
              <w:bottom w:type="dxa" w:w="100"/>
              <w:right w:type="dxa" w:w="180"/>
            </w:tcMar>
          </w:tcPr>
          <w:p>
            <w:r>
              <w:rPr>
                <w:rFonts w:ascii="Courier New" w:cs="Courier New" w:eastAsia="Courier New" w:hAnsi="Courier New"/>
                <w:b/>
                <w:bCs/>
                <w:color w:val="1F4E79"/>
                <w:sz w:val="24"/>
                <w:szCs w:val="24"/>
              </w:rPr>
              <w:t xml:space="preserve">PUMA</w:t>
            </w:r>
            <w:r>
              <w:rPr>
                <w:rFonts w:ascii="Arial" w:cs="Arial" w:eastAsia="Arial" w:hAnsi="Arial"/>
                <w:b/>
                <w:bCs/>
                <w:color w:val="2C2C2C"/>
                <w:sz w:val="22"/>
                <w:szCs w:val="22"/>
              </w:rPr>
              <w:t xml:space="preserve">  —  Public Use Microdata Area 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AFAFA" w:val="clear"/>
            <w:tcMar>
              <w:top w:type="dxa" w:w="80"/>
              <w:left w:type="dxa" w:w="180"/>
              <w:bottom w:type="dxa" w:w="80"/>
              <w:right w:type="dxa" w:w="180"/>
            </w:tcMar>
          </w:tcPr>
          <w:p>
            <w:r>
              <w:rPr>
                <w:rFonts w:ascii="Arial" w:cs="Arial" w:eastAsia="Arial" w:hAnsi="Arial"/>
                <w:b/>
                <w:bCs/>
                <w:sz w:val="18"/>
                <w:szCs w:val="18"/>
              </w:rPr>
              <w:t xml:space="preserve">Description: </w:t>
            </w:r>
            <w:r>
              <w:rPr>
                <w:rFonts w:ascii="Arial" w:cs="Arial" w:eastAsia="Arial" w:hAnsi="Arial"/>
                <w:sz w:val="18"/>
                <w:szCs w:val="18"/>
              </w:rPr>
              <w:t xml:space="preserve">5-digit code identifying the PUMA — a geographic area of 100,000+ population. Must be used together with ST (state code) for a unique geographic identifier. PUMAs were redefined between survey years.</w:t>
            </w:r>
          </w:p>
          <w:p>
            <w:r>
              <w:rPr>
                <w:rFonts w:ascii="Arial" w:cs="Arial" w:eastAsia="Arial" w:hAnsi="Arial"/>
                <w:b/>
                <w:bCs/>
                <w:sz w:val="18"/>
                <w:szCs w:val="18"/>
              </w:rPr>
              <w:t xml:space="preserve">Encoding: </w:t>
            </w:r>
            <w:r>
              <w:rPr>
                <w:rFonts w:ascii="Arial" w:cs="Arial" w:eastAsia="Arial" w:hAnsi="Arial"/>
                <w:i/>
                <w:iCs/>
                <w:sz w:val="18"/>
                <w:szCs w:val="18"/>
              </w:rPr>
              <w:t xml:space="preserve">00100–08200 = PUMA codes (2005–2011 based on 2000 Census); 00100–70301 (2012–2013 based on 2010 Census). 77777 = Louisiana special combination.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Years</w:t>
            </w:r>
          </w:p>
        </w:tc>
        <w:tc>
          <w:tcPr>
            <w:tcW w:type="dxa" w:w="736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Definition / Encoding Notes</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sz w:val="17"/>
                <w:szCs w:val="17"/>
              </w:rPr>
              <w:t xml:space="preserve">2005–2011</w:t>
            </w:r>
          </w:p>
        </w:tc>
        <w:tc>
          <w:tcPr>
            <w:tcW w:type="dxa" w:w="73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Based on 2000 Census PUMA boundaries: 00100–08200</w:t>
            </w:r>
          </w:p>
        </w:tc>
      </w:tr>
      <w:tr>
        <w:tc>
          <w:tcPr>
            <w:tcW w:type="dxa" w:w="20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sz w:val="17"/>
                <w:szCs w:val="17"/>
              </w:rPr>
              <w:t xml:space="preserve">2012–2013</w:t>
            </w:r>
          </w:p>
        </w:tc>
        <w:tc>
          <w:tcPr>
            <w:tcW w:type="dxa" w:w="736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Arial" w:cs="Arial" w:eastAsia="Arial" w:hAnsi="Arial"/>
                <w:sz w:val="17"/>
                <w:szCs w:val="17"/>
              </w:rPr>
              <w:t xml:space="preserve">Redefined to 2010 Census boundaries: 00100–70301. Geographic discontinuity — codes are NOT comparable across this break.</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6E4F0" w:val="clear"/>
            <w:tcMar>
              <w:top w:type="dxa" w:w="100"/>
              <w:left w:type="dxa" w:w="180"/>
              <w:bottom w:type="dxa" w:w="100"/>
              <w:right w:type="dxa" w:w="180"/>
            </w:tcMar>
          </w:tcPr>
          <w:p>
            <w:r>
              <w:rPr>
                <w:rFonts w:ascii="Courier New" w:cs="Courier New" w:eastAsia="Courier New" w:hAnsi="Courier New"/>
                <w:b/>
                <w:bCs/>
                <w:color w:val="1F4E79"/>
                <w:sz w:val="24"/>
                <w:szCs w:val="24"/>
              </w:rPr>
              <w:t xml:space="preserve">ST</w:t>
            </w:r>
            <w:r>
              <w:rPr>
                <w:rFonts w:ascii="Arial" w:cs="Arial" w:eastAsia="Arial" w:hAnsi="Arial"/>
                <w:b/>
                <w:bCs/>
                <w:color w:val="2C2C2C"/>
                <w:sz w:val="22"/>
                <w:szCs w:val="22"/>
              </w:rPr>
              <w:t xml:space="preserve">  —  State Code (FIPS)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AFAFA" w:val="clear"/>
            <w:tcMar>
              <w:top w:type="dxa" w:w="80"/>
              <w:left w:type="dxa" w:w="180"/>
              <w:bottom w:type="dxa" w:w="80"/>
              <w:right w:type="dxa" w:w="180"/>
            </w:tcMar>
          </w:tcPr>
          <w:p>
            <w:r>
              <w:rPr>
                <w:rFonts w:ascii="Arial" w:cs="Arial" w:eastAsia="Arial" w:hAnsi="Arial"/>
                <w:b/>
                <w:bCs/>
                <w:sz w:val="18"/>
                <w:szCs w:val="18"/>
              </w:rPr>
              <w:t xml:space="preserve">Description: </w:t>
            </w:r>
            <w:r>
              <w:rPr>
                <w:rFonts w:ascii="Arial" w:cs="Arial" w:eastAsia="Arial" w:hAnsi="Arial"/>
                <w:sz w:val="18"/>
                <w:szCs w:val="18"/>
              </w:rPr>
              <w:t xml:space="preserve">Two-digit FIPS state code. In this dataset: 34 = New Jersey, 42 = Pennsylvania.</w:t>
            </w:r>
          </w:p>
          <w:p>
            <w:r>
              <w:rPr>
                <w:rFonts w:ascii="Arial" w:cs="Arial" w:eastAsia="Arial" w:hAnsi="Arial"/>
                <w:b/>
                <w:bCs/>
                <w:sz w:val="18"/>
                <w:szCs w:val="18"/>
              </w:rPr>
              <w:t xml:space="preserve">Encoding: </w:t>
            </w:r>
            <w:r>
              <w:rPr>
                <w:rFonts w:ascii="Arial" w:cs="Arial" w:eastAsia="Arial" w:hAnsi="Arial"/>
                <w:i/>
                <w:iCs/>
                <w:sz w:val="18"/>
                <w:szCs w:val="18"/>
              </w:rPr>
              <w:t xml:space="preserve">01–72 = Standard FIPS codes. 34 = NJ; 42 = PA.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Years</w:t>
            </w:r>
          </w:p>
        </w:tc>
        <w:tc>
          <w:tcPr>
            <w:tcW w:type="dxa" w:w="736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Definition / Encoding Notes</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sz w:val="17"/>
                <w:szCs w:val="17"/>
              </w:rPr>
              <w:t xml:space="preserve">2005–2013</w:t>
            </w:r>
          </w:p>
        </w:tc>
        <w:tc>
          <w:tcPr>
            <w:tcW w:type="dxa" w:w="73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Stable FIPS encoding throughout.</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6E4F0" w:val="clear"/>
            <w:tcMar>
              <w:top w:type="dxa" w:w="100"/>
              <w:left w:type="dxa" w:w="180"/>
              <w:bottom w:type="dxa" w:w="100"/>
              <w:right w:type="dxa" w:w="180"/>
            </w:tcMar>
          </w:tcPr>
          <w:p>
            <w:r>
              <w:rPr>
                <w:rFonts w:ascii="Courier New" w:cs="Courier New" w:eastAsia="Courier New" w:hAnsi="Courier New"/>
                <w:b/>
                <w:bCs/>
                <w:color w:val="1F4E79"/>
                <w:sz w:val="24"/>
                <w:szCs w:val="24"/>
              </w:rPr>
              <w:t xml:space="preserve">AGEP</w:t>
            </w:r>
            <w:r>
              <w:rPr>
                <w:rFonts w:ascii="Arial" w:cs="Arial" w:eastAsia="Arial" w:hAnsi="Arial"/>
                <w:b/>
                <w:bCs/>
                <w:color w:val="2C2C2C"/>
                <w:sz w:val="22"/>
                <w:szCs w:val="22"/>
              </w:rPr>
              <w:t xml:space="preserve">  —  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AFAFA" w:val="clear"/>
            <w:tcMar>
              <w:top w:type="dxa" w:w="80"/>
              <w:left w:type="dxa" w:w="180"/>
              <w:bottom w:type="dxa" w:w="80"/>
              <w:right w:type="dxa" w:w="180"/>
            </w:tcMar>
          </w:tcPr>
          <w:p>
            <w:r>
              <w:rPr>
                <w:rFonts w:ascii="Arial" w:cs="Arial" w:eastAsia="Arial" w:hAnsi="Arial"/>
                <w:b/>
                <w:bCs/>
                <w:sz w:val="18"/>
                <w:szCs w:val="18"/>
              </w:rPr>
              <w:t xml:space="preserve">Description: </w:t>
            </w:r>
            <w:r>
              <w:rPr>
                <w:rFonts w:ascii="Arial" w:cs="Arial" w:eastAsia="Arial" w:hAnsi="Arial"/>
                <w:sz w:val="18"/>
                <w:szCs w:val="18"/>
              </w:rPr>
              <w:t xml:space="preserve">Person's age in years. Top-coded at 99.</w:t>
            </w:r>
          </w:p>
          <w:p>
            <w:r>
              <w:rPr>
                <w:rFonts w:ascii="Arial" w:cs="Arial" w:eastAsia="Arial" w:hAnsi="Arial"/>
                <w:b/>
                <w:bCs/>
                <w:sz w:val="18"/>
                <w:szCs w:val="18"/>
              </w:rPr>
              <w:t xml:space="preserve">Encoding: </w:t>
            </w:r>
            <w:r>
              <w:rPr>
                <w:rFonts w:ascii="Arial" w:cs="Arial" w:eastAsia="Arial" w:hAnsi="Arial"/>
                <w:i/>
                <w:iCs/>
                <w:sz w:val="18"/>
                <w:szCs w:val="18"/>
              </w:rPr>
              <w:t xml:space="preserve">00 = Under 1 year; 01–99 = Age in years (top-coded at 99).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Years</w:t>
            </w:r>
          </w:p>
        </w:tc>
        <w:tc>
          <w:tcPr>
            <w:tcW w:type="dxa" w:w="736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Definition / Encoding Notes</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sz w:val="17"/>
                <w:szCs w:val="17"/>
              </w:rPr>
              <w:t xml:space="preserve">2005–2013</w:t>
            </w:r>
          </w:p>
        </w:tc>
        <w:tc>
          <w:tcPr>
            <w:tcW w:type="dxa" w:w="73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Stable encoding throughout.</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6E4F0" w:val="clear"/>
            <w:tcMar>
              <w:top w:type="dxa" w:w="100"/>
              <w:left w:type="dxa" w:w="180"/>
              <w:bottom w:type="dxa" w:w="100"/>
              <w:right w:type="dxa" w:w="180"/>
            </w:tcMar>
          </w:tcPr>
          <w:p>
            <w:r>
              <w:rPr>
                <w:rFonts w:ascii="Courier New" w:cs="Courier New" w:eastAsia="Courier New" w:hAnsi="Courier New"/>
                <w:b/>
                <w:bCs/>
                <w:color w:val="1F4E79"/>
                <w:sz w:val="24"/>
                <w:szCs w:val="24"/>
              </w:rPr>
              <w:t xml:space="preserve">WAGP</w:t>
            </w:r>
            <w:r>
              <w:rPr>
                <w:rFonts w:ascii="Arial" w:cs="Arial" w:eastAsia="Arial" w:hAnsi="Arial"/>
                <w:b/>
                <w:bCs/>
                <w:color w:val="2C2C2C"/>
                <w:sz w:val="22"/>
                <w:szCs w:val="22"/>
              </w:rPr>
              <w:t xml:space="preserve">  —  Wages or Salary Income (Past 12 Months)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AFAFA" w:val="clear"/>
            <w:tcMar>
              <w:top w:type="dxa" w:w="80"/>
              <w:left w:type="dxa" w:w="180"/>
              <w:bottom w:type="dxa" w:w="80"/>
              <w:right w:type="dxa" w:w="180"/>
            </w:tcMar>
          </w:tcPr>
          <w:p>
            <w:r>
              <w:rPr>
                <w:rFonts w:ascii="Arial" w:cs="Arial" w:eastAsia="Arial" w:hAnsi="Arial"/>
                <w:b/>
                <w:bCs/>
                <w:sz w:val="18"/>
                <w:szCs w:val="18"/>
              </w:rPr>
              <w:t xml:space="preserve">Description: </w:t>
            </w:r>
            <w:r>
              <w:rPr>
                <w:rFonts w:ascii="Arial" w:cs="Arial" w:eastAsia="Arial" w:hAnsi="Arial"/>
                <w:sz w:val="18"/>
                <w:szCs w:val="18"/>
              </w:rPr>
              <w:t xml:space="preserve">Individual wages/salary income in dollars. N/A for persons under 15. Top-coded at $999,999. Adjust with ADJINC for cross-year comparisons.</w:t>
            </w:r>
          </w:p>
          <w:p>
            <w:r>
              <w:rPr>
                <w:rFonts w:ascii="Arial" w:cs="Arial" w:eastAsia="Arial" w:hAnsi="Arial"/>
                <w:b/>
                <w:bCs/>
                <w:sz w:val="18"/>
                <w:szCs w:val="18"/>
              </w:rPr>
              <w:t xml:space="preserve">Encoding: </w:t>
            </w:r>
            <w:r>
              <w:rPr>
                <w:rFonts w:ascii="Arial" w:cs="Arial" w:eastAsia="Arial" w:hAnsi="Arial"/>
                <w:i/>
                <w:iCs/>
                <w:sz w:val="18"/>
                <w:szCs w:val="18"/>
              </w:rPr>
              <w:t xml:space="preserve">bbbbbb = N/A (under 15); 000000 = None; 000001–999999 = Dollar amount.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Years</w:t>
            </w:r>
          </w:p>
        </w:tc>
        <w:tc>
          <w:tcPr>
            <w:tcW w:type="dxa" w:w="736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Definition / Encoding Notes</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sz w:val="17"/>
                <w:szCs w:val="17"/>
              </w:rPr>
              <w:t xml:space="preserve">2005–2013</w:t>
            </w:r>
          </w:p>
        </w:tc>
        <w:tc>
          <w:tcPr>
            <w:tcW w:type="dxa" w:w="73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Stable encoding. ADJINC adjustment note added starting 2008.</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6E4F0" w:val="clear"/>
            <w:tcMar>
              <w:top w:type="dxa" w:w="100"/>
              <w:left w:type="dxa" w:w="180"/>
              <w:bottom w:type="dxa" w:w="100"/>
              <w:right w:type="dxa" w:w="180"/>
            </w:tcMar>
          </w:tcPr>
          <w:p>
            <w:r>
              <w:rPr>
                <w:rFonts w:ascii="Courier New" w:cs="Courier New" w:eastAsia="Courier New" w:hAnsi="Courier New"/>
                <w:b/>
                <w:bCs/>
                <w:color w:val="1F4E79"/>
                <w:sz w:val="24"/>
                <w:szCs w:val="24"/>
              </w:rPr>
              <w:t xml:space="preserve">POVPIP</w:t>
            </w:r>
            <w:r>
              <w:rPr>
                <w:rFonts w:ascii="Arial" w:cs="Arial" w:eastAsia="Arial" w:hAnsi="Arial"/>
                <w:b/>
                <w:bCs/>
                <w:color w:val="2C2C2C"/>
                <w:sz w:val="22"/>
                <w:szCs w:val="22"/>
              </w:rPr>
              <w:t xml:space="preserve">  —  Income-to-Poverty Ratio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AFAFA" w:val="clear"/>
            <w:tcMar>
              <w:top w:type="dxa" w:w="80"/>
              <w:left w:type="dxa" w:w="180"/>
              <w:bottom w:type="dxa" w:w="80"/>
              <w:right w:type="dxa" w:w="180"/>
            </w:tcMar>
          </w:tcPr>
          <w:p>
            <w:r>
              <w:rPr>
                <w:rFonts w:ascii="Arial" w:cs="Arial" w:eastAsia="Arial" w:hAnsi="Arial"/>
                <w:b/>
                <w:bCs/>
                <w:sz w:val="18"/>
                <w:szCs w:val="18"/>
              </w:rPr>
              <w:t xml:space="preserve">Description: </w:t>
            </w:r>
            <w:r>
              <w:rPr>
                <w:rFonts w:ascii="Arial" w:cs="Arial" w:eastAsia="Arial" w:hAnsi="Arial"/>
                <w:sz w:val="18"/>
                <w:szCs w:val="18"/>
              </w:rPr>
              <w:t xml:space="preserve">Ratio of household income to the applicable poverty threshold, expressed as an integer percentage. 100 = at poverty line; 200 = 200% of poverty line.</w:t>
            </w:r>
          </w:p>
          <w:p>
            <w:r>
              <w:rPr>
                <w:rFonts w:ascii="Arial" w:cs="Arial" w:eastAsia="Arial" w:hAnsi="Arial"/>
                <w:b/>
                <w:bCs/>
                <w:sz w:val="18"/>
                <w:szCs w:val="18"/>
              </w:rPr>
              <w:t xml:space="preserve">Encoding: </w:t>
            </w:r>
            <w:r>
              <w:rPr>
                <w:rFonts w:ascii="Arial" w:cs="Arial" w:eastAsia="Arial" w:hAnsi="Arial"/>
                <w:i/>
                <w:iCs/>
                <w:sz w:val="18"/>
                <w:szCs w:val="18"/>
              </w:rPr>
              <w:t xml:space="preserve">000–500 = Integer percent; 501 = 501%+ (top-coded). bbb = 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Years</w:t>
            </w:r>
          </w:p>
        </w:tc>
        <w:tc>
          <w:tcPr>
            <w:tcW w:type="dxa" w:w="736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Definition / Encoding Notes</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sz w:val="17"/>
                <w:szCs w:val="17"/>
              </w:rPr>
              <w:t xml:space="preserve">2005–2007, 2012</w:t>
            </w:r>
          </w:p>
        </w:tc>
        <w:tc>
          <w:tcPr>
            <w:tcW w:type="dxa" w:w="73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Range: 000–501. Label: 'Poverty income ratio'</w:t>
            </w:r>
          </w:p>
        </w:tc>
      </w:tr>
      <w:tr>
        <w:tc>
          <w:tcPr>
            <w:tcW w:type="dxa" w:w="20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sz w:val="17"/>
                <w:szCs w:val="17"/>
              </w:rPr>
              <w:t xml:space="preserve">2008–2011, 2013</w:t>
            </w:r>
          </w:p>
        </w:tc>
        <w:tc>
          <w:tcPr>
            <w:tcW w:type="dxa" w:w="736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Arial" w:cs="Arial" w:eastAsia="Arial" w:hAnsi="Arial"/>
                <w:sz w:val="17"/>
                <w:szCs w:val="17"/>
              </w:rPr>
              <w:t xml:space="preserve">Range: 000–500 (top-coded), 501 = 501%+. Label: 'Income-to-poverty ratio recode' / 'Person poverty status recode'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6E4F0" w:val="clear"/>
            <w:tcMar>
              <w:top w:type="dxa" w:w="100"/>
              <w:left w:type="dxa" w:w="180"/>
              <w:bottom w:type="dxa" w:w="100"/>
              <w:right w:type="dxa" w:w="180"/>
            </w:tcMar>
          </w:tcPr>
          <w:p>
            <w:r>
              <w:rPr>
                <w:rFonts w:ascii="Courier New" w:cs="Courier New" w:eastAsia="Courier New" w:hAnsi="Courier New"/>
                <w:b/>
                <w:bCs/>
                <w:color w:val="1F4E79"/>
                <w:sz w:val="24"/>
                <w:szCs w:val="24"/>
              </w:rPr>
              <w:t xml:space="preserve">SEX</w:t>
            </w:r>
            <w:r>
              <w:rPr>
                <w:rFonts w:ascii="Arial" w:cs="Arial" w:eastAsia="Arial" w:hAnsi="Arial"/>
                <w:b/>
                <w:bCs/>
                <w:color w:val="2C2C2C"/>
                <w:sz w:val="22"/>
                <w:szCs w:val="22"/>
              </w:rPr>
              <w:t xml:space="preserve">  —  Sex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AFAFA" w:val="clear"/>
            <w:tcMar>
              <w:top w:type="dxa" w:w="80"/>
              <w:left w:type="dxa" w:w="180"/>
              <w:bottom w:type="dxa" w:w="80"/>
              <w:right w:type="dxa" w:w="180"/>
            </w:tcMar>
          </w:tcPr>
          <w:p>
            <w:r>
              <w:rPr>
                <w:rFonts w:ascii="Arial" w:cs="Arial" w:eastAsia="Arial" w:hAnsi="Arial"/>
                <w:b/>
                <w:bCs/>
                <w:sz w:val="18"/>
                <w:szCs w:val="18"/>
              </w:rPr>
              <w:t xml:space="preserve">Description: </w:t>
            </w:r>
            <w:r>
              <w:rPr>
                <w:rFonts w:ascii="Arial" w:cs="Arial" w:eastAsia="Arial" w:hAnsi="Arial"/>
                <w:sz w:val="18"/>
                <w:szCs w:val="18"/>
              </w:rPr>
              <w:t xml:space="preserve">Person's biological sex.</w:t>
            </w:r>
          </w:p>
          <w:p>
            <w:r>
              <w:rPr>
                <w:rFonts w:ascii="Arial" w:cs="Arial" w:eastAsia="Arial" w:hAnsi="Arial"/>
                <w:b/>
                <w:bCs/>
                <w:sz w:val="18"/>
                <w:szCs w:val="18"/>
              </w:rPr>
              <w:t xml:space="preserve">Encoding: </w:t>
            </w:r>
            <w:r>
              <w:rPr>
                <w:rFonts w:ascii="Arial" w:cs="Arial" w:eastAsia="Arial" w:hAnsi="Arial"/>
                <w:i/>
                <w:iCs/>
                <w:sz w:val="18"/>
                <w:szCs w:val="18"/>
              </w:rPr>
              <w:t xml:space="preserve">1 = Male; 2 = Female.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Years</w:t>
            </w:r>
          </w:p>
        </w:tc>
        <w:tc>
          <w:tcPr>
            <w:tcW w:type="dxa" w:w="736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Definition / Encoding Notes</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sz w:val="17"/>
                <w:szCs w:val="17"/>
              </w:rPr>
              <w:t xml:space="preserve">2005–2013</w:t>
            </w:r>
          </w:p>
        </w:tc>
        <w:tc>
          <w:tcPr>
            <w:tcW w:type="dxa" w:w="73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Stable encoding throughout.</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6E4F0" w:val="clear"/>
            <w:tcMar>
              <w:top w:type="dxa" w:w="100"/>
              <w:left w:type="dxa" w:w="180"/>
              <w:bottom w:type="dxa" w:w="100"/>
              <w:right w:type="dxa" w:w="180"/>
            </w:tcMar>
          </w:tcPr>
          <w:p>
            <w:r>
              <w:rPr>
                <w:rFonts w:ascii="Courier New" w:cs="Courier New" w:eastAsia="Courier New" w:hAnsi="Courier New"/>
                <w:b/>
                <w:bCs/>
                <w:color w:val="1F4E79"/>
                <w:sz w:val="24"/>
                <w:szCs w:val="24"/>
              </w:rPr>
              <w:t xml:space="preserve">DS</w:t>
            </w:r>
            <w:r>
              <w:rPr>
                <w:rFonts w:ascii="Arial" w:cs="Arial" w:eastAsia="Arial" w:hAnsi="Arial"/>
                <w:b/>
                <w:bCs/>
                <w:color w:val="2C2C2C"/>
                <w:sz w:val="22"/>
                <w:szCs w:val="22"/>
              </w:rPr>
              <w:t xml:space="preserve">  —  Disability Recode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AFAFA" w:val="clear"/>
            <w:tcMar>
              <w:top w:type="dxa" w:w="80"/>
              <w:left w:type="dxa" w:w="180"/>
              <w:bottom w:type="dxa" w:w="80"/>
              <w:right w:type="dxa" w:w="180"/>
            </w:tcMar>
          </w:tcPr>
          <w:p>
            <w:r>
              <w:rPr>
                <w:rFonts w:ascii="Arial" w:cs="Arial" w:eastAsia="Arial" w:hAnsi="Arial"/>
                <w:b/>
                <w:bCs/>
                <w:sz w:val="18"/>
                <w:szCs w:val="18"/>
              </w:rPr>
              <w:t xml:space="preserve">Description: </w:t>
            </w:r>
            <w:r>
              <w:rPr>
                <w:rFonts w:ascii="Arial" w:cs="Arial" w:eastAsia="Arial" w:hAnsi="Arial"/>
                <w:sz w:val="18"/>
                <w:szCs w:val="18"/>
              </w:rPr>
              <w:t xml:space="preserve">In the dataset this column is labeled 'ds' but corresponds to the ACS variable variously called DS or DIS across years — a recode indicating whether the person has any disability.</w:t>
            </w:r>
          </w:p>
          <w:p>
            <w:r>
              <w:rPr>
                <w:rFonts w:ascii="Arial" w:cs="Arial" w:eastAsia="Arial" w:hAnsi="Arial"/>
                <w:b/>
                <w:bCs/>
                <w:sz w:val="18"/>
                <w:szCs w:val="18"/>
              </w:rPr>
              <w:t xml:space="preserve">Encoding: </w:t>
            </w:r>
            <w:r>
              <w:rPr>
                <w:rFonts w:ascii="Arial" w:cs="Arial" w:eastAsia="Arial" w:hAnsi="Arial"/>
                <w:i/>
                <w:iCs/>
                <w:sz w:val="18"/>
                <w:szCs w:val="18"/>
              </w:rPr>
              <w:t xml:space="preserve">1 = With a disability; 2 = Without a disability. b = N/A (under 5 or under 3 depending on year).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Years</w:t>
            </w:r>
          </w:p>
        </w:tc>
        <w:tc>
          <w:tcPr>
            <w:tcW w:type="dxa" w:w="736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Definition / Encoding Notes</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sz w:val="17"/>
                <w:szCs w:val="17"/>
              </w:rPr>
              <w:t xml:space="preserve">2005–2006</w:t>
            </w:r>
          </w:p>
        </w:tc>
        <w:tc>
          <w:tcPr>
            <w:tcW w:type="dxa" w:w="73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Variable name DS. N/A = under 5 years old.</w:t>
            </w:r>
          </w:p>
        </w:tc>
      </w:tr>
      <w:tr>
        <w:tc>
          <w:tcPr>
            <w:tcW w:type="dxa" w:w="20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sz w:val="17"/>
                <w:szCs w:val="17"/>
              </w:rPr>
              <w:t xml:space="preserve">2007</w:t>
            </w:r>
          </w:p>
        </w:tc>
        <w:tc>
          <w:tcPr>
            <w:tcW w:type="dxa" w:w="736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Arial" w:cs="Arial" w:eastAsia="Arial" w:hAnsi="Arial"/>
                <w:sz w:val="17"/>
                <w:szCs w:val="17"/>
              </w:rPr>
              <w:t xml:space="preserve">Variable name DS — same encoding, same N/A threshold.</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sz w:val="17"/>
                <w:szCs w:val="17"/>
              </w:rPr>
              <w:t xml:space="preserve">2008–2013</w:t>
            </w:r>
          </w:p>
        </w:tc>
        <w:tc>
          <w:tcPr>
            <w:tcW w:type="dxa" w:w="73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Renamed to DIS ('Disability recode'). Same 1/2 encoding.</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6E4F0" w:val="clear"/>
            <w:tcMar>
              <w:top w:type="dxa" w:w="100"/>
              <w:left w:type="dxa" w:w="180"/>
              <w:bottom w:type="dxa" w:w="100"/>
              <w:right w:type="dxa" w:w="180"/>
            </w:tcMar>
          </w:tcPr>
          <w:p>
            <w:r>
              <w:rPr>
                <w:rFonts w:ascii="Courier New" w:cs="Courier New" w:eastAsia="Courier New" w:hAnsi="Courier New"/>
                <w:b/>
                <w:bCs/>
                <w:color w:val="1F4E79"/>
                <w:sz w:val="24"/>
                <w:szCs w:val="24"/>
              </w:rPr>
              <w:t xml:space="preserve">SCHL</w:t>
            </w:r>
            <w:r>
              <w:rPr>
                <w:rFonts w:ascii="Arial" w:cs="Arial" w:eastAsia="Arial" w:hAnsi="Arial"/>
                <w:b/>
                <w:bCs/>
                <w:color w:val="2C2C2C"/>
                <w:sz w:val="22"/>
                <w:szCs w:val="22"/>
              </w:rPr>
              <w:t xml:space="preserve">  —  Educational Attainment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AFAFA" w:val="clear"/>
            <w:tcMar>
              <w:top w:type="dxa" w:w="80"/>
              <w:left w:type="dxa" w:w="180"/>
              <w:bottom w:type="dxa" w:w="80"/>
              <w:right w:type="dxa" w:w="180"/>
            </w:tcMar>
          </w:tcPr>
          <w:p>
            <w:r>
              <w:rPr>
                <w:rFonts w:ascii="Arial" w:cs="Arial" w:eastAsia="Arial" w:hAnsi="Arial"/>
                <w:b/>
                <w:bCs/>
                <w:sz w:val="18"/>
                <w:szCs w:val="18"/>
              </w:rPr>
              <w:t xml:space="preserve">Description: </w:t>
            </w:r>
            <w:r>
              <w:rPr>
                <w:rFonts w:ascii="Arial" w:cs="Arial" w:eastAsia="Arial" w:hAnsi="Arial"/>
                <w:sz w:val="18"/>
                <w:szCs w:val="18"/>
              </w:rPr>
              <w:t xml:space="preserve">Highest level of education completed. The coding scheme expanded substantially from 16 to 24 categories starting in 2008, adding more granular pre-K and K-12 categories.</w:t>
            </w:r>
          </w:p>
          <w:p>
            <w:r>
              <w:rPr>
                <w:rFonts w:ascii="Arial" w:cs="Arial" w:eastAsia="Arial" w:hAnsi="Arial"/>
                <w:b/>
                <w:bCs/>
                <w:sz w:val="18"/>
                <w:szCs w:val="18"/>
              </w:rPr>
              <w:t xml:space="preserve">Encoding: </w:t>
            </w:r>
            <w:r>
              <w:rPr>
                <w:rFonts w:ascii="Arial" w:cs="Arial" w:eastAsia="Arial" w:hAnsi="Arial"/>
                <w:i/>
                <w:iCs/>
                <w:sz w:val="18"/>
                <w:szCs w:val="18"/>
              </w:rPr>
              <w:t xml:space="preserve">Pre-2008: 01–16 (01=No school, 09=HS grad, 13=Bachelor's, 16=Doctorate). 2008+: 01–24 (01=No school, 16=HS diploma, 17=GED, 21=Bachelor's, 24=Doctorate).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Years</w:t>
            </w:r>
          </w:p>
        </w:tc>
        <w:tc>
          <w:tcPr>
            <w:tcW w:type="dxa" w:w="736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Definition / Encoding Notes</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sz w:val="17"/>
                <w:szCs w:val="17"/>
              </w:rPr>
              <w:t xml:space="preserve">2005–2007</w:t>
            </w:r>
          </w:p>
        </w:tc>
        <w:tc>
          <w:tcPr>
            <w:tcW w:type="dxa" w:w="73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16-category scheme: 01=No schooling, 02=Grade 1–4, ..., 09=HS grad, 12=Associate's, 13=Bachelor's, 14=Master's, 15=Professional, 16=Doctorate</w:t>
            </w:r>
          </w:p>
        </w:tc>
      </w:tr>
      <w:tr>
        <w:tc>
          <w:tcPr>
            <w:tcW w:type="dxa" w:w="20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sz w:val="17"/>
                <w:szCs w:val="17"/>
              </w:rPr>
              <w:t xml:space="preserve">2008–2013</w:t>
            </w:r>
          </w:p>
        </w:tc>
        <w:tc>
          <w:tcPr>
            <w:tcW w:type="dxa" w:w="736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Arial" w:cs="Arial" w:eastAsia="Arial" w:hAnsi="Arial"/>
                <w:sz w:val="17"/>
                <w:szCs w:val="17"/>
              </w:rPr>
              <w:t xml:space="preserve">Expanded to 24 categories with individual grade levels (01–15) and more degree detail. HS diploma = 16, GED = 17, Bachelor's = 21, Doctorate = 24. NOT backward-compatible.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6E4F0" w:val="clear"/>
            <w:tcMar>
              <w:top w:type="dxa" w:w="100"/>
              <w:left w:type="dxa" w:w="180"/>
              <w:bottom w:type="dxa" w:w="100"/>
              <w:right w:type="dxa" w:w="180"/>
            </w:tcMar>
          </w:tcPr>
          <w:p>
            <w:r>
              <w:rPr>
                <w:rFonts w:ascii="Courier New" w:cs="Courier New" w:eastAsia="Courier New" w:hAnsi="Courier New"/>
                <w:b/>
                <w:bCs/>
                <w:color w:val="1F4E79"/>
                <w:sz w:val="24"/>
                <w:szCs w:val="24"/>
              </w:rPr>
              <w:t xml:space="preserve">RAC1P</w:t>
            </w:r>
            <w:r>
              <w:rPr>
                <w:rFonts w:ascii="Arial" w:cs="Arial" w:eastAsia="Arial" w:hAnsi="Arial"/>
                <w:b/>
                <w:bCs/>
                <w:color w:val="2C2C2C"/>
                <w:sz w:val="22"/>
                <w:szCs w:val="22"/>
              </w:rPr>
              <w:t xml:space="preserve">  —  Race (Recoded)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AFAFA" w:val="clear"/>
            <w:tcMar>
              <w:top w:type="dxa" w:w="80"/>
              <w:left w:type="dxa" w:w="180"/>
              <w:bottom w:type="dxa" w:w="80"/>
              <w:right w:type="dxa" w:w="180"/>
            </w:tcMar>
          </w:tcPr>
          <w:p>
            <w:r>
              <w:rPr>
                <w:rFonts w:ascii="Arial" w:cs="Arial" w:eastAsia="Arial" w:hAnsi="Arial"/>
                <w:b/>
                <w:bCs/>
                <w:sz w:val="18"/>
                <w:szCs w:val="18"/>
              </w:rPr>
              <w:t xml:space="preserve">Description: </w:t>
            </w:r>
            <w:r>
              <w:rPr>
                <w:rFonts w:ascii="Arial" w:cs="Arial" w:eastAsia="Arial" w:hAnsi="Arial"/>
                <w:sz w:val="18"/>
                <w:szCs w:val="18"/>
              </w:rPr>
              <w:t xml:space="preserve">Recoded race code. Present in the codebooks from 2007 onward; may have been derived differently in 2005–2006.</w:t>
            </w:r>
          </w:p>
          <w:p>
            <w:r>
              <w:rPr>
                <w:rFonts w:ascii="Arial" w:cs="Arial" w:eastAsia="Arial" w:hAnsi="Arial"/>
                <w:b/>
                <w:bCs/>
                <w:sz w:val="18"/>
                <w:szCs w:val="18"/>
              </w:rPr>
              <w:t xml:space="preserve">Encoding: </w:t>
            </w:r>
            <w:r>
              <w:rPr>
                <w:rFonts w:ascii="Arial" w:cs="Arial" w:eastAsia="Arial" w:hAnsi="Arial"/>
                <w:i/>
                <w:iCs/>
                <w:sz w:val="18"/>
                <w:szCs w:val="18"/>
              </w:rPr>
              <w:t xml:space="preserve">1=White alone; 2=Black/AA alone; 3=American Indian alone; 4=Alaska Native alone; 5=AI/AN tribes specified; 6=Asian alone; 7=NHOPI alone; 8=Some other race alone; 9=Two or more races.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Years</w:t>
            </w:r>
          </w:p>
        </w:tc>
        <w:tc>
          <w:tcPr>
            <w:tcW w:type="dxa" w:w="736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Definition / Encoding Notes</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sz w:val="17"/>
                <w:szCs w:val="17"/>
              </w:rPr>
              <w:t xml:space="preserve">2005–2006</w:t>
            </w:r>
          </w:p>
        </w:tc>
        <w:tc>
          <w:tcPr>
            <w:tcW w:type="dxa" w:w="73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Not explicitly listed in codebook extract; likely present with same encoding.</w:t>
            </w:r>
          </w:p>
        </w:tc>
      </w:tr>
      <w:tr>
        <w:tc>
          <w:tcPr>
            <w:tcW w:type="dxa" w:w="20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sz w:val="17"/>
                <w:szCs w:val="17"/>
              </w:rPr>
              <w:t xml:space="preserve">2007–2013</w:t>
            </w:r>
          </w:p>
        </w:tc>
        <w:tc>
          <w:tcPr>
            <w:tcW w:type="dxa" w:w="736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Arial" w:cs="Arial" w:eastAsia="Arial" w:hAnsi="Arial"/>
                <w:sz w:val="17"/>
                <w:szCs w:val="17"/>
              </w:rPr>
              <w:t xml:space="preserve">Stable 9-category encoding.</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6E4F0" w:val="clear"/>
            <w:tcMar>
              <w:top w:type="dxa" w:w="100"/>
              <w:left w:type="dxa" w:w="180"/>
              <w:bottom w:type="dxa" w:w="100"/>
              <w:right w:type="dxa" w:w="180"/>
            </w:tcMar>
          </w:tcPr>
          <w:p>
            <w:r>
              <w:rPr>
                <w:rFonts w:ascii="Courier New" w:cs="Courier New" w:eastAsia="Courier New" w:hAnsi="Courier New"/>
                <w:b/>
                <w:bCs/>
                <w:color w:val="1F4E79"/>
                <w:sz w:val="24"/>
                <w:szCs w:val="24"/>
              </w:rPr>
              <w:t xml:space="preserve">LNGI</w:t>
            </w:r>
            <w:r>
              <w:rPr>
                <w:rFonts w:ascii="Arial" w:cs="Arial" w:eastAsia="Arial" w:hAnsi="Arial"/>
                <w:b/>
                <w:bCs/>
                <w:color w:val="2C2C2C"/>
                <w:sz w:val="22"/>
                <w:szCs w:val="22"/>
              </w:rPr>
              <w:t xml:space="preserve">  —  Linguistic Isolation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AFAFA" w:val="clear"/>
            <w:tcMar>
              <w:top w:type="dxa" w:w="80"/>
              <w:left w:type="dxa" w:w="180"/>
              <w:bottom w:type="dxa" w:w="80"/>
              <w:right w:type="dxa" w:w="180"/>
            </w:tcMar>
          </w:tcPr>
          <w:p>
            <w:r>
              <w:rPr>
                <w:rFonts w:ascii="Arial" w:cs="Arial" w:eastAsia="Arial" w:hAnsi="Arial"/>
                <w:b/>
                <w:bCs/>
                <w:sz w:val="18"/>
                <w:szCs w:val="18"/>
              </w:rPr>
              <w:t xml:space="preserve">Description: </w:t>
            </w:r>
            <w:r>
              <w:rPr>
                <w:rFonts w:ascii="Arial" w:cs="Arial" w:eastAsia="Arial" w:hAnsi="Arial"/>
                <w:sz w:val="18"/>
                <w:szCs w:val="18"/>
              </w:rPr>
              <w:t xml:space="preserve">Household-level indicator of English language proficiency. The label evolved slightly but the encoding remained binary.</w:t>
            </w:r>
          </w:p>
          <w:p>
            <w:r>
              <w:rPr>
                <w:rFonts w:ascii="Arial" w:cs="Arial" w:eastAsia="Arial" w:hAnsi="Arial"/>
                <w:b/>
                <w:bCs/>
                <w:sz w:val="18"/>
                <w:szCs w:val="18"/>
              </w:rPr>
              <w:t xml:space="preserve">Encoding: </w:t>
            </w:r>
            <w:r>
              <w:rPr>
                <w:rFonts w:ascii="Arial" w:cs="Arial" w:eastAsia="Arial" w:hAnsi="Arial"/>
                <w:i/>
                <w:iCs/>
                <w:sz w:val="18"/>
                <w:szCs w:val="18"/>
              </w:rPr>
              <w:t xml:space="preserve">b = N/A (GQ/vacant); 1 = Not linguistically isolated (someone 14+ speaks English only or very well); 2 = Linguistically isolated.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Years</w:t>
            </w:r>
          </w:p>
        </w:tc>
        <w:tc>
          <w:tcPr>
            <w:tcW w:type="dxa" w:w="736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Definition / Encoding Notes</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sz w:val="17"/>
                <w:szCs w:val="17"/>
              </w:rPr>
              <w:t xml:space="preserve">2005–2009</w:t>
            </w:r>
          </w:p>
        </w:tc>
        <w:tc>
          <w:tcPr>
            <w:tcW w:type="dxa" w:w="73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Label: 'Linguistic isolation'. Encoding: 1 = Not isolated, 2 = Isolated.</w:t>
            </w:r>
          </w:p>
        </w:tc>
      </w:tr>
      <w:tr>
        <w:tc>
          <w:tcPr>
            <w:tcW w:type="dxa" w:w="20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sz w:val="17"/>
                <w:szCs w:val="17"/>
              </w:rPr>
              <w:t xml:space="preserve">2010–2013</w:t>
            </w:r>
          </w:p>
        </w:tc>
        <w:tc>
          <w:tcPr>
            <w:tcW w:type="dxa" w:w="736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Arial" w:cs="Arial" w:eastAsia="Arial" w:hAnsi="Arial"/>
                <w:sz w:val="17"/>
                <w:szCs w:val="17"/>
              </w:rPr>
              <w:t xml:space="preserve">Label expanded to explicit definition about 14+ household members. Same 1/2 encoding.</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6E4F0" w:val="clear"/>
            <w:tcMar>
              <w:top w:type="dxa" w:w="100"/>
              <w:left w:type="dxa" w:w="180"/>
              <w:bottom w:type="dxa" w:w="100"/>
              <w:right w:type="dxa" w:w="180"/>
            </w:tcMar>
          </w:tcPr>
          <w:p>
            <w:r>
              <w:rPr>
                <w:rFonts w:ascii="Courier New" w:cs="Courier New" w:eastAsia="Courier New" w:hAnsi="Courier New"/>
                <w:b/>
                <w:bCs/>
                <w:color w:val="1F4E79"/>
                <w:sz w:val="24"/>
                <w:szCs w:val="24"/>
              </w:rPr>
              <w:t xml:space="preserve">NWAB</w:t>
            </w:r>
            <w:r>
              <w:rPr>
                <w:rFonts w:ascii="Arial" w:cs="Arial" w:eastAsia="Arial" w:hAnsi="Arial"/>
                <w:b/>
                <w:bCs/>
                <w:color w:val="2C2C2C"/>
                <w:sz w:val="22"/>
                <w:szCs w:val="22"/>
              </w:rPr>
              <w:t xml:space="preserve">  —  Temporary Absence from 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AFAFA" w:val="clear"/>
            <w:tcMar>
              <w:top w:type="dxa" w:w="80"/>
              <w:left w:type="dxa" w:w="180"/>
              <w:bottom w:type="dxa" w:w="80"/>
              <w:right w:type="dxa" w:w="180"/>
            </w:tcMar>
          </w:tcPr>
          <w:p>
            <w:r>
              <w:rPr>
                <w:rFonts w:ascii="Arial" w:cs="Arial" w:eastAsia="Arial" w:hAnsi="Arial"/>
                <w:b/>
                <w:bCs/>
                <w:sz w:val="18"/>
                <w:szCs w:val="18"/>
              </w:rPr>
              <w:t xml:space="preserve">Description: </w:t>
            </w:r>
            <w:r>
              <w:rPr>
                <w:rFonts w:ascii="Arial" w:cs="Arial" w:eastAsia="Arial" w:hAnsi="Arial"/>
                <w:sz w:val="18"/>
                <w:szCs w:val="18"/>
              </w:rPr>
              <w:t xml:space="preserve">Indicates whether the person was temporarily absent from work during the reference week. Flagged as 'UNEDITED' in 2008+ codebooks — users should refer to the Employment Status Recode (ESR) for cleaner work status.</w:t>
            </w:r>
          </w:p>
          <w:p>
            <w:r>
              <w:rPr>
                <w:rFonts w:ascii="Arial" w:cs="Arial" w:eastAsia="Arial" w:hAnsi="Arial"/>
                <w:b/>
                <w:bCs/>
                <w:sz w:val="18"/>
                <w:szCs w:val="18"/>
              </w:rPr>
              <w:t xml:space="preserve">Encoding: </w:t>
            </w:r>
            <w:r>
              <w:rPr>
                <w:rFonts w:ascii="Arial" w:cs="Arial" w:eastAsia="Arial" w:hAnsi="Arial"/>
                <w:i/>
                <w:iCs/>
                <w:sz w:val="18"/>
                <w:szCs w:val="18"/>
              </w:rPr>
              <w:t xml:space="preserve">b = N/A (under 16/at work/on layoff); 1 = Yes (temporarily absent); 2 = No; 3 = Did not report.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Years</w:t>
            </w:r>
          </w:p>
        </w:tc>
        <w:tc>
          <w:tcPr>
            <w:tcW w:type="dxa" w:w="736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Definition / Encoding Notes</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sz w:val="17"/>
                <w:szCs w:val="17"/>
              </w:rPr>
              <w:t xml:space="preserve">2005–2007</w:t>
            </w:r>
          </w:p>
        </w:tc>
        <w:tc>
          <w:tcPr>
            <w:tcW w:type="dxa" w:w="73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Labeled 'Temporary absence from work'. No UNEDITED flag.</w:t>
            </w:r>
          </w:p>
        </w:tc>
      </w:tr>
      <w:tr>
        <w:tc>
          <w:tcPr>
            <w:tcW w:type="dxa" w:w="20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sz w:val="17"/>
                <w:szCs w:val="17"/>
              </w:rPr>
              <w:t xml:space="preserve">2008–2013</w:t>
            </w:r>
          </w:p>
        </w:tc>
        <w:tc>
          <w:tcPr>
            <w:tcW w:type="dxa" w:w="736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Arial" w:cs="Arial" w:eastAsia="Arial" w:hAnsi="Arial"/>
                <w:sz w:val="17"/>
                <w:szCs w:val="17"/>
              </w:rPr>
              <w:t xml:space="preserve">Explicitly labeled UNEDITED. Codebook recommends ESR instead. Same 1/2/3 encoding.</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6E4F0" w:val="clear"/>
            <w:tcMar>
              <w:top w:type="dxa" w:w="100"/>
              <w:left w:type="dxa" w:w="180"/>
              <w:bottom w:type="dxa" w:w="100"/>
              <w:right w:type="dxa" w:w="180"/>
            </w:tcMar>
          </w:tcPr>
          <w:p>
            <w:r>
              <w:rPr>
                <w:rFonts w:ascii="Courier New" w:cs="Courier New" w:eastAsia="Courier New" w:hAnsi="Courier New"/>
                <w:b/>
                <w:bCs/>
                <w:color w:val="1F4E79"/>
                <w:sz w:val="24"/>
                <w:szCs w:val="24"/>
              </w:rPr>
              <w:t xml:space="preserve">REL</w:t>
            </w:r>
            <w:r>
              <w:rPr>
                <w:rFonts w:ascii="Arial" w:cs="Arial" w:eastAsia="Arial" w:hAnsi="Arial"/>
                <w:b/>
                <w:bCs/>
                <w:color w:val="2C2C2C"/>
                <w:sz w:val="22"/>
                <w:szCs w:val="22"/>
              </w:rPr>
              <w:t xml:space="preserve">  —  Relationship to Reference Person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AFAFA" w:val="clear"/>
            <w:tcMar>
              <w:top w:type="dxa" w:w="80"/>
              <w:left w:type="dxa" w:w="180"/>
              <w:bottom w:type="dxa" w:w="80"/>
              <w:right w:type="dxa" w:w="180"/>
            </w:tcMar>
          </w:tcPr>
          <w:p>
            <w:r>
              <w:rPr>
                <w:rFonts w:ascii="Arial" w:cs="Arial" w:eastAsia="Arial" w:hAnsi="Arial"/>
                <w:b/>
                <w:bCs/>
                <w:sz w:val="18"/>
                <w:szCs w:val="18"/>
              </w:rPr>
              <w:t xml:space="preserve">Description: </w:t>
            </w:r>
            <w:r>
              <w:rPr>
                <w:rFonts w:ascii="Arial" w:cs="Arial" w:eastAsia="Arial" w:hAnsi="Arial"/>
                <w:sz w:val="18"/>
                <w:szCs w:val="18"/>
              </w:rPr>
              <w:t xml:space="preserve">Person's relationship to the household reference person. The number of categories expanded significantly from 2008, and the variable was renamed RELP in 2010+ codebooks.</w:t>
            </w:r>
          </w:p>
          <w:p>
            <w:r>
              <w:rPr>
                <w:rFonts w:ascii="Arial" w:cs="Arial" w:eastAsia="Arial" w:hAnsi="Arial"/>
                <w:b/>
                <w:bCs/>
                <w:sz w:val="18"/>
                <w:szCs w:val="18"/>
              </w:rPr>
              <w:t xml:space="preserve">Encoding: </w:t>
            </w:r>
            <w:r>
              <w:rPr>
                <w:rFonts w:ascii="Arial" w:cs="Arial" w:eastAsia="Arial" w:hAnsi="Arial"/>
                <w:i/>
                <w:iCs/>
                <w:sz w:val="18"/>
                <w:szCs w:val="18"/>
              </w:rPr>
              <w:t xml:space="preserve">Pre-2008: 00=Reference person, 01=Spouse, 02=Child, 03–12=Other relatives/non-relatives, 13–14=GQ. 2008+: 00=Reference, 01=Spouse, 02=Bio son/daughter, 03=Adopted, 04=Stepchild, 05=Sibling, ..., 17=Non-inst. GQ.</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Years</w:t>
            </w:r>
          </w:p>
        </w:tc>
        <w:tc>
          <w:tcPr>
            <w:tcW w:type="dxa" w:w="736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Definition / Encoding Notes</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sz w:val="17"/>
                <w:szCs w:val="17"/>
              </w:rPr>
              <w:t xml:space="preserve">2005–2007</w:t>
            </w:r>
          </w:p>
        </w:tc>
        <w:tc>
          <w:tcPr>
            <w:tcW w:type="dxa" w:w="73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Variable name REL. 14 categories (00–13/14).</w:t>
            </w:r>
          </w:p>
        </w:tc>
      </w:tr>
      <w:tr>
        <w:tc>
          <w:tcPr>
            <w:tcW w:type="dxa" w:w="20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sz w:val="17"/>
                <w:szCs w:val="17"/>
              </w:rPr>
              <w:t xml:space="preserve">2008–2009</w:t>
            </w:r>
          </w:p>
        </w:tc>
        <w:tc>
          <w:tcPr>
            <w:tcW w:type="dxa" w:w="736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Arial" w:cs="Arial" w:eastAsia="Arial" w:hAnsi="Arial"/>
                <w:sz w:val="17"/>
                <w:szCs w:val="17"/>
              </w:rPr>
              <w:t xml:space="preserve">Variable name REL. Expanded to 17 categories (00–17) with specific biological/adopted/step distinctions.</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sz w:val="17"/>
                <w:szCs w:val="17"/>
              </w:rPr>
              <w:t xml:space="preserve">2010–2013</w:t>
            </w:r>
          </w:p>
        </w:tc>
        <w:tc>
          <w:tcPr>
            <w:tcW w:type="dxa" w:w="73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Variable renamed RELP in the codebook, but dataset column is 'rel'. Same 17-category encoding.</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6E4F0" w:val="clear"/>
            <w:tcMar>
              <w:top w:type="dxa" w:w="100"/>
              <w:left w:type="dxa" w:w="180"/>
              <w:bottom w:type="dxa" w:w="100"/>
              <w:right w:type="dxa" w:w="180"/>
            </w:tcMar>
          </w:tcPr>
          <w:p>
            <w:r>
              <w:rPr>
                <w:rFonts w:ascii="Courier New" w:cs="Courier New" w:eastAsia="Courier New" w:hAnsi="Courier New"/>
                <w:b/>
                <w:bCs/>
                <w:color w:val="1F4E79"/>
                <w:sz w:val="24"/>
                <w:szCs w:val="24"/>
              </w:rPr>
              <w:t xml:space="preserve">WKL</w:t>
            </w:r>
            <w:r>
              <w:rPr>
                <w:rFonts w:ascii="Arial" w:cs="Arial" w:eastAsia="Arial" w:hAnsi="Arial"/>
                <w:b/>
                <w:bCs/>
                <w:color w:val="2C2C2C"/>
                <w:sz w:val="22"/>
                <w:szCs w:val="22"/>
              </w:rPr>
              <w:t xml:space="preserve">  —  When Last Worked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AFAFA" w:val="clear"/>
            <w:tcMar>
              <w:top w:type="dxa" w:w="80"/>
              <w:left w:type="dxa" w:w="180"/>
              <w:bottom w:type="dxa" w:w="80"/>
              <w:right w:type="dxa" w:w="180"/>
            </w:tcMar>
          </w:tcPr>
          <w:p>
            <w:r>
              <w:rPr>
                <w:rFonts w:ascii="Arial" w:cs="Arial" w:eastAsia="Arial" w:hAnsi="Arial"/>
                <w:b/>
                <w:bCs/>
                <w:sz w:val="18"/>
                <w:szCs w:val="18"/>
              </w:rPr>
              <w:t xml:space="preserve">Description: </w:t>
            </w:r>
            <w:r>
              <w:rPr>
                <w:rFonts w:ascii="Arial" w:cs="Arial" w:eastAsia="Arial" w:hAnsi="Arial"/>
                <w:sz w:val="18"/>
                <w:szCs w:val="18"/>
              </w:rPr>
              <w:t xml:space="preserve">Indicates how recently the person last worked. N/A for persons under 16.</w:t>
            </w:r>
          </w:p>
          <w:p>
            <w:r>
              <w:rPr>
                <w:rFonts w:ascii="Arial" w:cs="Arial" w:eastAsia="Arial" w:hAnsi="Arial"/>
                <w:b/>
                <w:bCs/>
                <w:sz w:val="18"/>
                <w:szCs w:val="18"/>
              </w:rPr>
              <w:t xml:space="preserve">Encoding: </w:t>
            </w:r>
            <w:r>
              <w:rPr>
                <w:rFonts w:ascii="Arial" w:cs="Arial" w:eastAsia="Arial" w:hAnsi="Arial"/>
                <w:i/>
                <w:iCs/>
                <w:sz w:val="18"/>
                <w:szCs w:val="18"/>
              </w:rPr>
              <w:t xml:space="preserve">b = N/A (under 16); 1 = Within past 12 months; 2 = 1–5 years ago; 3 = Over 5 years ago or never worked.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Years</w:t>
            </w:r>
          </w:p>
        </w:tc>
        <w:tc>
          <w:tcPr>
            <w:tcW w:type="dxa" w:w="736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Definition / Encoding Notes</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sz w:val="17"/>
                <w:szCs w:val="17"/>
              </w:rPr>
              <w:t xml:space="preserve">2005–2013</w:t>
            </w:r>
          </w:p>
        </w:tc>
        <w:tc>
          <w:tcPr>
            <w:tcW w:type="dxa" w:w="73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Stable 3-category encoding throughout.</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6E4F0" w:val="clear"/>
            <w:tcMar>
              <w:top w:type="dxa" w:w="100"/>
              <w:left w:type="dxa" w:w="180"/>
              <w:bottom w:type="dxa" w:w="100"/>
              <w:right w:type="dxa" w:w="180"/>
            </w:tcMar>
          </w:tcPr>
          <w:p>
            <w:r>
              <w:rPr>
                <w:rFonts w:ascii="Courier New" w:cs="Courier New" w:eastAsia="Courier New" w:hAnsi="Courier New"/>
                <w:b/>
                <w:bCs/>
                <w:color w:val="1F4E79"/>
                <w:sz w:val="24"/>
                <w:szCs w:val="24"/>
              </w:rPr>
              <w:t xml:space="preserve">WKW</w:t>
            </w:r>
            <w:r>
              <w:rPr>
                <w:rFonts w:ascii="Arial" w:cs="Arial" w:eastAsia="Arial" w:hAnsi="Arial"/>
                <w:b/>
                <w:bCs/>
                <w:color w:val="2C2C2C"/>
                <w:sz w:val="22"/>
                <w:szCs w:val="22"/>
              </w:rPr>
              <w:t xml:space="preserve">  —  Weeks Worked During Past 12 Months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AFAFA" w:val="clear"/>
            <w:tcMar>
              <w:top w:type="dxa" w:w="80"/>
              <w:left w:type="dxa" w:w="180"/>
              <w:bottom w:type="dxa" w:w="80"/>
              <w:right w:type="dxa" w:w="180"/>
            </w:tcMar>
          </w:tcPr>
          <w:p>
            <w:r>
              <w:rPr>
                <w:rFonts w:ascii="Arial" w:cs="Arial" w:eastAsia="Arial" w:hAnsi="Arial"/>
                <w:b/>
                <w:bCs/>
                <w:sz w:val="18"/>
                <w:szCs w:val="18"/>
              </w:rPr>
              <w:t xml:space="preserve">Description: </w:t>
            </w:r>
            <w:r>
              <w:rPr>
                <w:rFonts w:ascii="Arial" w:cs="Arial" w:eastAsia="Arial" w:hAnsi="Arial"/>
                <w:sz w:val="18"/>
                <w:szCs w:val="18"/>
              </w:rPr>
              <w:t xml:space="preserve">Number of weeks worked in the prior year. CRITICAL: The encoding changed dramatically between 2006 and 2007. In 2005–2006 it is a continuous count (1–52 weeks); from 2007 onward it is a 6-category ordinal recode. This is central to constructing FLI eligibility.</w:t>
            </w:r>
          </w:p>
          <w:p>
            <w:r>
              <w:rPr>
                <w:rFonts w:ascii="Arial" w:cs="Arial" w:eastAsia="Arial" w:hAnsi="Arial"/>
                <w:b/>
                <w:bCs/>
                <w:sz w:val="18"/>
                <w:szCs w:val="18"/>
              </w:rPr>
              <w:t xml:space="preserve">Encoding: </w:t>
            </w:r>
            <w:r>
              <w:rPr>
                <w:rFonts w:ascii="Arial" w:cs="Arial" w:eastAsia="Arial" w:hAnsi="Arial"/>
                <w:i/>
                <w:iCs/>
                <w:sz w:val="18"/>
                <w:szCs w:val="18"/>
              </w:rPr>
              <w:t xml:space="preserve">2005–2006: Exact weeks, 01–52. 2007+: 1=50–52 wks; 2=48–49 wks; 3=40–47 wks; 4=27–39 wks; 5=14–26 wks; 6=&lt;14 wks. b = 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Years</w:t>
            </w:r>
          </w:p>
        </w:tc>
        <w:tc>
          <w:tcPr>
            <w:tcW w:type="dxa" w:w="736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Definition / Encoding Notes</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sz w:val="17"/>
                <w:szCs w:val="17"/>
              </w:rPr>
              <w:t xml:space="preserve">2005–2006</w:t>
            </w:r>
          </w:p>
        </w:tc>
        <w:tc>
          <w:tcPr>
            <w:tcW w:type="dxa" w:w="73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Continuous: exact weeks worked, 01–52. Eligibility threshold of 20 weeks can be directly assessed.</w:t>
            </w:r>
          </w:p>
        </w:tc>
      </w:tr>
      <w:tr>
        <w:tc>
          <w:tcPr>
            <w:tcW w:type="dxa" w:w="20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sz w:val="17"/>
                <w:szCs w:val="17"/>
              </w:rPr>
              <w:t xml:space="preserve">2007–2013</w:t>
            </w:r>
          </w:p>
        </w:tc>
        <w:tc>
          <w:tcPr>
            <w:tcW w:type="dxa" w:w="736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Arial" w:cs="Arial" w:eastAsia="Arial" w:hAnsi="Arial"/>
                <w:sz w:val="17"/>
                <w:szCs w:val="17"/>
              </w:rPr>
              <w:t xml:space="preserve">Categorical ordinal: 6 bins. Categories 1–3 (≥40 weeks) are clearly eligible. Category 4 (27–39 weeks) is eligible. Category 5 (14–26 weeks) straddles the 20-week threshold — researchers must make an assumption. Category 6 (&lt;14 weeks) is ineligible.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6E4F0" w:val="clear"/>
            <w:tcMar>
              <w:top w:type="dxa" w:w="100"/>
              <w:left w:type="dxa" w:w="180"/>
              <w:bottom w:type="dxa" w:w="100"/>
              <w:right w:type="dxa" w:w="180"/>
            </w:tcMar>
          </w:tcPr>
          <w:p>
            <w:r>
              <w:rPr>
                <w:rFonts w:ascii="Courier New" w:cs="Courier New" w:eastAsia="Courier New" w:hAnsi="Courier New"/>
                <w:b/>
                <w:bCs/>
                <w:color w:val="1F4E79"/>
                <w:sz w:val="24"/>
                <w:szCs w:val="24"/>
              </w:rPr>
              <w:t xml:space="preserve">WKHP</w:t>
            </w:r>
            <w:r>
              <w:rPr>
                <w:rFonts w:ascii="Arial" w:cs="Arial" w:eastAsia="Arial" w:hAnsi="Arial"/>
                <w:b/>
                <w:bCs/>
                <w:color w:val="2C2C2C"/>
                <w:sz w:val="22"/>
                <w:szCs w:val="22"/>
              </w:rPr>
              <w:t xml:space="preserve">  —  Usual Hours Worked per Week (Past 12 Months)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AFAFA" w:val="clear"/>
            <w:tcMar>
              <w:top w:type="dxa" w:w="80"/>
              <w:left w:type="dxa" w:w="180"/>
              <w:bottom w:type="dxa" w:w="80"/>
              <w:right w:type="dxa" w:w="180"/>
            </w:tcMar>
          </w:tcPr>
          <w:p>
            <w:r>
              <w:rPr>
                <w:rFonts w:ascii="Arial" w:cs="Arial" w:eastAsia="Arial" w:hAnsi="Arial"/>
                <w:b/>
                <w:bCs/>
                <w:sz w:val="18"/>
                <w:szCs w:val="18"/>
              </w:rPr>
              <w:t xml:space="preserve">Description: </w:t>
            </w:r>
            <w:r>
              <w:rPr>
                <w:rFonts w:ascii="Arial" w:cs="Arial" w:eastAsia="Arial" w:hAnsi="Arial"/>
                <w:sz w:val="18"/>
                <w:szCs w:val="18"/>
              </w:rPr>
              <w:t xml:space="preserve">Average hours worked per week over the past year. N/A if person did not work or is under 16.</w:t>
            </w:r>
          </w:p>
          <w:p>
            <w:r>
              <w:rPr>
                <w:rFonts w:ascii="Arial" w:cs="Arial" w:eastAsia="Arial" w:hAnsi="Arial"/>
                <w:b/>
                <w:bCs/>
                <w:sz w:val="18"/>
                <w:szCs w:val="18"/>
              </w:rPr>
              <w:t xml:space="preserve">Encoding: </w:t>
            </w:r>
            <w:r>
              <w:rPr>
                <w:rFonts w:ascii="Arial" w:cs="Arial" w:eastAsia="Arial" w:hAnsi="Arial"/>
                <w:i/>
                <w:iCs/>
                <w:sz w:val="18"/>
                <w:szCs w:val="18"/>
              </w:rPr>
              <w:t xml:space="preserve">bb = N/A (under 16 / did not work); 01–98 = Hours; 99 = 99 or more hours.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Years</w:t>
            </w:r>
          </w:p>
        </w:tc>
        <w:tc>
          <w:tcPr>
            <w:tcW w:type="dxa" w:w="736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Definition / Encoding Notes</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sz w:val="17"/>
                <w:szCs w:val="17"/>
              </w:rPr>
              <w:t xml:space="preserve">2005–2013</w:t>
            </w:r>
          </w:p>
        </w:tc>
        <w:tc>
          <w:tcPr>
            <w:tcW w:type="dxa" w:w="73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Stable encoding throughout.</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6E4F0" w:val="clear"/>
            <w:tcMar>
              <w:top w:type="dxa" w:w="100"/>
              <w:left w:type="dxa" w:w="180"/>
              <w:bottom w:type="dxa" w:w="100"/>
              <w:right w:type="dxa" w:w="180"/>
            </w:tcMar>
          </w:tcPr>
          <w:p>
            <w:r>
              <w:rPr>
                <w:rFonts w:ascii="Courier New" w:cs="Courier New" w:eastAsia="Courier New" w:hAnsi="Courier New"/>
                <w:b/>
                <w:bCs/>
                <w:color w:val="1F4E79"/>
                <w:sz w:val="24"/>
                <w:szCs w:val="24"/>
              </w:rPr>
              <w:t xml:space="preserve">DWRK</w:t>
            </w:r>
            <w:r>
              <w:rPr>
                <w:rFonts w:ascii="Arial" w:cs="Arial" w:eastAsia="Arial" w:hAnsi="Arial"/>
                <w:b/>
                <w:bCs/>
                <w:color w:val="2C2C2C"/>
                <w:sz w:val="22"/>
                <w:szCs w:val="22"/>
              </w:rPr>
              <w:t xml:space="preserve">  —  Difficulty Working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AFAFA" w:val="clear"/>
            <w:tcMar>
              <w:top w:type="dxa" w:w="80"/>
              <w:left w:type="dxa" w:w="180"/>
              <w:bottom w:type="dxa" w:w="80"/>
              <w:right w:type="dxa" w:w="180"/>
            </w:tcMar>
          </w:tcPr>
          <w:p>
            <w:r>
              <w:rPr>
                <w:rFonts w:ascii="Arial" w:cs="Arial" w:eastAsia="Arial" w:hAnsi="Arial"/>
                <w:b/>
                <w:bCs/>
                <w:sz w:val="18"/>
                <w:szCs w:val="18"/>
              </w:rPr>
              <w:t xml:space="preserve">Description: </w:t>
            </w:r>
            <w:r>
              <w:rPr>
                <w:rFonts w:ascii="Arial" w:cs="Arial" w:eastAsia="Arial" w:hAnsi="Arial"/>
                <w:sz w:val="18"/>
                <w:szCs w:val="18"/>
              </w:rPr>
              <w:t xml:space="preserve">Indicates whether the person has difficulty working due to a disability or health condition. Relevant for FLI caregiving need (disability criterion).</w:t>
            </w:r>
          </w:p>
          <w:p>
            <w:r>
              <w:rPr>
                <w:rFonts w:ascii="Arial" w:cs="Arial" w:eastAsia="Arial" w:hAnsi="Arial"/>
                <w:b/>
                <w:bCs/>
                <w:sz w:val="18"/>
                <w:szCs w:val="18"/>
              </w:rPr>
              <w:t xml:space="preserve">Encoding: </w:t>
            </w:r>
            <w:r>
              <w:rPr>
                <w:rFonts w:ascii="Arial" w:cs="Arial" w:eastAsia="Arial" w:hAnsi="Arial"/>
                <w:i/>
                <w:iCs/>
                <w:sz w:val="18"/>
                <w:szCs w:val="18"/>
              </w:rPr>
              <w:t xml:space="preserve">1 = Yes; 2 = No. b/NA = Not applicable.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Years</w:t>
            </w:r>
          </w:p>
        </w:tc>
        <w:tc>
          <w:tcPr>
            <w:tcW w:type="dxa" w:w="736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Definition / Encoding Notes</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sz w:val="17"/>
                <w:szCs w:val="17"/>
              </w:rPr>
              <w:t xml:space="preserve">2005–2006</w:t>
            </w:r>
          </w:p>
        </w:tc>
        <w:tc>
          <w:tcPr>
            <w:tcW w:type="dxa" w:w="73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Explicitly included in codebook as standalone variable.</w:t>
            </w:r>
          </w:p>
        </w:tc>
      </w:tr>
      <w:tr>
        <w:tc>
          <w:tcPr>
            <w:tcW w:type="dxa" w:w="20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sz w:val="17"/>
                <w:szCs w:val="17"/>
              </w:rPr>
              <w:t xml:space="preserve">2007–2013</w:t>
            </w:r>
          </w:p>
        </w:tc>
        <w:tc>
          <w:tcPr>
            <w:tcW w:type="dxa" w:w="736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Arial" w:cs="Arial" w:eastAsia="Arial" w:hAnsi="Arial"/>
                <w:sz w:val="17"/>
                <w:szCs w:val="17"/>
              </w:rPr>
              <w:t xml:space="preserve">Not separately documented as a standalone variable in the provided codebooks — may be subsumed into the DIS/DS recode or not collected separately in later years. Presence of NA values in data for later years is consistent with this.</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6E4F0" w:val="clear"/>
            <w:tcMar>
              <w:top w:type="dxa" w:w="100"/>
              <w:left w:type="dxa" w:w="180"/>
              <w:bottom w:type="dxa" w:w="100"/>
              <w:right w:type="dxa" w:w="180"/>
            </w:tcMar>
          </w:tcPr>
          <w:p>
            <w:r>
              <w:rPr>
                <w:rFonts w:ascii="Courier New" w:cs="Courier New" w:eastAsia="Courier New" w:hAnsi="Courier New"/>
                <w:b/>
                <w:bCs/>
                <w:color w:val="1F4E79"/>
                <w:sz w:val="24"/>
                <w:szCs w:val="24"/>
              </w:rPr>
              <w:t xml:space="preserve">FER</w:t>
            </w:r>
            <w:r>
              <w:rPr>
                <w:rFonts w:ascii="Arial" w:cs="Arial" w:eastAsia="Arial" w:hAnsi="Arial"/>
                <w:b/>
                <w:bCs/>
                <w:color w:val="2C2C2C"/>
                <w:sz w:val="22"/>
                <w:szCs w:val="22"/>
              </w:rPr>
              <w:t xml:space="preserve">  —  Gave Birth Within Past 12 Months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AFAFA" w:val="clear"/>
            <w:tcMar>
              <w:top w:type="dxa" w:w="80"/>
              <w:left w:type="dxa" w:w="180"/>
              <w:bottom w:type="dxa" w:w="80"/>
              <w:right w:type="dxa" w:w="180"/>
            </w:tcMar>
          </w:tcPr>
          <w:p>
            <w:r>
              <w:rPr>
                <w:rFonts w:ascii="Arial" w:cs="Arial" w:eastAsia="Arial" w:hAnsi="Arial"/>
                <w:b/>
                <w:bCs/>
                <w:sz w:val="18"/>
                <w:szCs w:val="18"/>
              </w:rPr>
              <w:t xml:space="preserve">Description: </w:t>
            </w:r>
            <w:r>
              <w:rPr>
                <w:rFonts w:ascii="Arial" w:cs="Arial" w:eastAsia="Arial" w:hAnsi="Arial"/>
                <w:sz w:val="18"/>
                <w:szCs w:val="18"/>
              </w:rPr>
              <w:t xml:space="preserve">Indicates whether a female gave birth in the past 12 months. N/A for males, females under 15, and females over 50. Relevant for FLI eligibility (recent birth = qualifying caregiving event).</w:t>
            </w:r>
          </w:p>
          <w:p>
            <w:r>
              <w:rPr>
                <w:rFonts w:ascii="Arial" w:cs="Arial" w:eastAsia="Arial" w:hAnsi="Arial"/>
                <w:b/>
                <w:bCs/>
                <w:sz w:val="18"/>
                <w:szCs w:val="18"/>
              </w:rPr>
              <w:t xml:space="preserve">Encoding: </w:t>
            </w:r>
            <w:r>
              <w:rPr>
                <w:rFonts w:ascii="Arial" w:cs="Arial" w:eastAsia="Arial" w:hAnsi="Arial"/>
                <w:i/>
                <w:iCs/>
                <w:sz w:val="18"/>
                <w:szCs w:val="18"/>
              </w:rPr>
              <w:t xml:space="preserve">b = N/A (male / &lt;15 / &gt;50); 1 = Yes; 2 = No. In 2012: 8 = Suppressed.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Years</w:t>
            </w:r>
          </w:p>
        </w:tc>
        <w:tc>
          <w:tcPr>
            <w:tcW w:type="dxa" w:w="736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Definition / Encoding Notes</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sz w:val="17"/>
                <w:szCs w:val="17"/>
              </w:rPr>
              <w:t xml:space="preserve">2005–2011, 2013</w:t>
            </w:r>
          </w:p>
        </w:tc>
        <w:tc>
          <w:tcPr>
            <w:tcW w:type="dxa" w:w="73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b = N/A; 1 = Yes; 2 = No.</w:t>
            </w:r>
          </w:p>
        </w:tc>
      </w:tr>
      <w:tr>
        <w:tc>
          <w:tcPr>
            <w:tcW w:type="dxa" w:w="20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sz w:val="17"/>
                <w:szCs w:val="17"/>
              </w:rPr>
              <w:t xml:space="preserve">2012</w:t>
            </w:r>
          </w:p>
        </w:tc>
        <w:tc>
          <w:tcPr>
            <w:tcW w:type="dxa" w:w="736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Arial" w:cs="Arial" w:eastAsia="Arial" w:hAnsi="Arial"/>
                <w:sz w:val="17"/>
                <w:szCs w:val="17"/>
              </w:rPr>
              <w:t xml:space="preserve">Added code 8 = Suppressed (for disclosure protection).</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6E4F0" w:val="clear"/>
            <w:tcMar>
              <w:top w:type="dxa" w:w="100"/>
              <w:left w:type="dxa" w:w="180"/>
              <w:bottom w:type="dxa" w:w="100"/>
              <w:right w:type="dxa" w:w="180"/>
            </w:tcMar>
          </w:tcPr>
          <w:p>
            <w:r>
              <w:rPr>
                <w:rFonts w:ascii="Courier New" w:cs="Courier New" w:eastAsia="Courier New" w:hAnsi="Courier New"/>
                <w:b/>
                <w:bCs/>
                <w:color w:val="1F4E79"/>
                <w:sz w:val="24"/>
                <w:szCs w:val="24"/>
              </w:rPr>
              <w:t xml:space="preserve">POWSP</w:t>
            </w:r>
            <w:r>
              <w:rPr>
                <w:rFonts w:ascii="Arial" w:cs="Arial" w:eastAsia="Arial" w:hAnsi="Arial"/>
                <w:b/>
                <w:bCs/>
                <w:color w:val="2C2C2C"/>
                <w:sz w:val="22"/>
                <w:szCs w:val="22"/>
              </w:rPr>
              <w:t xml:space="preserve">  —  Place of Work — State or Foreign Country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AFAFA" w:val="clear"/>
            <w:tcMar>
              <w:top w:type="dxa" w:w="80"/>
              <w:left w:type="dxa" w:w="180"/>
              <w:bottom w:type="dxa" w:w="80"/>
              <w:right w:type="dxa" w:w="180"/>
            </w:tcMar>
          </w:tcPr>
          <w:p>
            <w:r>
              <w:rPr>
                <w:rFonts w:ascii="Arial" w:cs="Arial" w:eastAsia="Arial" w:hAnsi="Arial"/>
                <w:b/>
                <w:bCs/>
                <w:sz w:val="18"/>
                <w:szCs w:val="18"/>
              </w:rPr>
              <w:t xml:space="preserve">Description: </w:t>
            </w:r>
            <w:r>
              <w:rPr>
                <w:rFonts w:ascii="Arial" w:cs="Arial" w:eastAsia="Arial" w:hAnsi="Arial"/>
                <w:sz w:val="18"/>
                <w:szCs w:val="18"/>
              </w:rPr>
              <w:t xml:space="preserve">State or country where the person works. Useful for identifying cross-state commuters (e.g., NJ residents working in PA or vice versa). Not present in 2005–2006 codebooks.</w:t>
            </w:r>
          </w:p>
          <w:p>
            <w:r>
              <w:rPr>
                <w:rFonts w:ascii="Arial" w:cs="Arial" w:eastAsia="Arial" w:hAnsi="Arial"/>
                <w:b/>
                <w:bCs/>
                <w:sz w:val="18"/>
                <w:szCs w:val="18"/>
              </w:rPr>
              <w:t xml:space="preserve">Encoding: </w:t>
            </w:r>
            <w:r>
              <w:rPr>
                <w:rFonts w:ascii="Arial" w:cs="Arial" w:eastAsia="Arial" w:hAnsi="Arial"/>
                <w:i/>
                <w:iCs/>
                <w:sz w:val="18"/>
                <w:szCs w:val="18"/>
              </w:rPr>
              <w:t xml:space="preserve">bbb = N/A (not a worker); 001–072 = FIPS state codes; 166=Europe; 251=Eastern Asia; 303=Mexico; 399=Other Americas; 555=Other. 034=NJ, 042=PA.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Years</w:t>
            </w:r>
          </w:p>
        </w:tc>
        <w:tc>
          <w:tcPr>
            <w:tcW w:type="dxa" w:w="736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Definition / Encoding Notes</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sz w:val="17"/>
                <w:szCs w:val="17"/>
              </w:rPr>
              <w:t xml:space="preserve">2005–2006</w:t>
            </w:r>
          </w:p>
        </w:tc>
        <w:tc>
          <w:tcPr>
            <w:tcW w:type="dxa" w:w="73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Not present in the provided codebooks.</w:t>
            </w:r>
          </w:p>
        </w:tc>
      </w:tr>
      <w:tr>
        <w:tc>
          <w:tcPr>
            <w:tcW w:type="dxa" w:w="20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sz w:val="17"/>
                <w:szCs w:val="17"/>
              </w:rPr>
              <w:t xml:space="preserve">2007–2012</w:t>
            </w:r>
          </w:p>
        </w:tc>
        <w:tc>
          <w:tcPr>
            <w:tcW w:type="dxa" w:w="736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Arial" w:cs="Arial" w:eastAsia="Arial" w:hAnsi="Arial"/>
                <w:sz w:val="17"/>
                <w:szCs w:val="17"/>
              </w:rPr>
              <w:t xml:space="preserve">Introduced. Codes: 001–072 (US states/territories) plus select foreign country codes (Europe=166, Iraq=213, Eastern Asia=251, Mexico=303, etc.).</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sz w:val="17"/>
                <w:szCs w:val="17"/>
              </w:rPr>
              <w:t xml:space="preserve">2013</w:t>
            </w:r>
          </w:p>
        </w:tc>
        <w:tc>
          <w:tcPr>
            <w:tcW w:type="dxa" w:w="73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Canada (301) added to foreign country codes.</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6E4F0" w:val="clear"/>
            <w:tcMar>
              <w:top w:type="dxa" w:w="100"/>
              <w:left w:type="dxa" w:w="180"/>
              <w:bottom w:type="dxa" w:w="100"/>
              <w:right w:type="dxa" w:w="180"/>
            </w:tcMar>
          </w:tcPr>
          <w:p>
            <w:r>
              <w:rPr>
                <w:rFonts w:ascii="Courier New" w:cs="Courier New" w:eastAsia="Courier New" w:hAnsi="Courier New"/>
                <w:b/>
                <w:bCs/>
                <w:color w:val="1F4E79"/>
                <w:sz w:val="24"/>
                <w:szCs w:val="24"/>
              </w:rPr>
              <w:t xml:space="preserve">COW</w:t>
            </w:r>
            <w:r>
              <w:rPr>
                <w:rFonts w:ascii="Arial" w:cs="Arial" w:eastAsia="Arial" w:hAnsi="Arial"/>
                <w:b/>
                <w:bCs/>
                <w:color w:val="2C2C2C"/>
                <w:sz w:val="22"/>
                <w:szCs w:val="22"/>
              </w:rPr>
              <w:t xml:space="preserve">  —  Class of Worker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AFAFA" w:val="clear"/>
            <w:tcMar>
              <w:top w:type="dxa" w:w="80"/>
              <w:left w:type="dxa" w:w="180"/>
              <w:bottom w:type="dxa" w:w="80"/>
              <w:right w:type="dxa" w:w="180"/>
            </w:tcMar>
          </w:tcPr>
          <w:p>
            <w:r>
              <w:rPr>
                <w:rFonts w:ascii="Arial" w:cs="Arial" w:eastAsia="Arial" w:hAnsi="Arial"/>
                <w:b/>
                <w:bCs/>
                <w:sz w:val="18"/>
                <w:szCs w:val="18"/>
              </w:rPr>
              <w:t xml:space="preserve">Description: </w:t>
            </w:r>
            <w:r>
              <w:rPr>
                <w:rFonts w:ascii="Arial" w:cs="Arial" w:eastAsia="Arial" w:hAnsi="Arial"/>
                <w:sz w:val="18"/>
                <w:szCs w:val="18"/>
              </w:rPr>
              <w:t xml:space="preserve">Classifies the worker's employment sector: private for-profit, private non-profit, government (local/state/federal), self-employed, unpaid family work, or unemployed.</w:t>
            </w:r>
          </w:p>
          <w:p>
            <w:r>
              <w:rPr>
                <w:rFonts w:ascii="Arial" w:cs="Arial" w:eastAsia="Arial" w:hAnsi="Arial"/>
                <w:b/>
                <w:bCs/>
                <w:sz w:val="18"/>
                <w:szCs w:val="18"/>
              </w:rPr>
              <w:t xml:space="preserve">Encoding: </w:t>
            </w:r>
            <w:r>
              <w:rPr>
                <w:rFonts w:ascii="Arial" w:cs="Arial" w:eastAsia="Arial" w:hAnsi="Arial"/>
                <w:i/>
                <w:iCs/>
                <w:sz w:val="18"/>
                <w:szCs w:val="18"/>
              </w:rPr>
              <w:t xml:space="preserve">b = N/A; 1=Private for-profit; 2=Private non-profit; 3=Local govt; 4=State govt; 5=Federal govt; 6=Self-employed unincorporated; 7=Self-employed incorporated; 8=Unpaid family; 9=Unemployed.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Years</w:t>
            </w:r>
          </w:p>
        </w:tc>
        <w:tc>
          <w:tcPr>
            <w:tcW w:type="dxa" w:w="736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Definition / Encoding Notes</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sz w:val="17"/>
                <w:szCs w:val="17"/>
              </w:rPr>
              <w:t xml:space="preserve">2005–2013</w:t>
            </w:r>
          </w:p>
        </w:tc>
        <w:tc>
          <w:tcPr>
            <w:tcW w:type="dxa" w:w="73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Stable 9-category encoding throughout.</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6E4F0" w:val="clear"/>
            <w:tcMar>
              <w:top w:type="dxa" w:w="100"/>
              <w:left w:type="dxa" w:w="180"/>
              <w:bottom w:type="dxa" w:w="100"/>
              <w:right w:type="dxa" w:w="180"/>
            </w:tcMar>
          </w:tcPr>
          <w:p>
            <w:r>
              <w:rPr>
                <w:rFonts w:ascii="Courier New" w:cs="Courier New" w:eastAsia="Courier New" w:hAnsi="Courier New"/>
                <w:b/>
                <w:bCs/>
                <w:color w:val="1F4E79"/>
                <w:sz w:val="24"/>
                <w:szCs w:val="24"/>
              </w:rPr>
              <w:t xml:space="preserve">DOUT</w:t>
            </w:r>
            <w:r>
              <w:rPr>
                <w:rFonts w:ascii="Arial" w:cs="Arial" w:eastAsia="Arial" w:hAnsi="Arial"/>
                <w:b/>
                <w:bCs/>
                <w:color w:val="2C2C2C"/>
                <w:sz w:val="22"/>
                <w:szCs w:val="22"/>
              </w:rPr>
              <w:t xml:space="preserve">  —  Independent Living Difficulty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AFAFA" w:val="clear"/>
            <w:tcMar>
              <w:top w:type="dxa" w:w="80"/>
              <w:left w:type="dxa" w:w="180"/>
              <w:bottom w:type="dxa" w:w="80"/>
              <w:right w:type="dxa" w:w="180"/>
            </w:tcMar>
          </w:tcPr>
          <w:p>
            <w:r>
              <w:rPr>
                <w:rFonts w:ascii="Arial" w:cs="Arial" w:eastAsia="Arial" w:hAnsi="Arial"/>
                <w:b/>
                <w:bCs/>
                <w:sz w:val="18"/>
                <w:szCs w:val="18"/>
              </w:rPr>
              <w:t xml:space="preserve">Description: </w:t>
            </w:r>
            <w:r>
              <w:rPr>
                <w:rFonts w:ascii="Arial" w:cs="Arial" w:eastAsia="Arial" w:hAnsi="Arial"/>
                <w:sz w:val="18"/>
                <w:szCs w:val="18"/>
              </w:rPr>
              <w:t xml:space="preserve">Indicates whether the person has difficulty going outside the home alone to shop or visit a doctor's office. N/A for persons under 15.</w:t>
            </w:r>
          </w:p>
          <w:p>
            <w:r>
              <w:rPr>
                <w:rFonts w:ascii="Arial" w:cs="Arial" w:eastAsia="Arial" w:hAnsi="Arial"/>
                <w:b/>
                <w:bCs/>
                <w:sz w:val="18"/>
                <w:szCs w:val="18"/>
              </w:rPr>
              <w:t xml:space="preserve">Encoding: </w:t>
            </w:r>
            <w:r>
              <w:rPr>
                <w:rFonts w:ascii="Arial" w:cs="Arial" w:eastAsia="Arial" w:hAnsi="Arial"/>
                <w:i/>
                <w:iCs/>
                <w:sz w:val="18"/>
                <w:szCs w:val="18"/>
              </w:rPr>
              <w:t xml:space="preserve">b = N/A (under 15); 1 = Yes; 2 =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Years</w:t>
            </w:r>
          </w:p>
        </w:tc>
        <w:tc>
          <w:tcPr>
            <w:tcW w:type="dxa" w:w="736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Definition / Encoding Notes</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sz w:val="17"/>
                <w:szCs w:val="17"/>
              </w:rPr>
              <w:t xml:space="preserve">2005–2013</w:t>
            </w:r>
          </w:p>
        </w:tc>
        <w:tc>
          <w:tcPr>
            <w:tcW w:type="dxa" w:w="73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Stable encoding throughout. Label was 'Difficulty going out' in 2005–2007, 'Independent living difficulty' from 2008+.</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6E4F0" w:val="clear"/>
            <w:tcMar>
              <w:top w:type="dxa" w:w="100"/>
              <w:left w:type="dxa" w:w="180"/>
              <w:bottom w:type="dxa" w:w="100"/>
              <w:right w:type="dxa" w:w="180"/>
            </w:tcMar>
          </w:tcPr>
          <w:p>
            <w:r>
              <w:rPr>
                <w:rFonts w:ascii="Courier New" w:cs="Courier New" w:eastAsia="Courier New" w:hAnsi="Courier New"/>
                <w:b/>
                <w:bCs/>
                <w:color w:val="1F4E79"/>
                <w:sz w:val="24"/>
                <w:szCs w:val="24"/>
              </w:rPr>
              <w:t xml:space="preserve">DDRS</w:t>
            </w:r>
            <w:r>
              <w:rPr>
                <w:rFonts w:ascii="Arial" w:cs="Arial" w:eastAsia="Arial" w:hAnsi="Arial"/>
                <w:b/>
                <w:bCs/>
                <w:color w:val="2C2C2C"/>
                <w:sz w:val="22"/>
                <w:szCs w:val="22"/>
              </w:rPr>
              <w:t xml:space="preserve">  —  Self-Care Difficulty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AFAFA" w:val="clear"/>
            <w:tcMar>
              <w:top w:type="dxa" w:w="80"/>
              <w:left w:type="dxa" w:w="180"/>
              <w:bottom w:type="dxa" w:w="80"/>
              <w:right w:type="dxa" w:w="180"/>
            </w:tcMar>
          </w:tcPr>
          <w:p>
            <w:r>
              <w:rPr>
                <w:rFonts w:ascii="Arial" w:cs="Arial" w:eastAsia="Arial" w:hAnsi="Arial"/>
                <w:b/>
                <w:bCs/>
                <w:sz w:val="18"/>
                <w:szCs w:val="18"/>
              </w:rPr>
              <w:t xml:space="preserve">Description: </w:t>
            </w:r>
            <w:r>
              <w:rPr>
                <w:rFonts w:ascii="Arial" w:cs="Arial" w:eastAsia="Arial" w:hAnsi="Arial"/>
                <w:sz w:val="18"/>
                <w:szCs w:val="18"/>
              </w:rPr>
              <w:t xml:space="preserve">Indicates whether the person has difficulty bathing or dressing themselves. N/A for persons under 5.</w:t>
            </w:r>
          </w:p>
          <w:p>
            <w:r>
              <w:rPr>
                <w:rFonts w:ascii="Arial" w:cs="Arial" w:eastAsia="Arial" w:hAnsi="Arial"/>
                <w:b/>
                <w:bCs/>
                <w:sz w:val="18"/>
                <w:szCs w:val="18"/>
              </w:rPr>
              <w:t xml:space="preserve">Encoding: </w:t>
            </w:r>
            <w:r>
              <w:rPr>
                <w:rFonts w:ascii="Arial" w:cs="Arial" w:eastAsia="Arial" w:hAnsi="Arial"/>
                <w:i/>
                <w:iCs/>
                <w:sz w:val="18"/>
                <w:szCs w:val="18"/>
              </w:rPr>
              <w:t xml:space="preserve">b = N/A (under 5); 1 = Yes; 2 =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Years</w:t>
            </w:r>
          </w:p>
        </w:tc>
        <w:tc>
          <w:tcPr>
            <w:tcW w:type="dxa" w:w="736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Definition / Encoding Notes</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sz w:val="17"/>
                <w:szCs w:val="17"/>
              </w:rPr>
              <w:t xml:space="preserve">2005–2013</w:t>
            </w:r>
          </w:p>
        </w:tc>
        <w:tc>
          <w:tcPr>
            <w:tcW w:type="dxa" w:w="73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Stable encoding. Label was 'Difficulty dressing' in 2005–2007, 'Self-care difficulty' from 2008+.</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6E4F0" w:val="clear"/>
            <w:tcMar>
              <w:top w:type="dxa" w:w="100"/>
              <w:left w:type="dxa" w:w="180"/>
              <w:bottom w:type="dxa" w:w="100"/>
              <w:right w:type="dxa" w:w="180"/>
            </w:tcMar>
          </w:tcPr>
          <w:p>
            <w:r>
              <w:rPr>
                <w:rFonts w:ascii="Courier New" w:cs="Courier New" w:eastAsia="Courier New" w:hAnsi="Courier New"/>
                <w:b/>
                <w:bCs/>
                <w:color w:val="1F4E79"/>
                <w:sz w:val="24"/>
                <w:szCs w:val="24"/>
              </w:rPr>
              <w:t xml:space="preserve">county_new</w:t>
            </w:r>
            <w:r>
              <w:rPr>
                <w:rFonts w:ascii="Arial" w:cs="Arial" w:eastAsia="Arial" w:hAnsi="Arial"/>
                <w:b/>
                <w:bCs/>
                <w:color w:val="2C2C2C"/>
                <w:sz w:val="22"/>
                <w:szCs w:val="22"/>
              </w:rPr>
              <w:t xml:space="preserve">  —  County Name (Researcher-Added)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AFAFA" w:val="clear"/>
            <w:tcMar>
              <w:top w:type="dxa" w:w="80"/>
              <w:left w:type="dxa" w:w="180"/>
              <w:bottom w:type="dxa" w:w="80"/>
              <w:right w:type="dxa" w:w="180"/>
            </w:tcMar>
          </w:tcPr>
          <w:p>
            <w:r>
              <w:rPr>
                <w:rFonts w:ascii="Arial" w:cs="Arial" w:eastAsia="Arial" w:hAnsi="Arial"/>
                <w:b/>
                <w:bCs/>
                <w:sz w:val="18"/>
                <w:szCs w:val="18"/>
              </w:rPr>
              <w:t xml:space="preserve">Description: </w:t>
            </w:r>
            <w:r>
              <w:rPr>
                <w:rFonts w:ascii="Arial" w:cs="Arial" w:eastAsia="Arial" w:hAnsi="Arial"/>
                <w:sz w:val="18"/>
                <w:szCs w:val="18"/>
              </w:rPr>
              <w:t xml:space="preserve">County name — NOT an original ACS variable. Added by the data compiler to identify the specific county within the Philadelphia Metro Area for each PUMA. Observed values include Camden, Burlington (NJ) and Philadelphia-area counties (PA).</w:t>
            </w:r>
          </w:p>
          <w:p>
            <w:r>
              <w:rPr>
                <w:rFonts w:ascii="Arial" w:cs="Arial" w:eastAsia="Arial" w:hAnsi="Arial"/>
                <w:b/>
                <w:bCs/>
                <w:sz w:val="18"/>
                <w:szCs w:val="18"/>
              </w:rPr>
              <w:t xml:space="preserve">Encoding: </w:t>
            </w:r>
            <w:r>
              <w:rPr>
                <w:rFonts w:ascii="Arial" w:cs="Arial" w:eastAsia="Arial" w:hAnsi="Arial"/>
                <w:i/>
                <w:iCs/>
                <w:sz w:val="18"/>
                <w:szCs w:val="18"/>
              </w:rPr>
              <w:t xml:space="preserve">Character string, e.g., 'Camden', 'Burlington', 'Philadelphia'.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Years</w:t>
            </w:r>
          </w:p>
        </w:tc>
        <w:tc>
          <w:tcPr>
            <w:tcW w:type="dxa" w:w="736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Definition / Encoding Notes</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sz w:val="17"/>
                <w:szCs w:val="17"/>
              </w:rPr>
              <w:t xml:space="preserve">2005–2013</w:t>
            </w:r>
          </w:p>
        </w:tc>
        <w:tc>
          <w:tcPr>
            <w:tcW w:type="dxa" w:w="73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Derived/custom variable. Consistent across years.</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D6E4F0" w:val="clear"/>
            <w:tcMar>
              <w:top w:type="dxa" w:w="100"/>
              <w:left w:type="dxa" w:w="180"/>
              <w:bottom w:type="dxa" w:w="100"/>
              <w:right w:type="dxa" w:w="180"/>
            </w:tcMar>
          </w:tcPr>
          <w:p>
            <w:r>
              <w:rPr>
                <w:rFonts w:ascii="Courier New" w:cs="Courier New" w:eastAsia="Courier New" w:hAnsi="Courier New"/>
                <w:b/>
                <w:bCs/>
                <w:color w:val="1F4E79"/>
                <w:sz w:val="24"/>
                <w:szCs w:val="24"/>
              </w:rPr>
              <w:t xml:space="preserve">year</w:t>
            </w:r>
            <w:r>
              <w:rPr>
                <w:rFonts w:ascii="Arial" w:cs="Arial" w:eastAsia="Arial" w:hAnsi="Arial"/>
                <w:b/>
                <w:bCs/>
                <w:color w:val="2C2C2C"/>
                <w:sz w:val="22"/>
                <w:szCs w:val="22"/>
              </w:rPr>
              <w:t xml:space="preserve">  —  Survey Year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AFAFA" w:val="clear"/>
            <w:tcMar>
              <w:top w:type="dxa" w:w="80"/>
              <w:left w:type="dxa" w:w="180"/>
              <w:bottom w:type="dxa" w:w="80"/>
              <w:right w:type="dxa" w:w="180"/>
            </w:tcMar>
          </w:tcPr>
          <w:p>
            <w:r>
              <w:rPr>
                <w:rFonts w:ascii="Arial" w:cs="Arial" w:eastAsia="Arial" w:hAnsi="Arial"/>
                <w:b/>
                <w:bCs/>
                <w:sz w:val="18"/>
                <w:szCs w:val="18"/>
              </w:rPr>
              <w:t xml:space="preserve">Description: </w:t>
            </w:r>
            <w:r>
              <w:rPr>
                <w:rFonts w:ascii="Arial" w:cs="Arial" w:eastAsia="Arial" w:hAnsi="Arial"/>
                <w:sz w:val="18"/>
                <w:szCs w:val="18"/>
              </w:rPr>
              <w:t xml:space="preserve">ACS survey year. Researcher-added for pooled analysis. Ranges from 2005 to 2012 in the dataset (NJ data shown as extending through 2013).</w:t>
            </w:r>
          </w:p>
          <w:p>
            <w:r>
              <w:rPr>
                <w:rFonts w:ascii="Arial" w:cs="Arial" w:eastAsia="Arial" w:hAnsi="Arial"/>
                <w:b/>
                <w:bCs/>
                <w:sz w:val="18"/>
                <w:szCs w:val="18"/>
              </w:rPr>
              <w:t xml:space="preserve">Encoding: </w:t>
            </w:r>
            <w:r>
              <w:rPr>
                <w:rFonts w:ascii="Arial" w:cs="Arial" w:eastAsia="Arial" w:hAnsi="Arial"/>
                <w:i/>
                <w:iCs/>
                <w:sz w:val="18"/>
                <w:szCs w:val="18"/>
              </w:rPr>
              <w:t xml:space="preserve">Integer: 2005, 2006, 2007, 2008, 2009, 2010, 2011, 2012.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Years</w:t>
            </w:r>
          </w:p>
        </w:tc>
        <w:tc>
          <w:tcPr>
            <w:tcW w:type="dxa" w:w="7360"/>
            <w:tcBorders>
              <w:top w:val="single" w:color="C0C0C0" w:sz="1"/>
              <w:left w:val="single" w:color="C0C0C0" w:sz="1"/>
              <w:bottom w:val="single" w:color="C0C0C0" w:sz="1"/>
              <w:right w:val="single" w:color="C0C0C0" w:sz="1"/>
            </w:tcBorders>
            <w:shd w:fill="4472C4" w:val="clear"/>
            <w:tcMar>
              <w:top w:type="dxa" w:w="60"/>
              <w:left w:type="dxa" w:w="120"/>
              <w:bottom w:type="dxa" w:w="60"/>
              <w:right w:type="dxa" w:w="120"/>
            </w:tcMar>
          </w:tcPr>
          <w:p>
            <w:r>
              <w:rPr>
                <w:rFonts w:ascii="Arial" w:cs="Arial" w:eastAsia="Arial" w:hAnsi="Arial"/>
                <w:b/>
                <w:bCs/>
                <w:color w:val="FFFFFF"/>
                <w:sz w:val="17"/>
                <w:szCs w:val="17"/>
              </w:rPr>
              <w:t xml:space="preserve">Definition / Encoding Notes</w:t>
            </w:r>
          </w:p>
        </w:tc>
      </w:tr>
      <w:tr>
        <w:tc>
          <w:tcPr>
            <w:tcW w:type="dxa" w:w="20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sz w:val="17"/>
                <w:szCs w:val="17"/>
              </w:rPr>
              <w:t xml:space="preserve">2005–2013</w:t>
            </w:r>
          </w:p>
        </w:tc>
        <w:tc>
          <w:tcPr>
            <w:tcW w:type="dxa" w:w="73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Derived/custom variable. Consistent across years.</w:t>
            </w:r>
          </w:p>
        </w:tc>
      </w:tr>
    </w:tbl>
    <w:p>
      <w:pPr>
        <w:spacing w:before="200" w:after="0"/>
      </w:pPr>
    </w:p>
    <w:p>
      <w:pPr>
        <w:pStyle w:val="Heading1"/>
        <w:spacing w:before="360" w:after="200"/>
      </w:pPr>
      <w:r>
        <w:rPr>
          <w:rFonts w:ascii="Arial" w:cs="Arial" w:eastAsia="Arial" w:hAnsi="Arial"/>
          <w:b/>
          <w:bCs/>
          <w:color w:val="1F4E79"/>
          <w:sz w:val="32"/>
          <w:szCs w:val="32"/>
        </w:rPr>
        <w:t xml:space="preserve">Appendix: Critical Changes Summary for Preprocessing</w:t>
      </w:r>
    </w:p>
    <w:p>
      <w:pPr>
        <w:spacing w:before="60" w:after="60"/>
      </w:pPr>
      <w:r>
        <w:rPr>
          <w:rFonts w:ascii="Arial" w:cs="Arial" w:eastAsia="Arial" w:hAnsi="Arial"/>
          <w:sz w:val="20"/>
          <w:szCs w:val="20"/>
        </w:rPr>
        <w:t xml:space="preserve">The following table summarizes the variables that require special handling due to definitional or encoding changes across years.</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200"/>
        <w:gridCol w:w="5460"/>
      </w:tblGrid>
      <w:tr>
        <w:trPr>
          <w:tblHeader/>
        </w:trPr>
        <w:tc>
          <w:tcPr>
            <w:tcW w:type="dxa" w:w="120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Variable</w:t>
            </w:r>
          </w:p>
        </w:tc>
        <w:tc>
          <w:tcPr>
            <w:tcW w:type="dxa" w:w="150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Label</w:t>
            </w:r>
          </w:p>
        </w:tc>
        <w:tc>
          <w:tcPr>
            <w:tcW w:type="dxa" w:w="120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Break Year</w:t>
            </w:r>
          </w:p>
        </w:tc>
        <w:tc>
          <w:tcPr>
            <w:tcW w:type="dxa" w:w="546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Nature of Change</w:t>
            </w:r>
          </w:p>
        </w:tc>
      </w:tr>
      <w:tr>
        <w:tc>
          <w:tcPr>
            <w:tcW w:type="dxa" w:w="12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FS</w:t>
            </w:r>
          </w:p>
        </w:tc>
        <w:tc>
          <w:tcPr>
            <w:tcW w:type="dxa" w:w="15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Food Stamps</w:t>
            </w:r>
          </w:p>
        </w:tc>
        <w:tc>
          <w:tcPr>
            <w:tcW w:type="dxa" w:w="12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b/>
                <w:bCs/>
                <w:color w:val="C00000"/>
                <w:sz w:val="17"/>
                <w:szCs w:val="17"/>
              </w:rPr>
              <w:t xml:space="preserve">2007</w:t>
            </w:r>
          </w:p>
        </w:tc>
        <w:tc>
          <w:tcPr>
            <w:tcW w:type="dxa" w:w="54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Dollar amount → Binary (yes/no). Incompatible across break.</w:t>
            </w:r>
          </w:p>
        </w:tc>
      </w:tr>
      <w:tr>
        <w:tc>
          <w:tcPr>
            <w:tcW w:type="dxa" w:w="12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WKW</w:t>
            </w:r>
          </w:p>
        </w:tc>
        <w:tc>
          <w:tcPr>
            <w:tcW w:type="dxa" w:w="15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Arial" w:cs="Arial" w:eastAsia="Arial" w:hAnsi="Arial"/>
                <w:sz w:val="17"/>
                <w:szCs w:val="17"/>
              </w:rPr>
              <w:t xml:space="preserve">Weeks Worked</w:t>
            </w:r>
          </w:p>
        </w:tc>
        <w:tc>
          <w:tcPr>
            <w:tcW w:type="dxa" w:w="12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Arial" w:cs="Arial" w:eastAsia="Arial" w:hAnsi="Arial"/>
                <w:b/>
                <w:bCs/>
                <w:color w:val="C00000"/>
                <w:sz w:val="17"/>
                <w:szCs w:val="17"/>
              </w:rPr>
              <w:t xml:space="preserve">2007</w:t>
            </w:r>
          </w:p>
        </w:tc>
        <w:tc>
          <w:tcPr>
            <w:tcW w:type="dxa" w:w="546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Arial" w:cs="Arial" w:eastAsia="Arial" w:hAnsi="Arial"/>
                <w:sz w:val="17"/>
                <w:szCs w:val="17"/>
              </w:rPr>
              <w:t xml:space="preserve">Continuous (1–52) → 6-bin categorical. FLI threshold of 20 wks straddles bin 5 (14–26) in 2007+.</w:t>
            </w:r>
          </w:p>
        </w:tc>
      </w:tr>
      <w:tr>
        <w:tc>
          <w:tcPr>
            <w:tcW w:type="dxa" w:w="12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SCHL</w:t>
            </w:r>
          </w:p>
        </w:tc>
        <w:tc>
          <w:tcPr>
            <w:tcW w:type="dxa" w:w="15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Education</w:t>
            </w:r>
          </w:p>
        </w:tc>
        <w:tc>
          <w:tcPr>
            <w:tcW w:type="dxa" w:w="12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b/>
                <w:bCs/>
                <w:color w:val="C00000"/>
                <w:sz w:val="17"/>
                <w:szCs w:val="17"/>
              </w:rPr>
              <w:t xml:space="preserve">2008</w:t>
            </w:r>
          </w:p>
        </w:tc>
        <w:tc>
          <w:tcPr>
            <w:tcW w:type="dxa" w:w="54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16-category → 24-category scheme. Not directly comparable.</w:t>
            </w:r>
          </w:p>
        </w:tc>
      </w:tr>
      <w:tr>
        <w:tc>
          <w:tcPr>
            <w:tcW w:type="dxa" w:w="12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PUMA</w:t>
            </w:r>
          </w:p>
        </w:tc>
        <w:tc>
          <w:tcPr>
            <w:tcW w:type="dxa" w:w="15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Arial" w:cs="Arial" w:eastAsia="Arial" w:hAnsi="Arial"/>
                <w:sz w:val="17"/>
                <w:szCs w:val="17"/>
              </w:rPr>
              <w:t xml:space="preserve">Geographic Unit</w:t>
            </w:r>
          </w:p>
        </w:tc>
        <w:tc>
          <w:tcPr>
            <w:tcW w:type="dxa" w:w="12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Arial" w:cs="Arial" w:eastAsia="Arial" w:hAnsi="Arial"/>
                <w:b/>
                <w:bCs/>
                <w:color w:val="C00000"/>
                <w:sz w:val="17"/>
                <w:szCs w:val="17"/>
              </w:rPr>
              <w:t xml:space="preserve">2012</w:t>
            </w:r>
          </w:p>
        </w:tc>
        <w:tc>
          <w:tcPr>
            <w:tcW w:type="dxa" w:w="546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Arial" w:cs="Arial" w:eastAsia="Arial" w:hAnsi="Arial"/>
                <w:sz w:val="17"/>
                <w:szCs w:val="17"/>
              </w:rPr>
              <w:t xml:space="preserve">2000 Census → 2010 Census boundaries. Codes not comparable.</w:t>
            </w:r>
          </w:p>
        </w:tc>
      </w:tr>
      <w:tr>
        <w:tc>
          <w:tcPr>
            <w:tcW w:type="dxa" w:w="12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REL/RELP</w:t>
            </w:r>
          </w:p>
        </w:tc>
        <w:tc>
          <w:tcPr>
            <w:tcW w:type="dxa" w:w="15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Relationship</w:t>
            </w:r>
          </w:p>
        </w:tc>
        <w:tc>
          <w:tcPr>
            <w:tcW w:type="dxa" w:w="12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b/>
                <w:bCs/>
                <w:color w:val="C00000"/>
                <w:sz w:val="17"/>
                <w:szCs w:val="17"/>
              </w:rPr>
              <w:t xml:space="preserve">2008/2010</w:t>
            </w:r>
          </w:p>
        </w:tc>
        <w:tc>
          <w:tcPr>
            <w:tcW w:type="dxa" w:w="54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14 → 17 categories in 2008. Renamed RELP in 2010 codebook.</w:t>
            </w:r>
          </w:p>
        </w:tc>
      </w:tr>
      <w:tr>
        <w:tc>
          <w:tcPr>
            <w:tcW w:type="dxa" w:w="12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DS/DIS</w:t>
            </w:r>
          </w:p>
        </w:tc>
        <w:tc>
          <w:tcPr>
            <w:tcW w:type="dxa" w:w="15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Arial" w:cs="Arial" w:eastAsia="Arial" w:hAnsi="Arial"/>
                <w:sz w:val="17"/>
                <w:szCs w:val="17"/>
              </w:rPr>
              <w:t xml:space="preserve">Disability</w:t>
            </w:r>
          </w:p>
        </w:tc>
        <w:tc>
          <w:tcPr>
            <w:tcW w:type="dxa" w:w="12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Arial" w:cs="Arial" w:eastAsia="Arial" w:hAnsi="Arial"/>
                <w:b/>
                <w:bCs/>
                <w:color w:val="C00000"/>
                <w:sz w:val="17"/>
                <w:szCs w:val="17"/>
              </w:rPr>
              <w:t xml:space="preserve">2008</w:t>
            </w:r>
          </w:p>
        </w:tc>
        <w:tc>
          <w:tcPr>
            <w:tcW w:type="dxa" w:w="546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Arial" w:cs="Arial" w:eastAsia="Arial" w:hAnsi="Arial"/>
                <w:sz w:val="17"/>
                <w:szCs w:val="17"/>
              </w:rPr>
              <w:t xml:space="preserve">Renamed from DS to DIS. Encoding unchanged (1/2).</w:t>
            </w:r>
          </w:p>
        </w:tc>
      </w:tr>
      <w:tr>
        <w:tc>
          <w:tcPr>
            <w:tcW w:type="dxa" w:w="12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POWSP</w:t>
            </w:r>
          </w:p>
        </w:tc>
        <w:tc>
          <w:tcPr>
            <w:tcW w:type="dxa" w:w="15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Place of Work</w:t>
            </w:r>
          </w:p>
        </w:tc>
        <w:tc>
          <w:tcPr>
            <w:tcW w:type="dxa" w:w="12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b/>
                <w:bCs/>
                <w:color w:val="C00000"/>
                <w:sz w:val="17"/>
                <w:szCs w:val="17"/>
              </w:rPr>
              <w:t xml:space="preserve">2007</w:t>
            </w:r>
          </w:p>
        </w:tc>
        <w:tc>
          <w:tcPr>
            <w:tcW w:type="dxa" w:w="54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Variable does not exist in 2005–2006. N/A for those years.</w:t>
            </w:r>
          </w:p>
        </w:tc>
      </w:tr>
      <w:tr>
        <w:tc>
          <w:tcPr>
            <w:tcW w:type="dxa" w:w="12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DWRK</w:t>
            </w:r>
          </w:p>
        </w:tc>
        <w:tc>
          <w:tcPr>
            <w:tcW w:type="dxa" w:w="15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Arial" w:cs="Arial" w:eastAsia="Arial" w:hAnsi="Arial"/>
                <w:sz w:val="17"/>
                <w:szCs w:val="17"/>
              </w:rPr>
              <w:t xml:space="preserve">Work Difficulty</w:t>
            </w:r>
          </w:p>
        </w:tc>
        <w:tc>
          <w:tcPr>
            <w:tcW w:type="dxa" w:w="120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Arial" w:cs="Arial" w:eastAsia="Arial" w:hAnsi="Arial"/>
                <w:b/>
                <w:bCs/>
                <w:color w:val="C00000"/>
                <w:sz w:val="17"/>
                <w:szCs w:val="17"/>
              </w:rPr>
              <w:t xml:space="preserve">2007+</w:t>
            </w:r>
          </w:p>
        </w:tc>
        <w:tc>
          <w:tcPr>
            <w:tcW w:type="dxa" w:w="5460"/>
            <w:tcBorders>
              <w:top w:val="single" w:color="C0C0C0" w:sz="1"/>
              <w:left w:val="single" w:color="C0C0C0" w:sz="1"/>
              <w:bottom w:val="single" w:color="C0C0C0" w:sz="1"/>
              <w:right w:val="single" w:color="C0C0C0" w:sz="1"/>
            </w:tcBorders>
            <w:shd w:fill="F2F2F2" w:val="clear"/>
            <w:tcMar>
              <w:top w:type="dxa" w:w="60"/>
              <w:left w:type="dxa" w:w="120"/>
              <w:bottom w:type="dxa" w:w="60"/>
              <w:right w:type="dxa" w:w="120"/>
            </w:tcMar>
          </w:tcPr>
          <w:p>
            <w:r>
              <w:rPr>
                <w:rFonts w:ascii="Arial" w:cs="Arial" w:eastAsia="Arial" w:hAnsi="Arial"/>
                <w:sz w:val="17"/>
                <w:szCs w:val="17"/>
              </w:rPr>
              <w:t xml:space="preserve">Absent from 2007+ codebooks; NA-coded in later years.</w:t>
            </w:r>
          </w:p>
        </w:tc>
      </w:tr>
      <w:tr>
        <w:tc>
          <w:tcPr>
            <w:tcW w:type="dxa" w:w="12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Courier New" w:cs="Courier New" w:eastAsia="Courier New" w:hAnsi="Courier New"/>
                <w:b/>
                <w:bCs/>
                <w:color w:val="2E75B6"/>
                <w:sz w:val="17"/>
                <w:szCs w:val="17"/>
              </w:rPr>
              <w:t xml:space="preserve">HINCP</w:t>
            </w:r>
          </w:p>
        </w:tc>
        <w:tc>
          <w:tcPr>
            <w:tcW w:type="dxa" w:w="15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Household Income</w:t>
            </w:r>
          </w:p>
        </w:tc>
        <w:tc>
          <w:tcPr>
            <w:tcW w:type="dxa" w:w="120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b/>
                <w:bCs/>
                <w:color w:val="C00000"/>
                <w:sz w:val="17"/>
                <w:szCs w:val="17"/>
              </w:rPr>
              <w:t xml:space="preserve">2011</w:t>
            </w:r>
          </w:p>
        </w:tc>
        <w:tc>
          <w:tcPr>
            <w:tcW w:type="dxa" w:w="5460"/>
            <w:tcBorders>
              <w:top w:val="single" w:color="C0C0C0" w:sz="1"/>
              <w:left w:val="single" w:color="C0C0C0" w:sz="1"/>
              <w:bottom w:val="single" w:color="C0C0C0" w:sz="1"/>
              <w:right w:val="single" w:color="C0C0C0" w:sz="1"/>
            </w:tcBorders>
            <w:shd w:fill="FFFFFF" w:val="clear"/>
            <w:tcMar>
              <w:top w:type="dxa" w:w="60"/>
              <w:left w:type="dxa" w:w="120"/>
              <w:bottom w:type="dxa" w:w="60"/>
              <w:right w:type="dxa" w:w="120"/>
            </w:tcMar>
          </w:tcPr>
          <w:p>
            <w:r>
              <w:rPr>
                <w:rFonts w:ascii="Arial" w:cs="Arial" w:eastAsia="Arial" w:hAnsi="Arial"/>
                <w:sz w:val="17"/>
                <w:szCs w:val="17"/>
              </w:rPr>
              <w:t xml:space="preserve">Field width expanded 8→9 digits. Substantively identical.</w:t>
            </w:r>
          </w:p>
        </w:tc>
      </w:tr>
    </w:tbl>
    <w:p>
      <w:pPr>
        <w:spacing w:before="240"/>
      </w:pPr>
    </w:p>
    <w:p>
      <w:pPr>
        <w:spacing w:before="60" w:after="60"/>
      </w:pPr>
      <w:r>
        <w:rPr>
          <w:rFonts w:ascii="Arial" w:cs="Arial" w:eastAsia="Arial" w:hAnsi="Arial"/>
          <w:i/>
          <w:iCs/>
          <w:color w:val="595959"/>
          <w:sz w:val="20"/>
          <w:szCs w:val="20"/>
        </w:rPr>
        <w:t xml:space="preserve">Note: When pooling data across years, all variables with encoding changes require year-conditional recoding before analysis. The WKW variable in particular demands careful thought for constructing the FLI eligibility indicator.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2026-03-02T08:47:30.271Z</dcterms:created>
  <dcterms:modified xsi:type="dcterms:W3CDTF">2026-03-02T08:47:30.272Z</dcterms:modified>
</cp:coreProperties>
</file>

<file path=docProps/custom.xml><?xml version="1.0" encoding="utf-8"?>
<Properties xmlns="http://schemas.openxmlformats.org/officeDocument/2006/custom-properties" xmlns:vt="http://schemas.openxmlformats.org/officeDocument/2006/docPropsVTypes"/>
</file>