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F553" w14:textId="3C0021B5" w:rsidR="00045DC7" w:rsidRPr="00FB6769" w:rsidRDefault="00045DC7" w:rsidP="00045DC7">
      <w:pPr>
        <w:spacing w:line="480" w:lineRule="auto"/>
        <w:rPr>
          <w:rFonts w:ascii="Times New Roman" w:eastAsia="Times New Roman" w:hAnsi="Times New Roman" w:cs="Times New Roman"/>
          <w:color w:val="000000" w:themeColor="text1"/>
        </w:rPr>
      </w:pPr>
    </w:p>
    <w:p w14:paraId="6C19F205" w14:textId="13C4C94D" w:rsidR="002D2650" w:rsidRDefault="002D2650" w:rsidP="0007775C">
      <w:pPr>
        <w:spacing w:line="480" w:lineRule="auto"/>
        <w:jc w:val="center"/>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Introduction: Towards Romantic Wellbeing</w:t>
      </w:r>
    </w:p>
    <w:p w14:paraId="7F6B4BBC" w14:textId="78DCC6EB" w:rsidR="00EF716C" w:rsidRPr="00FB6769" w:rsidRDefault="2AA0CE03" w:rsidP="0007775C">
      <w:pPr>
        <w:spacing w:line="480" w:lineRule="auto"/>
        <w:jc w:val="center"/>
        <w:rPr>
          <w:rFonts w:ascii="Times New Roman" w:eastAsia="Times New Roman" w:hAnsi="Times New Roman" w:cs="Times New Roman"/>
          <w:color w:val="000000" w:themeColor="text1"/>
        </w:rPr>
      </w:pPr>
      <w:r w:rsidRPr="2AA0CE03">
        <w:rPr>
          <w:rFonts w:ascii="Times New Roman" w:eastAsia="Times New Roman" w:hAnsi="Times New Roman" w:cs="Times New Roman"/>
          <w:color w:val="000000" w:themeColor="text1"/>
        </w:rPr>
        <w:t xml:space="preserve">B. </w:t>
      </w:r>
      <w:proofErr w:type="spellStart"/>
      <w:r w:rsidRPr="2AA0CE03">
        <w:rPr>
          <w:rFonts w:ascii="Times New Roman" w:eastAsia="Times New Roman" w:hAnsi="Times New Roman" w:cs="Times New Roman"/>
          <w:color w:val="000000" w:themeColor="text1"/>
        </w:rPr>
        <w:t>Pladek</w:t>
      </w:r>
      <w:proofErr w:type="spellEnd"/>
      <w:r w:rsidRPr="2AA0CE03">
        <w:rPr>
          <w:rFonts w:ascii="Times New Roman" w:eastAsia="Times New Roman" w:hAnsi="Times New Roman" w:cs="Times New Roman"/>
          <w:color w:val="000000" w:themeColor="text1"/>
        </w:rPr>
        <w:t xml:space="preserve"> and Emily B. Stanback </w:t>
      </w:r>
    </w:p>
    <w:p w14:paraId="65DEE2AF" w14:textId="6F73E1CD" w:rsidR="00AF1985" w:rsidRPr="00FB6769" w:rsidRDefault="007856C1" w:rsidP="00D27526">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 xml:space="preserve">There are moments in </w:t>
      </w:r>
      <w:r w:rsidR="00A70EB5" w:rsidRPr="00FB6769">
        <w:rPr>
          <w:rFonts w:ascii="Times New Roman" w:eastAsia="Times New Roman" w:hAnsi="Times New Roman" w:cs="Times New Roman"/>
          <w:color w:val="000000" w:themeColor="text1"/>
        </w:rPr>
        <w:t>every</w:t>
      </w:r>
      <w:r w:rsidRPr="00FB6769">
        <w:rPr>
          <w:rFonts w:ascii="Times New Roman" w:eastAsia="Times New Roman" w:hAnsi="Times New Roman" w:cs="Times New Roman"/>
          <w:color w:val="000000" w:themeColor="text1"/>
        </w:rPr>
        <w:t xml:space="preserve"> life </w:t>
      </w:r>
      <w:r w:rsidR="00A6029C" w:rsidRPr="00FB6769">
        <w:rPr>
          <w:rFonts w:ascii="Times New Roman" w:eastAsia="Times New Roman" w:hAnsi="Times New Roman" w:cs="Times New Roman"/>
          <w:color w:val="000000" w:themeColor="text1"/>
        </w:rPr>
        <w:t>when</w:t>
      </w:r>
      <w:r w:rsidRPr="00FB6769">
        <w:rPr>
          <w:rFonts w:ascii="Times New Roman" w:eastAsia="Times New Roman" w:hAnsi="Times New Roman" w:cs="Times New Roman"/>
          <w:color w:val="000000" w:themeColor="text1"/>
        </w:rPr>
        <w:t xml:space="preserve"> the importance of wellbeing </w:t>
      </w:r>
      <w:r w:rsidR="00623295" w:rsidRPr="00FB6769">
        <w:rPr>
          <w:rFonts w:ascii="Times New Roman" w:eastAsia="Times New Roman" w:hAnsi="Times New Roman" w:cs="Times New Roman"/>
          <w:color w:val="000000" w:themeColor="text1"/>
        </w:rPr>
        <w:t>becomes unavoidable</w:t>
      </w:r>
      <w:r w:rsidRPr="00FB6769">
        <w:rPr>
          <w:rFonts w:ascii="Times New Roman" w:eastAsia="Times New Roman" w:hAnsi="Times New Roman" w:cs="Times New Roman"/>
          <w:color w:val="000000" w:themeColor="text1"/>
        </w:rPr>
        <w:t>: moments of acute illness</w:t>
      </w:r>
      <w:r w:rsidR="00A6029C" w:rsidRPr="00FB6769">
        <w:rPr>
          <w:rFonts w:ascii="Times New Roman" w:eastAsia="Times New Roman" w:hAnsi="Times New Roman" w:cs="Times New Roman"/>
          <w:color w:val="000000" w:themeColor="text1"/>
        </w:rPr>
        <w:t xml:space="preserve"> or</w:t>
      </w:r>
      <w:r w:rsidRPr="00FB6769">
        <w:rPr>
          <w:rFonts w:ascii="Times New Roman" w:eastAsia="Times New Roman" w:hAnsi="Times New Roman" w:cs="Times New Roman"/>
          <w:color w:val="000000" w:themeColor="text1"/>
        </w:rPr>
        <w:t xml:space="preserve"> </w:t>
      </w:r>
      <w:r w:rsidR="00E34F34" w:rsidRPr="00FB6769">
        <w:rPr>
          <w:rFonts w:ascii="Times New Roman" w:eastAsia="Times New Roman" w:hAnsi="Times New Roman" w:cs="Times New Roman"/>
          <w:color w:val="000000" w:themeColor="text1"/>
        </w:rPr>
        <w:t>extreme anxiety</w:t>
      </w:r>
      <w:r w:rsidR="00A6029C" w:rsidRPr="00FB6769">
        <w:rPr>
          <w:rFonts w:ascii="Times New Roman" w:eastAsia="Times New Roman" w:hAnsi="Times New Roman" w:cs="Times New Roman"/>
          <w:color w:val="000000" w:themeColor="text1"/>
        </w:rPr>
        <w:t>;</w:t>
      </w:r>
      <w:r w:rsidR="00E34F34" w:rsidRPr="00FB6769">
        <w:rPr>
          <w:rFonts w:ascii="Times New Roman" w:eastAsia="Times New Roman" w:hAnsi="Times New Roman" w:cs="Times New Roman"/>
          <w:color w:val="000000" w:themeColor="text1"/>
        </w:rPr>
        <w:t xml:space="preserve"> moments when we must confront </w:t>
      </w:r>
      <w:r w:rsidR="00623295" w:rsidRPr="00FB6769">
        <w:rPr>
          <w:rFonts w:ascii="Times New Roman" w:eastAsia="Times New Roman" w:hAnsi="Times New Roman" w:cs="Times New Roman"/>
          <w:color w:val="000000" w:themeColor="text1"/>
        </w:rPr>
        <w:t>death</w:t>
      </w:r>
      <w:r w:rsidR="00E34F34" w:rsidRPr="00FB6769">
        <w:rPr>
          <w:rFonts w:ascii="Times New Roman" w:eastAsia="Times New Roman" w:hAnsi="Times New Roman" w:cs="Times New Roman"/>
          <w:color w:val="000000" w:themeColor="text1"/>
        </w:rPr>
        <w:t xml:space="preserve">. </w:t>
      </w:r>
      <w:r w:rsidR="00623295" w:rsidRPr="00FB6769">
        <w:rPr>
          <w:rFonts w:ascii="Times New Roman" w:eastAsia="Times New Roman" w:hAnsi="Times New Roman" w:cs="Times New Roman"/>
          <w:color w:val="000000" w:themeColor="text1"/>
        </w:rPr>
        <w:t>As</w:t>
      </w:r>
      <w:r w:rsidR="00E34F34" w:rsidRPr="00FB6769">
        <w:rPr>
          <w:rFonts w:ascii="Times New Roman" w:eastAsia="Times New Roman" w:hAnsi="Times New Roman" w:cs="Times New Roman"/>
          <w:color w:val="000000" w:themeColor="text1"/>
        </w:rPr>
        <w:t xml:space="preserve"> we </w:t>
      </w:r>
      <w:r w:rsidR="00A70EB5" w:rsidRPr="00FB6769">
        <w:rPr>
          <w:rFonts w:ascii="Times New Roman" w:eastAsia="Times New Roman" w:hAnsi="Times New Roman" w:cs="Times New Roman"/>
          <w:color w:val="000000" w:themeColor="text1"/>
        </w:rPr>
        <w:t>revise</w:t>
      </w:r>
      <w:r w:rsidR="00E34F34" w:rsidRPr="00FB6769">
        <w:rPr>
          <w:rFonts w:ascii="Times New Roman" w:eastAsia="Times New Roman" w:hAnsi="Times New Roman" w:cs="Times New Roman"/>
          <w:color w:val="000000" w:themeColor="text1"/>
        </w:rPr>
        <w:t xml:space="preserve"> this introduction</w:t>
      </w:r>
      <w:r w:rsidR="00A70EB5" w:rsidRPr="00FB6769">
        <w:rPr>
          <w:rFonts w:ascii="Times New Roman" w:eastAsia="Times New Roman" w:hAnsi="Times New Roman" w:cs="Times New Roman"/>
          <w:color w:val="000000" w:themeColor="text1"/>
        </w:rPr>
        <w:t xml:space="preserve"> in</w:t>
      </w:r>
      <w:r w:rsidR="00E34F34" w:rsidRPr="00FB6769">
        <w:rPr>
          <w:rFonts w:ascii="Times New Roman" w:eastAsia="Times New Roman" w:hAnsi="Times New Roman" w:cs="Times New Roman"/>
          <w:color w:val="000000" w:themeColor="text1"/>
        </w:rPr>
        <w:t xml:space="preserve"> </w:t>
      </w:r>
      <w:r w:rsidR="00B670B8">
        <w:rPr>
          <w:rFonts w:ascii="Times New Roman" w:eastAsia="Times New Roman" w:hAnsi="Times New Roman" w:cs="Times New Roman"/>
          <w:color w:val="000000" w:themeColor="text1"/>
        </w:rPr>
        <w:t>2021</w:t>
      </w:r>
      <w:r w:rsidR="00E34F34" w:rsidRPr="00FB6769">
        <w:rPr>
          <w:rFonts w:ascii="Times New Roman" w:eastAsia="Times New Roman" w:hAnsi="Times New Roman" w:cs="Times New Roman"/>
          <w:color w:val="000000" w:themeColor="text1"/>
        </w:rPr>
        <w:t xml:space="preserve">, </w:t>
      </w:r>
      <w:r w:rsidR="00623295" w:rsidRPr="00FB6769">
        <w:rPr>
          <w:rFonts w:ascii="Times New Roman" w:eastAsia="Times New Roman" w:hAnsi="Times New Roman" w:cs="Times New Roman"/>
          <w:color w:val="000000" w:themeColor="text1"/>
        </w:rPr>
        <w:t>we are collectively experiencing</w:t>
      </w:r>
      <w:r w:rsidR="00E34F34" w:rsidRPr="00FB6769">
        <w:rPr>
          <w:rFonts w:ascii="Times New Roman" w:eastAsia="Times New Roman" w:hAnsi="Times New Roman" w:cs="Times New Roman"/>
          <w:color w:val="000000" w:themeColor="text1"/>
        </w:rPr>
        <w:t xml:space="preserve"> one such moment</w:t>
      </w:r>
      <w:r w:rsidR="00A6029C" w:rsidRPr="00FB6769">
        <w:rPr>
          <w:rFonts w:ascii="Times New Roman" w:eastAsia="Times New Roman" w:hAnsi="Times New Roman" w:cs="Times New Roman"/>
          <w:color w:val="000000" w:themeColor="text1"/>
        </w:rPr>
        <w:t>. In</w:t>
      </w:r>
      <w:r w:rsidR="00623295" w:rsidRPr="00FB6769">
        <w:rPr>
          <w:rFonts w:ascii="Times New Roman" w:eastAsia="Times New Roman" w:hAnsi="Times New Roman" w:cs="Times New Roman"/>
          <w:color w:val="000000" w:themeColor="text1"/>
        </w:rPr>
        <w:t xml:space="preserve"> </w:t>
      </w:r>
      <w:r w:rsidR="00A6029C" w:rsidRPr="00FB6769">
        <w:rPr>
          <w:rFonts w:ascii="Times New Roman" w:eastAsia="Times New Roman" w:hAnsi="Times New Roman" w:cs="Times New Roman"/>
          <w:color w:val="000000" w:themeColor="text1"/>
        </w:rPr>
        <w:t>the</w:t>
      </w:r>
      <w:r w:rsidR="00E34F34" w:rsidRPr="00FB6769">
        <w:rPr>
          <w:rFonts w:ascii="Times New Roman" w:eastAsia="Times New Roman" w:hAnsi="Times New Roman" w:cs="Times New Roman"/>
          <w:color w:val="000000" w:themeColor="text1"/>
        </w:rPr>
        <w:t xml:space="preserve"> </w:t>
      </w:r>
      <w:r w:rsidR="00A70EB5" w:rsidRPr="00FB6769">
        <w:rPr>
          <w:rFonts w:ascii="Times New Roman" w:eastAsia="Times New Roman" w:hAnsi="Times New Roman" w:cs="Times New Roman"/>
          <w:color w:val="000000" w:themeColor="text1"/>
        </w:rPr>
        <w:t>current</w:t>
      </w:r>
      <w:r w:rsidR="00A83D9E" w:rsidRPr="00FB6769">
        <w:rPr>
          <w:rFonts w:ascii="Times New Roman" w:eastAsia="Times New Roman" w:hAnsi="Times New Roman" w:cs="Times New Roman"/>
          <w:color w:val="000000" w:themeColor="text1"/>
        </w:rPr>
        <w:t xml:space="preserve"> global</w:t>
      </w:r>
      <w:r w:rsidR="00623295" w:rsidRPr="00FB6769">
        <w:rPr>
          <w:rFonts w:ascii="Times New Roman" w:eastAsia="Times New Roman" w:hAnsi="Times New Roman" w:cs="Times New Roman"/>
          <w:color w:val="000000" w:themeColor="text1"/>
        </w:rPr>
        <w:t xml:space="preserve"> </w:t>
      </w:r>
      <w:r w:rsidR="005B21C4">
        <w:rPr>
          <w:rFonts w:ascii="Times New Roman" w:eastAsia="Times New Roman" w:hAnsi="Times New Roman" w:cs="Times New Roman"/>
          <w:color w:val="000000" w:themeColor="text1"/>
        </w:rPr>
        <w:t>COVID-19</w:t>
      </w:r>
      <w:r w:rsidR="005B21C4" w:rsidRPr="00FB6769">
        <w:rPr>
          <w:rFonts w:ascii="Times New Roman" w:eastAsia="Times New Roman" w:hAnsi="Times New Roman" w:cs="Times New Roman"/>
          <w:color w:val="000000" w:themeColor="text1"/>
        </w:rPr>
        <w:t xml:space="preserve"> </w:t>
      </w:r>
      <w:r w:rsidR="00E34F34" w:rsidRPr="00FB6769">
        <w:rPr>
          <w:rFonts w:ascii="Times New Roman" w:eastAsia="Times New Roman" w:hAnsi="Times New Roman" w:cs="Times New Roman"/>
          <w:color w:val="000000" w:themeColor="text1"/>
        </w:rPr>
        <w:t xml:space="preserve">pandemic, our lives have been </w:t>
      </w:r>
      <w:r w:rsidR="0008191E" w:rsidRPr="00FB6769">
        <w:rPr>
          <w:rFonts w:ascii="Times New Roman" w:eastAsia="Times New Roman" w:hAnsi="Times New Roman" w:cs="Times New Roman"/>
          <w:color w:val="000000" w:themeColor="text1"/>
        </w:rPr>
        <w:t>profoundly</w:t>
      </w:r>
      <w:r w:rsidR="00AE2689" w:rsidRPr="00FB6769">
        <w:rPr>
          <w:rFonts w:ascii="Times New Roman" w:eastAsia="Times New Roman" w:hAnsi="Times New Roman" w:cs="Times New Roman"/>
          <w:color w:val="000000" w:themeColor="text1"/>
        </w:rPr>
        <w:t xml:space="preserve"> affected</w:t>
      </w:r>
      <w:r w:rsidR="00E34F34" w:rsidRPr="00FB6769">
        <w:rPr>
          <w:rFonts w:ascii="Times New Roman" w:eastAsia="Times New Roman" w:hAnsi="Times New Roman" w:cs="Times New Roman"/>
          <w:color w:val="000000" w:themeColor="text1"/>
        </w:rPr>
        <w:t xml:space="preserve"> by issues of contagion</w:t>
      </w:r>
      <w:r w:rsidR="00623295" w:rsidRPr="00FB6769">
        <w:rPr>
          <w:rFonts w:ascii="Times New Roman" w:eastAsia="Times New Roman" w:hAnsi="Times New Roman" w:cs="Times New Roman"/>
          <w:color w:val="000000" w:themeColor="text1"/>
        </w:rPr>
        <w:t>, health, mortality, and the deep systemic inequalities that shape embodied experience.</w:t>
      </w:r>
      <w:r w:rsidR="00A6029C" w:rsidRPr="00FB6769">
        <w:rPr>
          <w:rFonts w:ascii="Times New Roman" w:eastAsia="Times New Roman" w:hAnsi="Times New Roman" w:cs="Times New Roman"/>
          <w:color w:val="000000" w:themeColor="text1"/>
        </w:rPr>
        <w:t xml:space="preserve"> T</w:t>
      </w:r>
      <w:r w:rsidR="00E34F34" w:rsidRPr="00FB6769">
        <w:rPr>
          <w:rFonts w:ascii="Times New Roman" w:eastAsia="Times New Roman" w:hAnsi="Times New Roman" w:cs="Times New Roman"/>
          <w:color w:val="000000" w:themeColor="text1"/>
        </w:rPr>
        <w:t>hose of us in teaching profession</w:t>
      </w:r>
      <w:r w:rsidR="00A6029C" w:rsidRPr="00FB6769">
        <w:rPr>
          <w:rFonts w:ascii="Times New Roman" w:eastAsia="Times New Roman" w:hAnsi="Times New Roman" w:cs="Times New Roman"/>
          <w:color w:val="000000" w:themeColor="text1"/>
        </w:rPr>
        <w:t>s have</w:t>
      </w:r>
      <w:r w:rsidR="00AE2689" w:rsidRPr="00FB6769">
        <w:rPr>
          <w:rFonts w:ascii="Times New Roman" w:eastAsia="Times New Roman" w:hAnsi="Times New Roman" w:cs="Times New Roman"/>
          <w:color w:val="000000" w:themeColor="text1"/>
        </w:rPr>
        <w:t xml:space="preserve"> additionally</w:t>
      </w:r>
      <w:r w:rsidR="00A6029C" w:rsidRPr="00FB6769">
        <w:rPr>
          <w:rFonts w:ascii="Times New Roman" w:eastAsia="Times New Roman" w:hAnsi="Times New Roman" w:cs="Times New Roman"/>
          <w:color w:val="000000" w:themeColor="text1"/>
        </w:rPr>
        <w:t xml:space="preserve"> had to confront the pandemic’s complex effects on the relationship between wellbeing and pedagogy. We</w:t>
      </w:r>
      <w:r w:rsidR="00E34F34" w:rsidRPr="00FB6769">
        <w:rPr>
          <w:rFonts w:ascii="Times New Roman" w:eastAsia="Times New Roman" w:hAnsi="Times New Roman" w:cs="Times New Roman"/>
          <w:color w:val="000000" w:themeColor="text1"/>
        </w:rPr>
        <w:t xml:space="preserve"> may find ourselves </w:t>
      </w:r>
      <w:r w:rsidR="00B670B8">
        <w:rPr>
          <w:rFonts w:ascii="Times New Roman" w:eastAsia="Times New Roman" w:hAnsi="Times New Roman" w:cs="Times New Roman"/>
          <w:color w:val="000000" w:themeColor="text1"/>
        </w:rPr>
        <w:t xml:space="preserve">struggling to </w:t>
      </w:r>
      <w:r w:rsidR="00E34F34" w:rsidRPr="00FB6769">
        <w:rPr>
          <w:rFonts w:ascii="Times New Roman" w:eastAsia="Times New Roman" w:hAnsi="Times New Roman" w:cs="Times New Roman"/>
          <w:color w:val="000000" w:themeColor="text1"/>
        </w:rPr>
        <w:t>balanc</w:t>
      </w:r>
      <w:r w:rsidR="00B670B8">
        <w:rPr>
          <w:rFonts w:ascii="Times New Roman" w:eastAsia="Times New Roman" w:hAnsi="Times New Roman" w:cs="Times New Roman"/>
          <w:color w:val="000000" w:themeColor="text1"/>
        </w:rPr>
        <w:t xml:space="preserve">e </w:t>
      </w:r>
      <w:r w:rsidR="00E34F34" w:rsidRPr="00FB6769">
        <w:rPr>
          <w:rFonts w:ascii="Times New Roman" w:eastAsia="Times New Roman" w:hAnsi="Times New Roman" w:cs="Times New Roman"/>
          <w:color w:val="000000" w:themeColor="text1"/>
        </w:rPr>
        <w:t>our own wellbeing against our institution’s</w:t>
      </w:r>
      <w:r w:rsidR="00B670B8">
        <w:rPr>
          <w:rFonts w:ascii="Times New Roman" w:eastAsia="Times New Roman" w:hAnsi="Times New Roman" w:cs="Times New Roman"/>
          <w:color w:val="000000" w:themeColor="text1"/>
        </w:rPr>
        <w:t>,</w:t>
      </w:r>
      <w:r w:rsidR="00E34F34" w:rsidRPr="00FB6769">
        <w:rPr>
          <w:rFonts w:ascii="Times New Roman" w:eastAsia="Times New Roman" w:hAnsi="Times New Roman" w:cs="Times New Roman"/>
          <w:color w:val="000000" w:themeColor="text1"/>
        </w:rPr>
        <w:t xml:space="preserve"> advocating for our students’ wellbeing</w:t>
      </w:r>
      <w:r w:rsidR="00B670B8">
        <w:rPr>
          <w:rFonts w:ascii="Times New Roman" w:eastAsia="Times New Roman" w:hAnsi="Times New Roman" w:cs="Times New Roman"/>
          <w:color w:val="000000" w:themeColor="text1"/>
        </w:rPr>
        <w:t>,</w:t>
      </w:r>
      <w:r w:rsidR="00E34F34" w:rsidRPr="00FB6769">
        <w:rPr>
          <w:rFonts w:ascii="Times New Roman" w:eastAsia="Times New Roman" w:hAnsi="Times New Roman" w:cs="Times New Roman"/>
          <w:color w:val="000000" w:themeColor="text1"/>
        </w:rPr>
        <w:t xml:space="preserve"> and thinking in new ways about the relationship between labor</w:t>
      </w:r>
      <w:r w:rsidR="00623295" w:rsidRPr="00FB6769">
        <w:rPr>
          <w:rFonts w:ascii="Times New Roman" w:eastAsia="Times New Roman" w:hAnsi="Times New Roman" w:cs="Times New Roman"/>
          <w:color w:val="000000" w:themeColor="text1"/>
        </w:rPr>
        <w:t xml:space="preserve"> (our own and our students’) and mental and physical health</w:t>
      </w:r>
      <w:r w:rsidR="00E34F34" w:rsidRPr="00FB6769">
        <w:rPr>
          <w:rFonts w:ascii="Times New Roman" w:eastAsia="Times New Roman" w:hAnsi="Times New Roman" w:cs="Times New Roman"/>
          <w:color w:val="000000" w:themeColor="text1"/>
        </w:rPr>
        <w:t xml:space="preserve">. </w:t>
      </w:r>
    </w:p>
    <w:p w14:paraId="07E63A0A" w14:textId="0569F82F" w:rsidR="00A6029C" w:rsidRPr="00FB6769" w:rsidRDefault="00623295" w:rsidP="00D27526">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A</w:t>
      </w:r>
      <w:r w:rsidR="00FF7C52">
        <w:rPr>
          <w:rFonts w:ascii="Times New Roman" w:eastAsia="Times New Roman" w:hAnsi="Times New Roman" w:cs="Times New Roman"/>
          <w:color w:val="000000" w:themeColor="text1"/>
        </w:rPr>
        <w:t>s</w:t>
      </w:r>
      <w:r w:rsidR="00E34F34" w:rsidRPr="00FB6769">
        <w:rPr>
          <w:rFonts w:ascii="Times New Roman" w:eastAsia="Times New Roman" w:hAnsi="Times New Roman" w:cs="Times New Roman"/>
          <w:color w:val="000000" w:themeColor="text1"/>
        </w:rPr>
        <w:t xml:space="preserve"> </w:t>
      </w:r>
      <w:r w:rsidR="2AA0CE03" w:rsidRPr="2AA0CE03">
        <w:rPr>
          <w:rFonts w:ascii="Times New Roman" w:eastAsia="Times New Roman" w:hAnsi="Times New Roman" w:cs="Times New Roman"/>
          <w:color w:val="000000" w:themeColor="text1"/>
        </w:rPr>
        <w:t>we</w:t>
      </w:r>
      <w:r w:rsidR="00FF7C52">
        <w:rPr>
          <w:rFonts w:ascii="Times New Roman" w:eastAsia="Times New Roman" w:hAnsi="Times New Roman" w:cs="Times New Roman"/>
          <w:color w:val="000000" w:themeColor="text1"/>
        </w:rPr>
        <w:t xml:space="preserve">’re reminded of </w:t>
      </w:r>
      <w:r w:rsidR="2AA0CE03" w:rsidRPr="2AA0CE03">
        <w:rPr>
          <w:rFonts w:ascii="Times New Roman" w:eastAsia="Times New Roman" w:hAnsi="Times New Roman" w:cs="Times New Roman"/>
          <w:color w:val="000000" w:themeColor="text1"/>
        </w:rPr>
        <w:t>our</w:t>
      </w:r>
      <w:r w:rsidR="00D27526" w:rsidRPr="00FB6769">
        <w:rPr>
          <w:rFonts w:ascii="Times New Roman" w:eastAsia="Times New Roman" w:hAnsi="Times New Roman" w:cs="Times New Roman"/>
          <w:color w:val="000000" w:themeColor="text1"/>
        </w:rPr>
        <w:t xml:space="preserve"> vulnerability</w:t>
      </w:r>
      <w:r w:rsidR="00A70EB5" w:rsidRPr="00FB6769">
        <w:rPr>
          <w:rFonts w:ascii="Times New Roman" w:eastAsia="Times New Roman" w:hAnsi="Times New Roman" w:cs="Times New Roman"/>
          <w:color w:val="000000" w:themeColor="text1"/>
        </w:rPr>
        <w:t xml:space="preserve">, </w:t>
      </w:r>
      <w:r w:rsidR="00E34F34" w:rsidRPr="00FB6769">
        <w:rPr>
          <w:rFonts w:ascii="Times New Roman" w:eastAsia="Times New Roman" w:hAnsi="Times New Roman" w:cs="Times New Roman"/>
          <w:color w:val="000000" w:themeColor="text1"/>
        </w:rPr>
        <w:t xml:space="preserve">we </w:t>
      </w:r>
      <w:r w:rsidRPr="00FB6769">
        <w:rPr>
          <w:rFonts w:ascii="Times New Roman" w:eastAsia="Times New Roman" w:hAnsi="Times New Roman" w:cs="Times New Roman"/>
          <w:color w:val="000000" w:themeColor="text1"/>
        </w:rPr>
        <w:t xml:space="preserve">also </w:t>
      </w:r>
      <w:r w:rsidR="00D27526" w:rsidRPr="00FB6769">
        <w:rPr>
          <w:rFonts w:ascii="Times New Roman" w:eastAsia="Times New Roman" w:hAnsi="Times New Roman" w:cs="Times New Roman"/>
          <w:color w:val="000000" w:themeColor="text1"/>
        </w:rPr>
        <w:t xml:space="preserve">may </w:t>
      </w:r>
      <w:r w:rsidRPr="00FB6769">
        <w:rPr>
          <w:rFonts w:ascii="Times New Roman" w:eastAsia="Times New Roman" w:hAnsi="Times New Roman" w:cs="Times New Roman"/>
          <w:color w:val="000000" w:themeColor="text1"/>
        </w:rPr>
        <w:t xml:space="preserve">feel </w:t>
      </w:r>
      <w:r w:rsidR="00D27526" w:rsidRPr="00FB6769">
        <w:rPr>
          <w:rFonts w:ascii="Times New Roman" w:eastAsia="Times New Roman" w:hAnsi="Times New Roman" w:cs="Times New Roman"/>
          <w:color w:val="000000" w:themeColor="text1"/>
        </w:rPr>
        <w:t xml:space="preserve">more acutely </w:t>
      </w:r>
      <w:r w:rsidRPr="00FB6769">
        <w:rPr>
          <w:rFonts w:ascii="Times New Roman" w:eastAsia="Times New Roman" w:hAnsi="Times New Roman" w:cs="Times New Roman"/>
          <w:color w:val="000000" w:themeColor="text1"/>
        </w:rPr>
        <w:t>the value of the humanities</w:t>
      </w:r>
      <w:r w:rsidR="00D27526" w:rsidRPr="00FB6769">
        <w:rPr>
          <w:rFonts w:ascii="Times New Roman" w:eastAsia="Times New Roman" w:hAnsi="Times New Roman" w:cs="Times New Roman"/>
          <w:color w:val="000000" w:themeColor="text1"/>
        </w:rPr>
        <w:t xml:space="preserve"> and the arts</w:t>
      </w:r>
      <w:r w:rsidR="0008191E"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t>
      </w:r>
      <w:r w:rsidR="002A13F8" w:rsidRPr="00FB6769">
        <w:rPr>
          <w:rFonts w:ascii="Times New Roman" w:eastAsia="Times New Roman" w:hAnsi="Times New Roman" w:cs="Times New Roman"/>
          <w:color w:val="000000" w:themeColor="text1"/>
        </w:rPr>
        <w:t xml:space="preserve">We look to </w:t>
      </w:r>
      <w:r w:rsidR="007A0755" w:rsidRPr="00FB6769">
        <w:rPr>
          <w:rFonts w:ascii="Times New Roman" w:eastAsia="Times New Roman" w:hAnsi="Times New Roman" w:cs="Times New Roman"/>
          <w:color w:val="000000" w:themeColor="text1"/>
        </w:rPr>
        <w:t>writing, film</w:t>
      </w:r>
      <w:r w:rsidR="00A6029C" w:rsidRPr="00FB6769">
        <w:rPr>
          <w:rFonts w:ascii="Times New Roman" w:eastAsia="Times New Roman" w:hAnsi="Times New Roman" w:cs="Times New Roman"/>
          <w:color w:val="000000" w:themeColor="text1"/>
        </w:rPr>
        <w:t xml:space="preserve">, and music </w:t>
      </w:r>
      <w:r w:rsidR="002A13F8" w:rsidRPr="00FB6769">
        <w:rPr>
          <w:rFonts w:ascii="Times New Roman" w:eastAsia="Times New Roman" w:hAnsi="Times New Roman" w:cs="Times New Roman"/>
          <w:color w:val="000000" w:themeColor="text1"/>
        </w:rPr>
        <w:t>for</w:t>
      </w:r>
      <w:r w:rsidR="00A6029C" w:rsidRPr="00FB6769">
        <w:rPr>
          <w:rFonts w:ascii="Times New Roman" w:eastAsia="Times New Roman" w:hAnsi="Times New Roman" w:cs="Times New Roman"/>
          <w:color w:val="000000" w:themeColor="text1"/>
        </w:rPr>
        <w:t xml:space="preserve"> meaning and solace</w:t>
      </w:r>
      <w:r w:rsidR="002A13F8" w:rsidRPr="00FB6769">
        <w:rPr>
          <w:rFonts w:ascii="Times New Roman" w:eastAsia="Times New Roman" w:hAnsi="Times New Roman" w:cs="Times New Roman"/>
          <w:color w:val="000000" w:themeColor="text1"/>
        </w:rPr>
        <w:t xml:space="preserve">. We </w:t>
      </w:r>
      <w:r w:rsidR="2AA0CE03" w:rsidRPr="2AA0CE03">
        <w:rPr>
          <w:rFonts w:ascii="Times New Roman" w:eastAsia="Times New Roman" w:hAnsi="Times New Roman" w:cs="Times New Roman"/>
          <w:color w:val="000000" w:themeColor="text1"/>
        </w:rPr>
        <w:t xml:space="preserve">may </w:t>
      </w:r>
      <w:r w:rsidR="002A13F8" w:rsidRPr="00FB6769">
        <w:rPr>
          <w:rFonts w:ascii="Times New Roman" w:eastAsia="Times New Roman" w:hAnsi="Times New Roman" w:cs="Times New Roman"/>
          <w:color w:val="000000" w:themeColor="text1"/>
        </w:rPr>
        <w:t xml:space="preserve">look to the past for insight </w:t>
      </w:r>
      <w:r w:rsidR="00A70EB5" w:rsidRPr="00FB6769">
        <w:rPr>
          <w:rFonts w:ascii="Times New Roman" w:eastAsia="Times New Roman" w:hAnsi="Times New Roman" w:cs="Times New Roman"/>
          <w:color w:val="000000" w:themeColor="text1"/>
        </w:rPr>
        <w:t>into</w:t>
      </w:r>
      <w:r w:rsidR="002A13F8" w:rsidRPr="00FB6769">
        <w:rPr>
          <w:rFonts w:ascii="Times New Roman" w:eastAsia="Times New Roman" w:hAnsi="Times New Roman" w:cs="Times New Roman"/>
          <w:color w:val="000000" w:themeColor="text1"/>
        </w:rPr>
        <w:t xml:space="preserve"> the present: how did we get here, </w:t>
      </w:r>
      <w:r w:rsidR="00A70EB5" w:rsidRPr="00FB6769">
        <w:rPr>
          <w:rFonts w:ascii="Times New Roman" w:eastAsia="Times New Roman" w:hAnsi="Times New Roman" w:cs="Times New Roman"/>
          <w:color w:val="000000" w:themeColor="text1"/>
        </w:rPr>
        <w:t>and how do we move forward</w:t>
      </w:r>
      <w:r w:rsidR="002A13F8" w:rsidRPr="00FB6769">
        <w:rPr>
          <w:rFonts w:ascii="Times New Roman" w:eastAsia="Times New Roman" w:hAnsi="Times New Roman" w:cs="Times New Roman"/>
          <w:color w:val="000000" w:themeColor="text1"/>
        </w:rPr>
        <w:t>?</w:t>
      </w:r>
      <w:r w:rsidR="00A70EB5" w:rsidRPr="00FB6769">
        <w:rPr>
          <w:rFonts w:ascii="Times New Roman" w:eastAsia="Times New Roman" w:hAnsi="Times New Roman" w:cs="Times New Roman"/>
          <w:color w:val="000000" w:themeColor="text1"/>
        </w:rPr>
        <w:t xml:space="preserve"> As scholars of Romantic literature and culture, </w:t>
      </w:r>
      <w:r w:rsidR="00AE2689" w:rsidRPr="00FB6769">
        <w:rPr>
          <w:rFonts w:ascii="Times New Roman" w:eastAsia="Times New Roman" w:hAnsi="Times New Roman" w:cs="Times New Roman"/>
          <w:color w:val="000000" w:themeColor="text1"/>
        </w:rPr>
        <w:t xml:space="preserve">we know that the years between 1750 and 1850 were pivotal for shaping contemporary ideas about </w:t>
      </w:r>
      <w:r w:rsidR="008E05BA" w:rsidRPr="00FB6769">
        <w:rPr>
          <w:rFonts w:ascii="Times New Roman" w:eastAsia="Times New Roman" w:hAnsi="Times New Roman" w:cs="Times New Roman"/>
          <w:color w:val="000000" w:themeColor="text1"/>
        </w:rPr>
        <w:t>wellbeing, health, illness, and disability</w:t>
      </w:r>
      <w:r w:rsidR="00AE2689" w:rsidRPr="00FB6769">
        <w:rPr>
          <w:rFonts w:ascii="Times New Roman" w:eastAsia="Times New Roman" w:hAnsi="Times New Roman" w:cs="Times New Roman"/>
          <w:color w:val="000000" w:themeColor="text1"/>
        </w:rPr>
        <w:t xml:space="preserve">. </w:t>
      </w:r>
      <w:r w:rsidR="00716E39" w:rsidRPr="00FB6769">
        <w:rPr>
          <w:rFonts w:ascii="Times New Roman" w:eastAsia="Times New Roman" w:hAnsi="Times New Roman" w:cs="Times New Roman"/>
          <w:color w:val="000000" w:themeColor="text1"/>
        </w:rPr>
        <w:t xml:space="preserve">In this introductory essay, we </w:t>
      </w:r>
      <w:r w:rsidR="0033058F" w:rsidRPr="00FB6769">
        <w:rPr>
          <w:rFonts w:ascii="Times New Roman" w:eastAsia="Times New Roman" w:hAnsi="Times New Roman" w:cs="Times New Roman"/>
          <w:color w:val="000000" w:themeColor="text1"/>
        </w:rPr>
        <w:t>hope</w:t>
      </w:r>
      <w:r w:rsidR="00716E39" w:rsidRPr="00FB6769">
        <w:rPr>
          <w:rFonts w:ascii="Times New Roman" w:eastAsia="Times New Roman" w:hAnsi="Times New Roman" w:cs="Times New Roman"/>
          <w:color w:val="000000" w:themeColor="text1"/>
        </w:rPr>
        <w:t xml:space="preserve"> to show that the Romantic era can also offer </w:t>
      </w:r>
      <w:r w:rsidR="00BE0FAB" w:rsidRPr="00FB6769">
        <w:rPr>
          <w:rFonts w:ascii="Times New Roman" w:eastAsia="Times New Roman" w:hAnsi="Times New Roman" w:cs="Times New Roman"/>
          <w:color w:val="000000" w:themeColor="text1"/>
        </w:rPr>
        <w:t xml:space="preserve">resources for thinking about the </w:t>
      </w:r>
      <w:proofErr w:type="gramStart"/>
      <w:r w:rsidR="00BE0FAB" w:rsidRPr="00FB6769">
        <w:rPr>
          <w:rFonts w:ascii="Times New Roman" w:eastAsia="Times New Roman" w:hAnsi="Times New Roman" w:cs="Times New Roman"/>
          <w:color w:val="000000" w:themeColor="text1"/>
        </w:rPr>
        <w:t>particular intersection</w:t>
      </w:r>
      <w:proofErr w:type="gramEnd"/>
      <w:r w:rsidR="00BE0FAB" w:rsidRPr="00FB6769">
        <w:rPr>
          <w:rFonts w:ascii="Times New Roman" w:eastAsia="Times New Roman" w:hAnsi="Times New Roman" w:cs="Times New Roman"/>
          <w:color w:val="000000" w:themeColor="text1"/>
        </w:rPr>
        <w:t xml:space="preserve"> between wellbeing and pedagogy. Romantic thinkers mapped out territory</w:t>
      </w:r>
      <w:r w:rsidR="008D284F" w:rsidRPr="00FB6769">
        <w:rPr>
          <w:rFonts w:ascii="Times New Roman" w:eastAsia="Times New Roman" w:hAnsi="Times New Roman" w:cs="Times New Roman"/>
          <w:color w:val="000000" w:themeColor="text1"/>
        </w:rPr>
        <w:t xml:space="preserve"> we would do well to revisit</w:t>
      </w:r>
      <w:r w:rsidR="2AA0CE03" w:rsidRPr="2AA0CE03">
        <w:rPr>
          <w:rFonts w:ascii="Times New Roman" w:eastAsia="Times New Roman" w:hAnsi="Times New Roman" w:cs="Times New Roman"/>
          <w:color w:val="000000" w:themeColor="text1"/>
        </w:rPr>
        <w:t xml:space="preserve">, </w:t>
      </w:r>
      <w:r w:rsidR="0033058F" w:rsidRPr="00FB6769">
        <w:rPr>
          <w:rFonts w:ascii="Times New Roman" w:eastAsia="Times New Roman" w:hAnsi="Times New Roman" w:cs="Times New Roman"/>
          <w:color w:val="000000" w:themeColor="text1"/>
        </w:rPr>
        <w:t>scouting</w:t>
      </w:r>
      <w:r w:rsidR="000B1113" w:rsidRPr="00FB6769">
        <w:rPr>
          <w:rFonts w:ascii="Times New Roman" w:eastAsia="Times New Roman" w:hAnsi="Times New Roman" w:cs="Times New Roman"/>
          <w:color w:val="000000" w:themeColor="text1"/>
        </w:rPr>
        <w:t xml:space="preserve"> out</w:t>
      </w:r>
      <w:r w:rsidR="008D284F" w:rsidRPr="00FB6769">
        <w:rPr>
          <w:rFonts w:ascii="Times New Roman" w:eastAsia="Times New Roman" w:hAnsi="Times New Roman" w:cs="Times New Roman"/>
          <w:color w:val="000000" w:themeColor="text1"/>
        </w:rPr>
        <w:t xml:space="preserve"> the pit</w:t>
      </w:r>
      <w:r w:rsidR="008E05BA" w:rsidRPr="00FB6769">
        <w:rPr>
          <w:rFonts w:ascii="Times New Roman" w:eastAsia="Times New Roman" w:hAnsi="Times New Roman" w:cs="Times New Roman"/>
          <w:color w:val="000000" w:themeColor="text1"/>
        </w:rPr>
        <w:t xml:space="preserve">falls they dug for us </w:t>
      </w:r>
      <w:r w:rsidR="2AA0CE03" w:rsidRPr="2AA0CE03">
        <w:rPr>
          <w:rFonts w:ascii="Times New Roman" w:eastAsia="Times New Roman" w:hAnsi="Times New Roman" w:cs="Times New Roman"/>
          <w:color w:val="000000" w:themeColor="text1"/>
        </w:rPr>
        <w:t>and</w:t>
      </w:r>
      <w:r w:rsidR="0033058F" w:rsidRPr="00FB6769">
        <w:rPr>
          <w:rFonts w:ascii="Times New Roman" w:eastAsia="Times New Roman" w:hAnsi="Times New Roman" w:cs="Times New Roman"/>
          <w:color w:val="000000" w:themeColor="text1"/>
        </w:rPr>
        <w:t xml:space="preserve"> using their insights to help us </w:t>
      </w:r>
      <w:r w:rsidR="00FD36C4" w:rsidRPr="00FB6769">
        <w:rPr>
          <w:rFonts w:ascii="Times New Roman" w:eastAsia="Times New Roman" w:hAnsi="Times New Roman" w:cs="Times New Roman"/>
          <w:color w:val="000000" w:themeColor="text1"/>
        </w:rPr>
        <w:t xml:space="preserve">identify and </w:t>
      </w:r>
      <w:r w:rsidR="00813C9B" w:rsidRPr="00FB6769">
        <w:rPr>
          <w:rFonts w:ascii="Times New Roman" w:eastAsia="Times New Roman" w:hAnsi="Times New Roman" w:cs="Times New Roman"/>
          <w:color w:val="000000" w:themeColor="text1"/>
        </w:rPr>
        <w:t>avoid</w:t>
      </w:r>
      <w:r w:rsidR="0033058F" w:rsidRPr="00FB6769">
        <w:rPr>
          <w:rFonts w:ascii="Times New Roman" w:eastAsia="Times New Roman" w:hAnsi="Times New Roman" w:cs="Times New Roman"/>
          <w:color w:val="000000" w:themeColor="text1"/>
        </w:rPr>
        <w:t xml:space="preserve"> new ones</w:t>
      </w:r>
      <w:r w:rsidR="008E05BA" w:rsidRPr="00FB6769">
        <w:rPr>
          <w:rFonts w:ascii="Times New Roman" w:eastAsia="Times New Roman" w:hAnsi="Times New Roman" w:cs="Times New Roman"/>
          <w:color w:val="000000" w:themeColor="text1"/>
        </w:rPr>
        <w:t>.</w:t>
      </w:r>
    </w:p>
    <w:p w14:paraId="29AC13B1" w14:textId="66056B43" w:rsidR="00BB5CCC" w:rsidRPr="00FB6769" w:rsidRDefault="00BB5CCC" w:rsidP="0007775C">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lastRenderedPageBreak/>
        <w:t xml:space="preserve">To say that the Romantics believed wellbeing informed pedagogy is in some ways to state the obvious. In the </w:t>
      </w:r>
      <w:r w:rsidR="00877CDE" w:rsidRPr="00FB6769">
        <w:rPr>
          <w:rFonts w:ascii="Times New Roman" w:eastAsia="Times New Roman" w:hAnsi="Times New Roman" w:cs="Times New Roman"/>
          <w:color w:val="000000" w:themeColor="text1"/>
        </w:rPr>
        <w:t xml:space="preserve">“Preface </w:t>
      </w:r>
      <w:r w:rsidRPr="00FB6769">
        <w:rPr>
          <w:rFonts w:ascii="Times New Roman" w:eastAsia="Times New Roman" w:hAnsi="Times New Roman" w:cs="Times New Roman"/>
          <w:color w:val="000000" w:themeColor="text1"/>
        </w:rPr>
        <w:t>to</w:t>
      </w:r>
      <w:r w:rsidR="00877CDE" w:rsidRPr="00FB6769">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i/>
          <w:iCs/>
          <w:color w:val="000000" w:themeColor="text1"/>
        </w:rPr>
        <w:t xml:space="preserve">Lyrical Ballads </w:t>
      </w:r>
      <w:r w:rsidRPr="00FB6769">
        <w:rPr>
          <w:rFonts w:ascii="Times New Roman" w:eastAsia="Times New Roman" w:hAnsi="Times New Roman" w:cs="Times New Roman"/>
          <w:color w:val="000000" w:themeColor="text1"/>
        </w:rPr>
        <w:t>(1802),</w:t>
      </w:r>
      <w:r w:rsidR="00877CDE"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Wordsworth explains that poets can enlighten a reader’s understanding</w:t>
      </w:r>
      <w:r w:rsidR="00C12FD0"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provided the reader “is in a healthful state of association</w:t>
      </w:r>
      <w:r w:rsidR="2AA0CE03" w:rsidRPr="2AA0CE03">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w:t>
      </w:r>
      <w:r w:rsidR="2AA0CE03" w:rsidRPr="2AA0CE03">
        <w:rPr>
          <w:rFonts w:ascii="Times New Roman" w:eastAsia="Times New Roman" w:hAnsi="Times New Roman" w:cs="Times New Roman"/>
          <w:color w:val="000000" w:themeColor="text1"/>
        </w:rPr>
        <w:t xml:space="preserve"> and in “The Tables Turned,” Wordsworth posits that “spontaneous wisdom” is “breathed by health”—as if health were wisdom’s prerequisite</w:t>
      </w:r>
      <w:r w:rsidR="2AA0CE03" w:rsidRPr="00677559">
        <w:rPr>
          <w:rFonts w:ascii="Times New Roman" w:eastAsia="Times New Roman" w:hAnsi="Times New Roman" w:cs="Times New Roman"/>
          <w:color w:val="000000" w:themeColor="text1"/>
        </w:rPr>
        <w:t>.</w:t>
      </w:r>
      <w:r w:rsidR="005B21C4" w:rsidRPr="00677559">
        <w:rPr>
          <w:rStyle w:val="FootnoteReference"/>
          <w:rFonts w:ascii="Times New Roman" w:eastAsia="Times New Roman" w:hAnsi="Times New Roman" w:cs="Times New Roman"/>
          <w:color w:val="000000"/>
        </w:rPr>
        <w:footnoteReference w:id="2"/>
      </w:r>
      <w:r w:rsidR="2AA0CE03" w:rsidRPr="2AA0CE03">
        <w:rPr>
          <w:rFonts w:ascii="Times New Roman" w:eastAsia="Times New Roman" w:hAnsi="Times New Roman" w:cs="Times New Roman"/>
          <w:color w:val="000000" w:themeColor="text1"/>
        </w:rPr>
        <w:t> </w:t>
      </w:r>
      <w:r w:rsidRPr="00FB6769">
        <w:rPr>
          <w:rFonts w:ascii="Times New Roman" w:eastAsia="Times New Roman" w:hAnsi="Times New Roman" w:cs="Times New Roman"/>
          <w:color w:val="000000" w:themeColor="text1"/>
        </w:rPr>
        <w:t xml:space="preserve"> Contrarily, in Keats’s well-known “Vale of Soul-Making” letter, he suggests that good poetry, like life itself, is a pedagogical “hornbook” that depends on a </w:t>
      </w:r>
      <w:r w:rsidR="00B53F4D" w:rsidRPr="00FB6769">
        <w:rPr>
          <w:rFonts w:ascii="Times New Roman" w:eastAsia="Times New Roman" w:hAnsi="Times New Roman" w:cs="Times New Roman"/>
          <w:color w:val="000000" w:themeColor="text1"/>
        </w:rPr>
        <w:t xml:space="preserve">person’s </w:t>
      </w:r>
      <w:r w:rsidRPr="00FB6769">
        <w:rPr>
          <w:rFonts w:ascii="Times New Roman" w:eastAsia="Times New Roman" w:hAnsi="Times New Roman" w:cs="Times New Roman"/>
          <w:color w:val="000000" w:themeColor="text1"/>
        </w:rPr>
        <w:t>suffering through a “World of Pains and troubles.”</w:t>
      </w:r>
      <w:r w:rsidR="002E3D41" w:rsidRPr="00FB6769">
        <w:rPr>
          <w:rStyle w:val="FootnoteReference"/>
          <w:rFonts w:ascii="Times New Roman" w:eastAsia="Times New Roman" w:hAnsi="Times New Roman" w:cs="Times New Roman"/>
          <w:color w:val="000000" w:themeColor="text1"/>
        </w:rPr>
        <w:footnoteReference w:id="3"/>
      </w:r>
      <w:r w:rsidRPr="00FB6769">
        <w:rPr>
          <w:rFonts w:ascii="Times New Roman" w:eastAsia="Times New Roman" w:hAnsi="Times New Roman" w:cs="Times New Roman"/>
          <w:color w:val="000000" w:themeColor="text1"/>
        </w:rPr>
        <w:t xml:space="preserve"> Consider, too</w:t>
      </w:r>
      <w:r w:rsidR="00EB4027" w:rsidRPr="00FB6769">
        <w:rPr>
          <w:rFonts w:ascii="Times New Roman" w:eastAsia="Times New Roman" w:hAnsi="Times New Roman" w:cs="Times New Roman"/>
          <w:color w:val="000000" w:themeColor="text1"/>
        </w:rPr>
        <w:t>, texts</w:t>
      </w:r>
      <w:r w:rsidRPr="00FB6769">
        <w:rPr>
          <w:rFonts w:ascii="Times New Roman" w:eastAsia="Times New Roman" w:hAnsi="Times New Roman" w:cs="Times New Roman"/>
          <w:color w:val="000000" w:themeColor="text1"/>
        </w:rPr>
        <w:t xml:space="preserve"> </w:t>
      </w:r>
      <w:r w:rsidR="00721BEF" w:rsidRPr="00FB6769">
        <w:rPr>
          <w:rFonts w:ascii="Times New Roman" w:eastAsia="Times New Roman" w:hAnsi="Times New Roman" w:cs="Times New Roman"/>
          <w:color w:val="000000" w:themeColor="text1"/>
        </w:rPr>
        <w:t>like</w:t>
      </w:r>
      <w:r w:rsidRPr="00FB6769">
        <w:rPr>
          <w:rFonts w:ascii="Times New Roman" w:eastAsia="Times New Roman" w:hAnsi="Times New Roman" w:cs="Times New Roman"/>
          <w:color w:val="000000" w:themeColor="text1"/>
        </w:rPr>
        <w:t xml:space="preserve"> Samuel Taylor Coleridge’s “This Lime-Tree Bower My Prison,” which posit a complex, generative relationship between pain, experience, and </w:t>
      </w:r>
      <w:r w:rsidR="00721BEF" w:rsidRPr="00FB6769">
        <w:rPr>
          <w:rFonts w:ascii="Times New Roman" w:eastAsia="Times New Roman" w:hAnsi="Times New Roman" w:cs="Times New Roman"/>
          <w:color w:val="000000" w:themeColor="text1"/>
        </w:rPr>
        <w:t>knowledge</w:t>
      </w:r>
      <w:r w:rsidRPr="00FB6769">
        <w:rPr>
          <w:rFonts w:ascii="Times New Roman" w:eastAsia="Times New Roman" w:hAnsi="Times New Roman" w:cs="Times New Roman"/>
          <w:color w:val="000000" w:themeColor="text1"/>
        </w:rPr>
        <w:t>.</w:t>
      </w:r>
      <w:r w:rsidR="00721BEF" w:rsidRPr="00FB6769">
        <w:rPr>
          <w:rStyle w:val="FootnoteReference"/>
          <w:rFonts w:ascii="Times New Roman" w:eastAsia="Times New Roman" w:hAnsi="Times New Roman" w:cs="Times New Roman"/>
          <w:color w:val="000000" w:themeColor="text1"/>
        </w:rPr>
        <w:footnoteReference w:id="4"/>
      </w:r>
      <w:r w:rsidRPr="00FB6769">
        <w:rPr>
          <w:rFonts w:ascii="Times New Roman" w:eastAsia="Times New Roman" w:hAnsi="Times New Roman" w:cs="Times New Roman"/>
          <w:color w:val="000000" w:themeColor="text1"/>
        </w:rPr>
        <w:t xml:space="preserve"> Though they might have disagreed on the precise relationship between learning and wellbeing, Romantic writers took it for granted that there was one, and that it mattered.</w:t>
      </w:r>
      <w:r w:rsidR="00FB4AB7" w:rsidRPr="00FB6769">
        <w:rPr>
          <w:rFonts w:ascii="Times New Roman" w:eastAsia="Times New Roman" w:hAnsi="Times New Roman" w:cs="Times New Roman"/>
          <w:color w:val="000000" w:themeColor="text1"/>
        </w:rPr>
        <w:t xml:space="preserve"> </w:t>
      </w:r>
    </w:p>
    <w:p w14:paraId="3FFECE2A" w14:textId="7A9632C5" w:rsidR="00184693" w:rsidRPr="00FB6769" w:rsidRDefault="00BB5CCC" w:rsidP="00BB5CCC">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The period’s scholars</w:t>
      </w:r>
      <w:r w:rsidR="00E57106">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have recently started to follow suit</w:t>
      </w:r>
      <w:r w:rsidR="006B1EE9"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asking how </w:t>
      </w:r>
      <w:r w:rsidR="00D57D94" w:rsidRPr="00FB6769">
        <w:rPr>
          <w:rFonts w:ascii="Times New Roman" w:eastAsia="Times New Roman" w:hAnsi="Times New Roman" w:cs="Times New Roman"/>
          <w:color w:val="000000" w:themeColor="text1"/>
        </w:rPr>
        <w:t>wellbeing and education</w:t>
      </w:r>
      <w:r w:rsidRPr="00FB6769">
        <w:rPr>
          <w:rFonts w:ascii="Times New Roman" w:eastAsia="Times New Roman" w:hAnsi="Times New Roman" w:cs="Times New Roman"/>
          <w:color w:val="000000" w:themeColor="text1"/>
        </w:rPr>
        <w:t xml:space="preserve"> might be related.</w:t>
      </w:r>
      <w:r w:rsidR="005A526A" w:rsidRPr="00FB6769">
        <w:rPr>
          <w:rStyle w:val="FootnoteReference"/>
          <w:rFonts w:ascii="Times New Roman" w:eastAsia="Times New Roman" w:hAnsi="Times New Roman" w:cs="Times New Roman"/>
          <w:color w:val="000000" w:themeColor="text1"/>
        </w:rPr>
        <w:footnoteReference w:id="5"/>
      </w:r>
      <w:r w:rsidRPr="00FB6769">
        <w:rPr>
          <w:rFonts w:ascii="Times New Roman" w:eastAsia="Times New Roman" w:hAnsi="Times New Roman" w:cs="Times New Roman"/>
          <w:color w:val="000000" w:themeColor="text1"/>
        </w:rPr>
        <w:t xml:space="preserve"> </w:t>
      </w:r>
      <w:r w:rsidR="00E62653" w:rsidRPr="00FB6769">
        <w:rPr>
          <w:rFonts w:ascii="Times New Roman" w:eastAsia="Times New Roman" w:hAnsi="Times New Roman" w:cs="Times New Roman"/>
          <w:color w:val="000000" w:themeColor="text1"/>
        </w:rPr>
        <w:t>I</w:t>
      </w:r>
      <w:r w:rsidR="00F82C75" w:rsidRPr="00FB6769">
        <w:rPr>
          <w:rFonts w:ascii="Times New Roman" w:eastAsia="Times New Roman" w:hAnsi="Times New Roman" w:cs="Times New Roman"/>
          <w:color w:val="000000" w:themeColor="text1"/>
        </w:rPr>
        <w:t xml:space="preserve">n doing so, they </w:t>
      </w:r>
      <w:r w:rsidR="006B1EE9" w:rsidRPr="00FB6769">
        <w:rPr>
          <w:rFonts w:ascii="Times New Roman" w:eastAsia="Times New Roman" w:hAnsi="Times New Roman" w:cs="Times New Roman"/>
          <w:color w:val="000000" w:themeColor="text1"/>
        </w:rPr>
        <w:t>have moved</w:t>
      </w:r>
      <w:r w:rsidR="00F82C75" w:rsidRPr="00FB6769">
        <w:rPr>
          <w:rFonts w:ascii="Times New Roman" w:eastAsia="Times New Roman" w:hAnsi="Times New Roman" w:cs="Times New Roman"/>
          <w:color w:val="000000" w:themeColor="text1"/>
        </w:rPr>
        <w:t xml:space="preserve"> beyond </w:t>
      </w:r>
      <w:r w:rsidR="00270973" w:rsidRPr="00FB6769">
        <w:rPr>
          <w:rFonts w:ascii="Times New Roman" w:eastAsia="Times New Roman" w:hAnsi="Times New Roman" w:cs="Times New Roman"/>
          <w:color w:val="000000" w:themeColor="text1"/>
        </w:rPr>
        <w:t>questions</w:t>
      </w:r>
      <w:r w:rsidRPr="00FB6769">
        <w:rPr>
          <w:rFonts w:ascii="Times New Roman" w:eastAsia="Times New Roman" w:hAnsi="Times New Roman" w:cs="Times New Roman"/>
          <w:color w:val="000000" w:themeColor="text1"/>
        </w:rPr>
        <w:t xml:space="preserve"> </w:t>
      </w:r>
      <w:r w:rsidR="00270973" w:rsidRPr="00FB6769">
        <w:rPr>
          <w:rFonts w:ascii="Times New Roman" w:eastAsia="Times New Roman" w:hAnsi="Times New Roman" w:cs="Times New Roman"/>
          <w:color w:val="000000" w:themeColor="text1"/>
        </w:rPr>
        <w:t>about</w:t>
      </w:r>
      <w:r w:rsidRPr="00FB6769">
        <w:rPr>
          <w:rFonts w:ascii="Times New Roman" w:eastAsia="Times New Roman" w:hAnsi="Times New Roman" w:cs="Times New Roman"/>
          <w:color w:val="000000" w:themeColor="text1"/>
        </w:rPr>
        <w:t xml:space="preserve"> </w:t>
      </w:r>
      <w:r w:rsidR="00F82C75" w:rsidRPr="00FB6769">
        <w:rPr>
          <w:rFonts w:ascii="Times New Roman" w:eastAsia="Times New Roman" w:hAnsi="Times New Roman" w:cs="Times New Roman"/>
          <w:color w:val="000000" w:themeColor="text1"/>
        </w:rPr>
        <w:t xml:space="preserve">art’s therapeutic and pedagogical power </w:t>
      </w:r>
      <w:r w:rsidR="006B1EE9" w:rsidRPr="00FB6769">
        <w:rPr>
          <w:rFonts w:ascii="Times New Roman" w:eastAsia="Times New Roman" w:hAnsi="Times New Roman" w:cs="Times New Roman"/>
          <w:color w:val="000000" w:themeColor="text1"/>
        </w:rPr>
        <w:t>that</w:t>
      </w:r>
      <w:r w:rsidR="00F82C75" w:rsidRPr="00FB6769">
        <w:rPr>
          <w:rFonts w:ascii="Times New Roman" w:eastAsia="Times New Roman" w:hAnsi="Times New Roman" w:cs="Times New Roman"/>
          <w:color w:val="000000" w:themeColor="text1"/>
        </w:rPr>
        <w:t xml:space="preserve"> have</w:t>
      </w:r>
      <w:r w:rsidRPr="00FB6769">
        <w:rPr>
          <w:rFonts w:ascii="Times New Roman" w:eastAsia="Times New Roman" w:hAnsi="Times New Roman" w:cs="Times New Roman"/>
          <w:color w:val="000000" w:themeColor="text1"/>
        </w:rPr>
        <w:t xml:space="preserve"> </w:t>
      </w:r>
      <w:r w:rsidR="008A7663" w:rsidRPr="00FB6769">
        <w:rPr>
          <w:rFonts w:ascii="Times New Roman" w:eastAsia="Times New Roman" w:hAnsi="Times New Roman" w:cs="Times New Roman"/>
          <w:color w:val="000000" w:themeColor="text1"/>
        </w:rPr>
        <w:t>interested</w:t>
      </w:r>
      <w:r w:rsidRPr="00FB6769">
        <w:rPr>
          <w:rFonts w:ascii="Times New Roman" w:eastAsia="Times New Roman" w:hAnsi="Times New Roman" w:cs="Times New Roman"/>
          <w:color w:val="000000" w:themeColor="text1"/>
        </w:rPr>
        <w:t xml:space="preserve"> </w:t>
      </w:r>
      <w:r w:rsidR="00F82C75" w:rsidRPr="00FB6769">
        <w:rPr>
          <w:rFonts w:ascii="Times New Roman" w:eastAsia="Times New Roman" w:hAnsi="Times New Roman" w:cs="Times New Roman"/>
          <w:color w:val="000000" w:themeColor="text1"/>
        </w:rPr>
        <w:t>Romanticists</w:t>
      </w:r>
      <w:r w:rsidRPr="00FB6769">
        <w:rPr>
          <w:rFonts w:ascii="Times New Roman" w:eastAsia="Times New Roman" w:hAnsi="Times New Roman" w:cs="Times New Roman"/>
          <w:color w:val="000000" w:themeColor="text1"/>
        </w:rPr>
        <w:t xml:space="preserve"> since New Criticism</w:t>
      </w:r>
      <w:r w:rsidR="00E62653" w:rsidRPr="00FB6769">
        <w:rPr>
          <w:rFonts w:ascii="Times New Roman" w:eastAsia="Times New Roman" w:hAnsi="Times New Roman" w:cs="Times New Roman"/>
          <w:color w:val="000000" w:themeColor="text1"/>
        </w:rPr>
        <w:t>.</w:t>
      </w:r>
      <w:r w:rsidR="00A27933" w:rsidRPr="00FB6769">
        <w:rPr>
          <w:rStyle w:val="FootnoteReference"/>
          <w:rFonts w:ascii="Times New Roman" w:eastAsia="Times New Roman" w:hAnsi="Times New Roman" w:cs="Times New Roman"/>
          <w:color w:val="000000" w:themeColor="text1"/>
        </w:rPr>
        <w:footnoteReference w:id="6"/>
      </w:r>
      <w:r w:rsidR="00F82C75" w:rsidRPr="00FB6769">
        <w:rPr>
          <w:rFonts w:ascii="Times New Roman" w:eastAsia="Times New Roman" w:hAnsi="Times New Roman" w:cs="Times New Roman"/>
          <w:color w:val="000000" w:themeColor="text1"/>
        </w:rPr>
        <w:t xml:space="preserve"> I</w:t>
      </w:r>
      <w:r w:rsidRPr="00FB6769">
        <w:rPr>
          <w:rFonts w:ascii="Times New Roman" w:eastAsia="Times New Roman" w:hAnsi="Times New Roman" w:cs="Times New Roman"/>
          <w:color w:val="000000" w:themeColor="text1"/>
        </w:rPr>
        <w:t>n the past two decades</w:t>
      </w:r>
      <w:r w:rsidR="00F82C75"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t>
      </w:r>
      <w:r w:rsidR="004223E8" w:rsidRPr="00FB6769">
        <w:rPr>
          <w:rFonts w:ascii="Times New Roman" w:eastAsia="Times New Roman" w:hAnsi="Times New Roman" w:cs="Times New Roman"/>
          <w:color w:val="000000" w:themeColor="text1"/>
        </w:rPr>
        <w:t xml:space="preserve">critics </w:t>
      </w:r>
      <w:r w:rsidR="00FD4CAB" w:rsidRPr="00FB6769">
        <w:rPr>
          <w:rFonts w:ascii="Times New Roman" w:eastAsia="Times New Roman" w:hAnsi="Times New Roman" w:cs="Times New Roman"/>
          <w:color w:val="000000" w:themeColor="text1"/>
        </w:rPr>
        <w:t>have</w:t>
      </w:r>
      <w:r w:rsidRPr="00FB6769">
        <w:rPr>
          <w:rFonts w:ascii="Times New Roman" w:eastAsia="Times New Roman" w:hAnsi="Times New Roman" w:cs="Times New Roman"/>
          <w:color w:val="000000" w:themeColor="text1"/>
        </w:rPr>
        <w:t xml:space="preserve"> </w:t>
      </w:r>
      <w:r w:rsidR="00E62653" w:rsidRPr="00FB6769">
        <w:rPr>
          <w:rFonts w:ascii="Times New Roman" w:eastAsia="Times New Roman" w:hAnsi="Times New Roman" w:cs="Times New Roman"/>
          <w:color w:val="000000" w:themeColor="text1"/>
        </w:rPr>
        <w:t>expanded their approach</w:t>
      </w:r>
      <w:r w:rsidRPr="00FB6769">
        <w:rPr>
          <w:rFonts w:ascii="Times New Roman" w:eastAsia="Times New Roman" w:hAnsi="Times New Roman" w:cs="Times New Roman"/>
          <w:color w:val="000000" w:themeColor="text1"/>
        </w:rPr>
        <w:t xml:space="preserve"> to wellbeing, </w:t>
      </w:r>
      <w:r w:rsidR="00B9569F" w:rsidRPr="00FB6769">
        <w:rPr>
          <w:rFonts w:ascii="Times New Roman" w:eastAsia="Times New Roman" w:hAnsi="Times New Roman" w:cs="Times New Roman"/>
          <w:color w:val="000000" w:themeColor="text1"/>
        </w:rPr>
        <w:t xml:space="preserve">often </w:t>
      </w:r>
      <w:r w:rsidRPr="00FB6769">
        <w:rPr>
          <w:rFonts w:ascii="Times New Roman" w:eastAsia="Times New Roman" w:hAnsi="Times New Roman" w:cs="Times New Roman"/>
          <w:color w:val="000000" w:themeColor="text1"/>
        </w:rPr>
        <w:t>by exploring embodiment</w:t>
      </w:r>
      <w:r w:rsidR="001309DE" w:rsidRPr="00FB6769">
        <w:rPr>
          <w:rFonts w:ascii="Times New Roman" w:eastAsia="Times New Roman" w:hAnsi="Times New Roman" w:cs="Times New Roman"/>
          <w:color w:val="000000" w:themeColor="text1"/>
        </w:rPr>
        <w:t xml:space="preserve">, </w:t>
      </w:r>
      <w:r w:rsidR="00E62653" w:rsidRPr="00FB6769">
        <w:rPr>
          <w:rFonts w:ascii="Times New Roman" w:eastAsia="Times New Roman" w:hAnsi="Times New Roman" w:cs="Times New Roman"/>
          <w:color w:val="000000" w:themeColor="text1"/>
        </w:rPr>
        <w:t xml:space="preserve">a topic </w:t>
      </w:r>
      <w:r w:rsidR="00270973" w:rsidRPr="00FB6769">
        <w:rPr>
          <w:rFonts w:ascii="Times New Roman" w:eastAsia="Times New Roman" w:hAnsi="Times New Roman" w:cs="Times New Roman"/>
          <w:color w:val="000000" w:themeColor="text1"/>
        </w:rPr>
        <w:t xml:space="preserve">previously deemed </w:t>
      </w:r>
      <w:r w:rsidRPr="00FB6769">
        <w:rPr>
          <w:rFonts w:ascii="Times New Roman" w:eastAsia="Times New Roman" w:hAnsi="Times New Roman" w:cs="Times New Roman"/>
          <w:color w:val="000000" w:themeColor="text1"/>
        </w:rPr>
        <w:t>“unromantic.”</w:t>
      </w:r>
      <w:r w:rsidR="00ED3B29" w:rsidRPr="00FB6769">
        <w:rPr>
          <w:rStyle w:val="FootnoteReference"/>
          <w:rFonts w:ascii="Times New Roman" w:eastAsia="Times New Roman" w:hAnsi="Times New Roman" w:cs="Times New Roman"/>
          <w:color w:val="000000" w:themeColor="text1"/>
        </w:rPr>
        <w:footnoteReference w:id="7"/>
      </w:r>
      <w:r w:rsidR="00C64C48" w:rsidRPr="00FB6769">
        <w:rPr>
          <w:rFonts w:ascii="Times New Roman" w:eastAsia="Times New Roman" w:hAnsi="Times New Roman" w:cs="Times New Roman"/>
          <w:color w:val="000000" w:themeColor="text1"/>
        </w:rPr>
        <w:t xml:space="preserve"> For example, i</w:t>
      </w:r>
      <w:r w:rsidRPr="00FB6769">
        <w:rPr>
          <w:rFonts w:ascii="Times New Roman" w:eastAsia="Times New Roman" w:hAnsi="Times New Roman" w:cs="Times New Roman"/>
          <w:color w:val="000000" w:themeColor="text1"/>
        </w:rPr>
        <w:t xml:space="preserve">nterdisciplinary fields like disability studies, literature and medicine, and narrative medicine have used new lenses to focus </w:t>
      </w:r>
      <w:r w:rsidRPr="00FB6769">
        <w:rPr>
          <w:rFonts w:ascii="Times New Roman" w:eastAsia="Times New Roman" w:hAnsi="Times New Roman" w:cs="Times New Roman"/>
          <w:color w:val="000000" w:themeColor="text1"/>
        </w:rPr>
        <w:lastRenderedPageBreak/>
        <w:t xml:space="preserve">our attention on the disabled, ill, and injured </w:t>
      </w:r>
      <w:proofErr w:type="spellStart"/>
      <w:r w:rsidR="003B5890" w:rsidRPr="00FB6769">
        <w:rPr>
          <w:rFonts w:ascii="Times New Roman" w:eastAsia="Times New Roman" w:hAnsi="Times New Roman" w:cs="Times New Roman"/>
          <w:color w:val="000000" w:themeColor="text1"/>
        </w:rPr>
        <w:t>bodyminds</w:t>
      </w:r>
      <w:proofErr w:type="spellEnd"/>
      <w:r w:rsidR="003B5890"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that were there all along in </w:t>
      </w:r>
      <w:r w:rsidR="00CE4E72" w:rsidRPr="00FB6769">
        <w:rPr>
          <w:rFonts w:ascii="Times New Roman" w:eastAsia="Times New Roman" w:hAnsi="Times New Roman" w:cs="Times New Roman"/>
          <w:color w:val="000000" w:themeColor="text1"/>
        </w:rPr>
        <w:t>R</w:t>
      </w:r>
      <w:r w:rsidRPr="00FB6769">
        <w:rPr>
          <w:rFonts w:ascii="Times New Roman" w:eastAsia="Times New Roman" w:hAnsi="Times New Roman" w:cs="Times New Roman"/>
          <w:color w:val="000000" w:themeColor="text1"/>
        </w:rPr>
        <w:t>omantic writing.</w:t>
      </w:r>
      <w:r w:rsidR="00B670B8" w:rsidRPr="00B670B8">
        <w:rPr>
          <w:rStyle w:val="FootnoteReference"/>
          <w:rFonts w:ascii="Times New Roman" w:eastAsia="Times New Roman" w:hAnsi="Times New Roman" w:cs="Times New Roman"/>
          <w:color w:val="000000" w:themeColor="text1"/>
        </w:rPr>
        <w:t xml:space="preserve"> </w:t>
      </w:r>
      <w:r w:rsidR="00B670B8" w:rsidRPr="00FB6769">
        <w:rPr>
          <w:rStyle w:val="FootnoteReference"/>
          <w:rFonts w:ascii="Times New Roman" w:eastAsia="Times New Roman" w:hAnsi="Times New Roman" w:cs="Times New Roman"/>
          <w:color w:val="000000" w:themeColor="text1"/>
        </w:rPr>
        <w:footnoteReference w:id="8"/>
      </w:r>
      <w:r w:rsidR="00B670B8"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 </w:t>
      </w:r>
      <w:r w:rsidR="00C64C48" w:rsidRPr="00FB6769">
        <w:rPr>
          <w:rFonts w:ascii="Times New Roman" w:eastAsia="Times New Roman" w:hAnsi="Times New Roman" w:cs="Times New Roman"/>
          <w:color w:val="000000" w:themeColor="text1"/>
        </w:rPr>
        <w:t>Scholars have also reassessed the ways in which concepts like the imagination and the sublime may be understood as embodied for Romantic-era authors.</w:t>
      </w:r>
      <w:r w:rsidR="00C64C48" w:rsidRPr="00FB6769">
        <w:rPr>
          <w:rStyle w:val="FootnoteReference"/>
          <w:rFonts w:ascii="Times New Roman" w:eastAsia="Times New Roman" w:hAnsi="Times New Roman" w:cs="Times New Roman"/>
          <w:color w:val="000000" w:themeColor="text1"/>
        </w:rPr>
        <w:footnoteReference w:id="9"/>
      </w:r>
      <w:r w:rsidR="00C64C48" w:rsidRPr="00FB6769">
        <w:rPr>
          <w:rFonts w:ascii="Times New Roman" w:eastAsia="Times New Roman" w:hAnsi="Times New Roman" w:cs="Times New Roman"/>
          <w:color w:val="000000" w:themeColor="text1"/>
        </w:rPr>
        <w:t xml:space="preserve"> </w:t>
      </w:r>
    </w:p>
    <w:p w14:paraId="2F0DA433" w14:textId="4EB6031B" w:rsidR="00020AEA" w:rsidRPr="00020AEA" w:rsidRDefault="2AA0CE03" w:rsidP="00033D3B">
      <w:pPr>
        <w:spacing w:line="480" w:lineRule="auto"/>
        <w:ind w:firstLine="720"/>
        <w:rPr>
          <w:rFonts w:ascii="Times New Roman" w:eastAsia="Times New Roman" w:hAnsi="Times New Roman" w:cs="Times New Roman"/>
        </w:rPr>
      </w:pPr>
      <w:r w:rsidRPr="2AA0CE03">
        <w:rPr>
          <w:rFonts w:ascii="Times New Roman" w:eastAsia="Times New Roman" w:hAnsi="Times New Roman" w:cs="Times New Roman"/>
          <w:color w:val="000000" w:themeColor="text1"/>
        </w:rPr>
        <w:t xml:space="preserve">Further, Bigger 6 and the V21 Collective have called us to remember that the question of </w:t>
      </w:r>
      <w:r w:rsidRPr="2AA0CE03">
        <w:rPr>
          <w:rFonts w:ascii="Times New Roman" w:eastAsia="Times New Roman" w:hAnsi="Times New Roman" w:cs="Times New Roman"/>
          <w:i/>
          <w:iCs/>
          <w:color w:val="000000" w:themeColor="text1"/>
        </w:rPr>
        <w:t>whose</w:t>
      </w:r>
      <w:r w:rsidRPr="2AA0CE03">
        <w:rPr>
          <w:rFonts w:ascii="Times New Roman" w:eastAsia="Times New Roman" w:hAnsi="Times New Roman" w:cs="Times New Roman"/>
          <w:color w:val="000000" w:themeColor="text1"/>
        </w:rPr>
        <w:t xml:space="preserve"> bodymind always matters</w:t>
      </w:r>
      <w:r w:rsidR="00905742" w:rsidRPr="00FB6769">
        <w:rPr>
          <w:rFonts w:ascii="Times New Roman" w:eastAsia="Times New Roman" w:hAnsi="Times New Roman" w:cs="Times New Roman"/>
          <w:color w:val="000000"/>
        </w:rPr>
        <w:t xml:space="preserve">. The </w:t>
      </w:r>
      <w:r w:rsidRPr="2AA0CE03">
        <w:rPr>
          <w:rFonts w:ascii="Times New Roman" w:eastAsia="Times New Roman" w:hAnsi="Times New Roman" w:cs="Times New Roman"/>
          <w:color w:val="000000" w:themeColor="text1"/>
        </w:rPr>
        <w:t>canon as it emerged in the Victorian era occluded the voices of marginalized people that we must foreground to understand the stakes of Romanticism’s conceptual preoccupations. In focusing on British Romanticism, this vo</w:t>
      </w:r>
      <w:r w:rsidR="006164F1">
        <w:rPr>
          <w:rFonts w:ascii="Times New Roman" w:eastAsia="Times New Roman" w:hAnsi="Times New Roman" w:cs="Times New Roman"/>
          <w:color w:val="000000" w:themeColor="text1"/>
        </w:rPr>
        <w:t>l</w:t>
      </w:r>
      <w:r w:rsidRPr="2AA0CE03">
        <w:rPr>
          <w:rFonts w:ascii="Times New Roman" w:eastAsia="Times New Roman" w:hAnsi="Times New Roman" w:cs="Times New Roman"/>
          <w:color w:val="000000" w:themeColor="text1"/>
        </w:rPr>
        <w:t xml:space="preserve">ume considers the decades during which a rising medical profession helped </w:t>
      </w:r>
      <w:r w:rsidR="00905742" w:rsidRPr="00FB6769">
        <w:rPr>
          <w:rFonts w:ascii="Times New Roman" w:eastAsia="Times New Roman" w:hAnsi="Times New Roman" w:cs="Times New Roman"/>
          <w:color w:val="000000"/>
          <w:shd w:val="clear" w:color="auto" w:fill="FFFFFF"/>
        </w:rPr>
        <w:t>consolidate</w:t>
      </w:r>
      <w:r w:rsidRPr="2AA0CE03">
        <w:rPr>
          <w:rFonts w:ascii="Times New Roman" w:eastAsia="Times New Roman" w:hAnsi="Times New Roman" w:cs="Times New Roman"/>
          <w:color w:val="000000" w:themeColor="text1"/>
        </w:rPr>
        <w:t xml:space="preserve"> bodily norms as well as what Rosemarie Garland-Thomson calls the “normate”: “the corporeal incarnation of culture's collective, unmarked, normative characteristics.”</w:t>
      </w:r>
      <w:r w:rsidR="00883D1E" w:rsidRPr="00FB6769">
        <w:rPr>
          <w:rStyle w:val="FootnoteReference"/>
          <w:rFonts w:ascii="Times New Roman" w:eastAsia="Times New Roman" w:hAnsi="Times New Roman" w:cs="Times New Roman"/>
          <w:color w:val="000000"/>
          <w:shd w:val="clear" w:color="auto" w:fill="FFFFFF"/>
        </w:rPr>
        <w:footnoteReference w:id="10"/>
      </w:r>
      <w:r w:rsidRPr="2AA0CE03">
        <w:rPr>
          <w:rFonts w:ascii="Times New Roman" w:eastAsia="Times New Roman" w:hAnsi="Times New Roman" w:cs="Times New Roman"/>
          <w:color w:val="000000" w:themeColor="text1"/>
        </w:rPr>
        <w:t xml:space="preserve"> While oppressive structures of race, disability, and gender predate the nineteenth century, the rise of professional medicine during </w:t>
      </w:r>
      <w:r w:rsidR="00905742" w:rsidRPr="00FB6769">
        <w:rPr>
          <w:rFonts w:ascii="Times New Roman" w:eastAsia="Times New Roman" w:hAnsi="Times New Roman" w:cs="Times New Roman"/>
          <w:color w:val="000000"/>
        </w:rPr>
        <w:t>the Romantic era</w:t>
      </w:r>
      <w:r w:rsidRPr="2AA0CE03">
        <w:rPr>
          <w:rFonts w:ascii="Times New Roman" w:eastAsia="Times New Roman" w:hAnsi="Times New Roman" w:cs="Times New Roman"/>
          <w:color w:val="000000" w:themeColor="text1"/>
        </w:rPr>
        <w:t xml:space="preserve"> gave them a destructive scientific legitimacy. </w:t>
      </w:r>
      <w:r w:rsidR="001533D6">
        <w:rPr>
          <w:rFonts w:ascii="Times New Roman" w:eastAsia="Times New Roman" w:hAnsi="Times New Roman" w:cs="Times New Roman"/>
          <w:color w:val="000000" w:themeColor="text1"/>
        </w:rPr>
        <w:t>During the era</w:t>
      </w:r>
      <w:r w:rsidRPr="2AA0CE03">
        <w:rPr>
          <w:rFonts w:ascii="Times New Roman" w:eastAsia="Times New Roman" w:hAnsi="Times New Roman" w:cs="Times New Roman"/>
          <w:color w:val="000000" w:themeColor="text1"/>
        </w:rPr>
        <w:t xml:space="preserve">, </w:t>
      </w:r>
      <w:r w:rsidR="003B60AC">
        <w:rPr>
          <w:rFonts w:ascii="Times New Roman" w:eastAsia="Times New Roman" w:hAnsi="Times New Roman" w:cs="Times New Roman"/>
          <w:color w:val="000000" w:themeColor="text1"/>
        </w:rPr>
        <w:t>physicians</w:t>
      </w:r>
      <w:r w:rsidRPr="2AA0CE03">
        <w:rPr>
          <w:rFonts w:ascii="Times New Roman" w:eastAsia="Times New Roman" w:hAnsi="Times New Roman" w:cs="Times New Roman"/>
          <w:color w:val="000000" w:themeColor="text1"/>
        </w:rPr>
        <w:t xml:space="preserve"> </w:t>
      </w:r>
      <w:r w:rsidR="001533D6">
        <w:rPr>
          <w:rFonts w:ascii="Times New Roman" w:eastAsia="Times New Roman" w:hAnsi="Times New Roman" w:cs="Times New Roman"/>
          <w:color w:val="000000" w:themeColor="text1"/>
        </w:rPr>
        <w:t>worked</w:t>
      </w:r>
      <w:r w:rsidRPr="2AA0CE03">
        <w:rPr>
          <w:rFonts w:ascii="Times New Roman" w:eastAsia="Times New Roman" w:hAnsi="Times New Roman" w:cs="Times New Roman"/>
          <w:color w:val="000000" w:themeColor="text1"/>
        </w:rPr>
        <w:t xml:space="preserve"> to justify the ideas that disabled bodies should be cured and that non-white and non-male bodies were designed to be, in different ways, subjugated.</w:t>
      </w:r>
    </w:p>
    <w:p w14:paraId="3960F658" w14:textId="07843B35" w:rsidR="00020AEA" w:rsidRPr="00020AEA" w:rsidRDefault="2AA0CE03" w:rsidP="00020AEA">
      <w:pPr>
        <w:spacing w:line="480" w:lineRule="auto"/>
        <w:ind w:firstLine="720"/>
        <w:rPr>
          <w:rFonts w:ascii="Times New Roman" w:eastAsia="Times New Roman" w:hAnsi="Times New Roman" w:cs="Times New Roman"/>
        </w:rPr>
      </w:pPr>
      <w:r w:rsidRPr="2AA0CE03">
        <w:rPr>
          <w:rFonts w:ascii="Times New Roman" w:eastAsia="Times New Roman" w:hAnsi="Times New Roman" w:cs="Times New Roman"/>
          <w:color w:val="000000" w:themeColor="text1"/>
        </w:rPr>
        <w:t>Yet in the decades leading to the consolidation of these violent norms, authors also explored a variety of approaches to wellbeing that we can now recognize as distinct a</w:t>
      </w:r>
      <w:r w:rsidR="00905742" w:rsidRPr="00FB6769">
        <w:rPr>
          <w:rFonts w:ascii="Times New Roman" w:eastAsia="Times New Roman" w:hAnsi="Times New Roman" w:cs="Times New Roman"/>
          <w:color w:val="000000"/>
          <w:shd w:val="clear" w:color="auto" w:fill="FFFFFF"/>
        </w:rPr>
        <w:t>lternatives</w:t>
      </w:r>
      <w:r w:rsidRPr="2AA0CE03">
        <w:rPr>
          <w:rFonts w:ascii="Times New Roman" w:eastAsia="Times New Roman" w:hAnsi="Times New Roman" w:cs="Times New Roman"/>
          <w:color w:val="000000" w:themeColor="text1"/>
        </w:rPr>
        <w:t xml:space="preserve">—from Thomas Beddoes’s conception of “health” as a functional and aesthetic </w:t>
      </w:r>
      <w:r w:rsidRPr="2AA0CE03">
        <w:rPr>
          <w:rFonts w:ascii="Times New Roman" w:eastAsia="Times New Roman" w:hAnsi="Times New Roman" w:cs="Times New Roman"/>
          <w:color w:val="000000" w:themeColor="text1"/>
        </w:rPr>
        <w:lastRenderedPageBreak/>
        <w:t>category, to Charles Lamb’s embrace of non-normative embodiment, to Dorothy Wordsworth’s negotiation of chronic illness.</w:t>
      </w:r>
      <w:r w:rsidR="00905742" w:rsidRPr="00FB6769">
        <w:rPr>
          <w:rStyle w:val="FootnoteReference"/>
          <w:rFonts w:ascii="Times New Roman" w:eastAsia="Times New Roman" w:hAnsi="Times New Roman" w:cs="Times New Roman"/>
          <w:color w:val="000000"/>
          <w:shd w:val="clear" w:color="auto" w:fill="FFFFFF"/>
        </w:rPr>
        <w:footnoteReference w:id="11"/>
      </w:r>
      <w:r w:rsidRPr="2AA0CE03">
        <w:rPr>
          <w:rFonts w:ascii="Times New Roman" w:eastAsia="Times New Roman" w:hAnsi="Times New Roman" w:cs="Times New Roman"/>
          <w:color w:val="000000" w:themeColor="text1"/>
        </w:rPr>
        <w:t xml:space="preserve"> </w:t>
      </w:r>
      <w:r w:rsidR="00A21AFA" w:rsidRPr="00FB6769">
        <w:rPr>
          <w:rFonts w:ascii="Times New Roman" w:eastAsia="Times New Roman" w:hAnsi="Times New Roman" w:cs="Times New Roman"/>
          <w:color w:val="000000"/>
          <w:shd w:val="clear" w:color="auto" w:fill="FFFFFF"/>
        </w:rPr>
        <w:t>These</w:t>
      </w:r>
      <w:r w:rsidRPr="2AA0CE03">
        <w:rPr>
          <w:rFonts w:ascii="Times New Roman" w:eastAsia="Times New Roman" w:hAnsi="Times New Roman" w:cs="Times New Roman"/>
          <w:color w:val="000000" w:themeColor="text1"/>
        </w:rPr>
        <w:t xml:space="preserve"> authors </w:t>
      </w:r>
      <w:r w:rsidR="00A21AFA" w:rsidRPr="00FB6769">
        <w:rPr>
          <w:rFonts w:ascii="Times New Roman" w:eastAsia="Times New Roman" w:hAnsi="Times New Roman" w:cs="Times New Roman"/>
          <w:color w:val="000000"/>
          <w:shd w:val="clear" w:color="auto" w:fill="FFFFFF"/>
        </w:rPr>
        <w:t>wrote</w:t>
      </w:r>
      <w:r w:rsidRPr="2AA0CE03">
        <w:rPr>
          <w:rFonts w:ascii="Times New Roman" w:eastAsia="Times New Roman" w:hAnsi="Times New Roman" w:cs="Times New Roman"/>
          <w:color w:val="000000" w:themeColor="text1"/>
        </w:rPr>
        <w:t xml:space="preserve"> alongside systems that sought to construct and </w:t>
      </w:r>
      <w:r w:rsidR="00A21AFA" w:rsidRPr="00FB6769">
        <w:rPr>
          <w:rFonts w:ascii="Times New Roman" w:eastAsia="Times New Roman" w:hAnsi="Times New Roman" w:cs="Times New Roman"/>
          <w:color w:val="000000"/>
          <w:shd w:val="clear" w:color="auto" w:fill="FFFFFF"/>
        </w:rPr>
        <w:t>reinforce</w:t>
      </w:r>
      <w:r w:rsidRPr="2AA0CE03">
        <w:rPr>
          <w:rFonts w:ascii="Times New Roman" w:eastAsia="Times New Roman" w:hAnsi="Times New Roman" w:cs="Times New Roman"/>
          <w:color w:val="000000" w:themeColor="text1"/>
        </w:rPr>
        <w:t xml:space="preserve"> norms of embodiment. Recovering their voices </w:t>
      </w:r>
      <w:r w:rsidR="00526CA2" w:rsidRPr="00FB6769">
        <w:rPr>
          <w:rFonts w:ascii="Times New Roman" w:eastAsia="Times New Roman" w:hAnsi="Times New Roman" w:cs="Times New Roman"/>
          <w:color w:val="000000"/>
          <w:shd w:val="clear" w:color="auto" w:fill="FFFFFF"/>
        </w:rPr>
        <w:t>shows us</w:t>
      </w:r>
      <w:r w:rsidRPr="2AA0CE03">
        <w:rPr>
          <w:rFonts w:ascii="Times New Roman" w:eastAsia="Times New Roman" w:hAnsi="Times New Roman" w:cs="Times New Roman"/>
          <w:color w:val="000000" w:themeColor="text1"/>
        </w:rPr>
        <w:t xml:space="preserve"> how the structures that shape our lives were not inevitable. </w:t>
      </w:r>
      <w:r w:rsidR="002164B2" w:rsidRPr="00FB6769">
        <w:rPr>
          <w:rFonts w:ascii="Times New Roman" w:eastAsia="Times New Roman" w:hAnsi="Times New Roman" w:cs="Times New Roman"/>
          <w:color w:val="000000"/>
          <w:shd w:val="clear" w:color="auto" w:fill="FFFFFF"/>
        </w:rPr>
        <w:t>They</w:t>
      </w:r>
      <w:r w:rsidRPr="2AA0CE03">
        <w:rPr>
          <w:rFonts w:ascii="Times New Roman" w:eastAsia="Times New Roman" w:hAnsi="Times New Roman" w:cs="Times New Roman"/>
          <w:color w:val="000000" w:themeColor="text1"/>
        </w:rPr>
        <w:t xml:space="preserve"> </w:t>
      </w:r>
      <w:r w:rsidR="00526CA2" w:rsidRPr="00FB6769">
        <w:rPr>
          <w:rFonts w:ascii="Times New Roman" w:eastAsia="Times New Roman" w:hAnsi="Times New Roman" w:cs="Times New Roman"/>
          <w:color w:val="000000"/>
          <w:shd w:val="clear" w:color="auto" w:fill="FFFFFF"/>
        </w:rPr>
        <w:t>help</w:t>
      </w:r>
      <w:r w:rsidR="008F5EA8" w:rsidRPr="00FB6769">
        <w:rPr>
          <w:rFonts w:ascii="Times New Roman" w:eastAsia="Times New Roman" w:hAnsi="Times New Roman" w:cs="Times New Roman"/>
          <w:color w:val="000000"/>
          <w:shd w:val="clear" w:color="auto" w:fill="FFFFFF"/>
        </w:rPr>
        <w:t xml:space="preserve"> us </w:t>
      </w:r>
      <w:r w:rsidR="00C27590">
        <w:rPr>
          <w:rFonts w:ascii="Times New Roman" w:eastAsia="Times New Roman" w:hAnsi="Times New Roman" w:cs="Times New Roman"/>
          <w:color w:val="000000"/>
          <w:shd w:val="clear" w:color="auto" w:fill="FFFFFF"/>
        </w:rPr>
        <w:t xml:space="preserve">to </w:t>
      </w:r>
      <w:r w:rsidR="00526CA2" w:rsidRPr="00FB6769">
        <w:rPr>
          <w:rFonts w:ascii="Times New Roman" w:eastAsia="Times New Roman" w:hAnsi="Times New Roman" w:cs="Times New Roman"/>
          <w:color w:val="000000"/>
          <w:shd w:val="clear" w:color="auto" w:fill="FFFFFF"/>
        </w:rPr>
        <w:t>understand</w:t>
      </w:r>
      <w:r w:rsidRPr="2AA0CE03">
        <w:rPr>
          <w:rFonts w:ascii="Times New Roman" w:eastAsia="Times New Roman" w:hAnsi="Times New Roman" w:cs="Times New Roman"/>
          <w:color w:val="000000" w:themeColor="text1"/>
        </w:rPr>
        <w:t xml:space="preserve"> how </w:t>
      </w:r>
      <w:r w:rsidR="002164B2" w:rsidRPr="00FB6769">
        <w:rPr>
          <w:rFonts w:ascii="Times New Roman" w:eastAsia="Times New Roman" w:hAnsi="Times New Roman" w:cs="Times New Roman"/>
          <w:color w:val="000000"/>
          <w:shd w:val="clear" w:color="auto" w:fill="FFFFFF"/>
        </w:rPr>
        <w:t>the past</w:t>
      </w:r>
      <w:r w:rsidRPr="2AA0CE03">
        <w:rPr>
          <w:rFonts w:ascii="Times New Roman" w:eastAsia="Times New Roman" w:hAnsi="Times New Roman" w:cs="Times New Roman"/>
          <w:color w:val="000000" w:themeColor="text1"/>
        </w:rPr>
        <w:t xml:space="preserve"> </w:t>
      </w:r>
      <w:r w:rsidR="007E1553">
        <w:rPr>
          <w:rFonts w:ascii="Times New Roman" w:eastAsia="Times New Roman" w:hAnsi="Times New Roman" w:cs="Times New Roman"/>
          <w:color w:val="000000" w:themeColor="text1"/>
        </w:rPr>
        <w:t>informs</w:t>
      </w:r>
      <w:r w:rsidRPr="2AA0CE03">
        <w:rPr>
          <w:rFonts w:ascii="Times New Roman" w:eastAsia="Times New Roman" w:hAnsi="Times New Roman" w:cs="Times New Roman"/>
          <w:color w:val="000000" w:themeColor="text1"/>
        </w:rPr>
        <w:t xml:space="preserve"> the present</w:t>
      </w:r>
      <w:r w:rsidR="00526CA2" w:rsidRPr="00FB6769">
        <w:rPr>
          <w:rFonts w:ascii="Times New Roman" w:eastAsia="Times New Roman" w:hAnsi="Times New Roman" w:cs="Times New Roman"/>
          <w:color w:val="000000"/>
          <w:shd w:val="clear" w:color="auto" w:fill="FFFFFF"/>
        </w:rPr>
        <w:t>, and</w:t>
      </w:r>
      <w:r w:rsidR="00C27590">
        <w:rPr>
          <w:rFonts w:ascii="Times New Roman" w:eastAsia="Times New Roman" w:hAnsi="Times New Roman" w:cs="Times New Roman"/>
          <w:color w:val="000000"/>
          <w:shd w:val="clear" w:color="auto" w:fill="FFFFFF"/>
        </w:rPr>
        <w:t xml:space="preserve"> to </w:t>
      </w:r>
      <w:r w:rsidRPr="2AA0CE03">
        <w:rPr>
          <w:rFonts w:ascii="Times New Roman" w:eastAsia="Times New Roman" w:hAnsi="Times New Roman" w:cs="Times New Roman"/>
          <w:color w:val="000000" w:themeColor="text1"/>
        </w:rPr>
        <w:t xml:space="preserve">imagine different futures. </w:t>
      </w:r>
    </w:p>
    <w:p w14:paraId="3DED76D5" w14:textId="3A366D54" w:rsidR="00BB5CCC" w:rsidRPr="00FB6769" w:rsidRDefault="00DF0004" w:rsidP="008F5EA8">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rPr>
        <w:tab/>
      </w:r>
      <w:r w:rsidR="00BB5CCC" w:rsidRPr="00FB6769">
        <w:rPr>
          <w:rFonts w:ascii="Times New Roman" w:eastAsia="Times New Roman" w:hAnsi="Times New Roman" w:cs="Times New Roman"/>
          <w:color w:val="000000" w:themeColor="text1"/>
        </w:rPr>
        <w:t xml:space="preserve">How do these lines of research help us better understand wellbeing in the classroom? </w:t>
      </w:r>
      <w:r w:rsidR="00AD6842" w:rsidRPr="00FB6769">
        <w:rPr>
          <w:rFonts w:ascii="Times New Roman" w:eastAsia="Times New Roman" w:hAnsi="Times New Roman" w:cs="Times New Roman"/>
          <w:color w:val="000000" w:themeColor="text1"/>
        </w:rPr>
        <w:t xml:space="preserve">Addressing </w:t>
      </w:r>
      <w:r w:rsidR="00BB5CCC" w:rsidRPr="00FB6769">
        <w:rPr>
          <w:rFonts w:ascii="Times New Roman" w:eastAsia="Times New Roman" w:hAnsi="Times New Roman" w:cs="Times New Roman"/>
          <w:color w:val="000000" w:themeColor="text1"/>
        </w:rPr>
        <w:t xml:space="preserve">that question is </w:t>
      </w:r>
      <w:r w:rsidR="006A272D" w:rsidRPr="00FB6769">
        <w:rPr>
          <w:rFonts w:ascii="Times New Roman" w:eastAsia="Times New Roman" w:hAnsi="Times New Roman" w:cs="Times New Roman"/>
          <w:color w:val="000000" w:themeColor="text1"/>
        </w:rPr>
        <w:t>the main</w:t>
      </w:r>
      <w:r w:rsidR="00BB5CCC" w:rsidRPr="00FB6769">
        <w:rPr>
          <w:rFonts w:ascii="Times New Roman" w:eastAsia="Times New Roman" w:hAnsi="Times New Roman" w:cs="Times New Roman"/>
          <w:color w:val="000000" w:themeColor="text1"/>
        </w:rPr>
        <w:t xml:space="preserve"> task of this volume</w:t>
      </w:r>
      <w:r w:rsidR="00AD6842" w:rsidRPr="00FB6769">
        <w:rPr>
          <w:rFonts w:ascii="Times New Roman" w:eastAsia="Times New Roman" w:hAnsi="Times New Roman" w:cs="Times New Roman"/>
          <w:color w:val="000000" w:themeColor="text1"/>
        </w:rPr>
        <w:t>. B</w:t>
      </w:r>
      <w:r w:rsidR="007B69C0" w:rsidRPr="00FB6769">
        <w:rPr>
          <w:rFonts w:ascii="Times New Roman" w:eastAsia="Times New Roman" w:hAnsi="Times New Roman" w:cs="Times New Roman"/>
          <w:color w:val="000000" w:themeColor="text1"/>
        </w:rPr>
        <w:t xml:space="preserve">y drawing </w:t>
      </w:r>
      <w:r w:rsidR="00BB5CCC" w:rsidRPr="00FB6769">
        <w:rPr>
          <w:rFonts w:ascii="Times New Roman" w:eastAsia="Times New Roman" w:hAnsi="Times New Roman" w:cs="Times New Roman"/>
          <w:color w:val="000000" w:themeColor="text1"/>
        </w:rPr>
        <w:t>links between wellbeing and pedagogy</w:t>
      </w:r>
      <w:r w:rsidR="00AD6842" w:rsidRPr="00FB6769">
        <w:rPr>
          <w:rFonts w:ascii="Times New Roman" w:eastAsia="Times New Roman" w:hAnsi="Times New Roman" w:cs="Times New Roman"/>
          <w:color w:val="000000" w:themeColor="text1"/>
        </w:rPr>
        <w:t xml:space="preserve">, we </w:t>
      </w:r>
      <w:r w:rsidR="00285757" w:rsidRPr="00FB6769">
        <w:rPr>
          <w:rFonts w:ascii="Times New Roman" w:eastAsia="Times New Roman" w:hAnsi="Times New Roman" w:cs="Times New Roman"/>
          <w:color w:val="000000" w:themeColor="text1"/>
        </w:rPr>
        <w:t>pick</w:t>
      </w:r>
      <w:r w:rsidR="005C3BCE" w:rsidRPr="00FB6769">
        <w:rPr>
          <w:rFonts w:ascii="Times New Roman" w:eastAsia="Times New Roman" w:hAnsi="Times New Roman" w:cs="Times New Roman"/>
          <w:color w:val="000000" w:themeColor="text1"/>
        </w:rPr>
        <w:t xml:space="preserve"> up on the</w:t>
      </w:r>
      <w:r w:rsidR="00BB5CCC" w:rsidRPr="00FB6769">
        <w:rPr>
          <w:rFonts w:ascii="Times New Roman" w:eastAsia="Times New Roman" w:hAnsi="Times New Roman" w:cs="Times New Roman"/>
          <w:color w:val="000000" w:themeColor="text1"/>
        </w:rPr>
        <w:t xml:space="preserve"> lively, robust, and generous conversation</w:t>
      </w:r>
      <w:r w:rsidR="007B69C0" w:rsidRPr="00FB6769">
        <w:rPr>
          <w:rFonts w:ascii="Times New Roman" w:eastAsia="Times New Roman" w:hAnsi="Times New Roman" w:cs="Times New Roman"/>
          <w:color w:val="000000" w:themeColor="text1"/>
        </w:rPr>
        <w:t>s</w:t>
      </w:r>
      <w:r w:rsidR="00BB5CCC" w:rsidRPr="00FB6769">
        <w:rPr>
          <w:rFonts w:ascii="Times New Roman" w:eastAsia="Times New Roman" w:hAnsi="Times New Roman" w:cs="Times New Roman"/>
          <w:color w:val="000000" w:themeColor="text1"/>
        </w:rPr>
        <w:t xml:space="preserve"> about th</w:t>
      </w:r>
      <w:r w:rsidR="00AD6842" w:rsidRPr="00FB6769">
        <w:rPr>
          <w:rFonts w:ascii="Times New Roman" w:eastAsia="Times New Roman" w:hAnsi="Times New Roman" w:cs="Times New Roman"/>
          <w:color w:val="000000" w:themeColor="text1"/>
        </w:rPr>
        <w:t>is</w:t>
      </w:r>
      <w:r w:rsidR="00BB5CCC" w:rsidRPr="00FB6769">
        <w:rPr>
          <w:rFonts w:ascii="Times New Roman" w:eastAsia="Times New Roman" w:hAnsi="Times New Roman" w:cs="Times New Roman"/>
          <w:color w:val="000000" w:themeColor="text1"/>
        </w:rPr>
        <w:t xml:space="preserve"> topic </w:t>
      </w:r>
      <w:r w:rsidR="007B69C0" w:rsidRPr="00FB6769">
        <w:rPr>
          <w:rFonts w:ascii="Times New Roman" w:eastAsia="Times New Roman" w:hAnsi="Times New Roman" w:cs="Times New Roman"/>
          <w:color w:val="000000" w:themeColor="text1"/>
        </w:rPr>
        <w:t xml:space="preserve">that already </w:t>
      </w:r>
      <w:r w:rsidR="006A272D" w:rsidRPr="00FB6769">
        <w:rPr>
          <w:rFonts w:ascii="Times New Roman" w:eastAsia="Times New Roman" w:hAnsi="Times New Roman" w:cs="Times New Roman"/>
          <w:color w:val="000000" w:themeColor="text1"/>
        </w:rPr>
        <w:t xml:space="preserve">exist on social media and </w:t>
      </w:r>
      <w:r w:rsidR="00BB5CCC" w:rsidRPr="00FB6769">
        <w:rPr>
          <w:rFonts w:ascii="Times New Roman" w:eastAsia="Times New Roman" w:hAnsi="Times New Roman" w:cs="Times New Roman"/>
          <w:color w:val="000000" w:themeColor="text1"/>
        </w:rPr>
        <w:t>ha</w:t>
      </w:r>
      <w:r w:rsidR="007B69C0" w:rsidRPr="00FB6769">
        <w:rPr>
          <w:rFonts w:ascii="Times New Roman" w:eastAsia="Times New Roman" w:hAnsi="Times New Roman" w:cs="Times New Roman"/>
          <w:color w:val="000000" w:themeColor="text1"/>
        </w:rPr>
        <w:t>ve</w:t>
      </w:r>
      <w:r w:rsidR="00BB5CCC" w:rsidRPr="00FB6769">
        <w:rPr>
          <w:rFonts w:ascii="Times New Roman" w:eastAsia="Times New Roman" w:hAnsi="Times New Roman" w:cs="Times New Roman"/>
          <w:color w:val="000000" w:themeColor="text1"/>
        </w:rPr>
        <w:t xml:space="preserve"> begun to take place at our conferences.</w:t>
      </w:r>
      <w:r w:rsidR="00A27D16" w:rsidRPr="00FB6769">
        <w:rPr>
          <w:rStyle w:val="FootnoteReference"/>
          <w:rFonts w:ascii="Times New Roman" w:eastAsia="Times New Roman" w:hAnsi="Times New Roman" w:cs="Times New Roman"/>
          <w:color w:val="000000" w:themeColor="text1"/>
        </w:rPr>
        <w:footnoteReference w:id="12"/>
      </w:r>
      <w:r w:rsidR="00BB5CCC" w:rsidRPr="00FB6769">
        <w:rPr>
          <w:rFonts w:ascii="Times New Roman" w:eastAsia="Times New Roman" w:hAnsi="Times New Roman" w:cs="Times New Roman"/>
          <w:color w:val="000000" w:themeColor="text1"/>
        </w:rPr>
        <w:t xml:space="preserve"> </w:t>
      </w:r>
      <w:r w:rsidR="00464472" w:rsidRPr="00FB6769">
        <w:rPr>
          <w:rFonts w:ascii="Times New Roman" w:eastAsia="Times New Roman" w:hAnsi="Times New Roman" w:cs="Times New Roman"/>
          <w:color w:val="000000" w:themeColor="text1"/>
        </w:rPr>
        <w:t xml:space="preserve">By </w:t>
      </w:r>
      <w:r w:rsidR="00395690" w:rsidRPr="00FB6769">
        <w:rPr>
          <w:rFonts w:ascii="Times New Roman" w:eastAsia="Times New Roman" w:hAnsi="Times New Roman" w:cs="Times New Roman"/>
          <w:color w:val="000000" w:themeColor="text1"/>
        </w:rPr>
        <w:t>engaging</w:t>
      </w:r>
      <w:r w:rsidR="00464472" w:rsidRPr="00FB6769">
        <w:rPr>
          <w:rFonts w:ascii="Times New Roman" w:eastAsia="Times New Roman" w:hAnsi="Times New Roman" w:cs="Times New Roman"/>
          <w:color w:val="000000" w:themeColor="text1"/>
        </w:rPr>
        <w:t xml:space="preserve"> </w:t>
      </w:r>
      <w:r w:rsidR="00BB5CCC" w:rsidRPr="00FB6769">
        <w:rPr>
          <w:rFonts w:ascii="Times New Roman" w:eastAsia="Times New Roman" w:hAnsi="Times New Roman" w:cs="Times New Roman"/>
          <w:color w:val="000000" w:themeColor="text1"/>
        </w:rPr>
        <w:t>some of those conversations</w:t>
      </w:r>
      <w:r w:rsidR="00464472" w:rsidRPr="00FB6769">
        <w:rPr>
          <w:rFonts w:ascii="Times New Roman" w:eastAsia="Times New Roman" w:hAnsi="Times New Roman" w:cs="Times New Roman"/>
          <w:color w:val="000000" w:themeColor="text1"/>
        </w:rPr>
        <w:t xml:space="preserve">, we invite </w:t>
      </w:r>
      <w:r w:rsidR="00395690" w:rsidRPr="00FB6769">
        <w:rPr>
          <w:rFonts w:ascii="Times New Roman" w:eastAsia="Times New Roman" w:hAnsi="Times New Roman" w:cs="Times New Roman"/>
          <w:color w:val="000000" w:themeColor="text1"/>
        </w:rPr>
        <w:t>our</w:t>
      </w:r>
      <w:r w:rsidR="00464472" w:rsidRPr="00FB6769">
        <w:rPr>
          <w:rFonts w:ascii="Times New Roman" w:eastAsia="Times New Roman" w:hAnsi="Times New Roman" w:cs="Times New Roman"/>
          <w:color w:val="000000" w:themeColor="text1"/>
        </w:rPr>
        <w:t xml:space="preserve"> field to take them further</w:t>
      </w:r>
      <w:r w:rsidR="00BB5CCC" w:rsidRPr="00FB6769">
        <w:rPr>
          <w:rFonts w:ascii="Times New Roman" w:eastAsia="Times New Roman" w:hAnsi="Times New Roman" w:cs="Times New Roman"/>
          <w:color w:val="000000" w:themeColor="text1"/>
        </w:rPr>
        <w:t>.</w:t>
      </w:r>
      <w:r w:rsidR="00464472" w:rsidRPr="00FB6769">
        <w:rPr>
          <w:rFonts w:ascii="Times New Roman" w:eastAsia="Times New Roman" w:hAnsi="Times New Roman" w:cs="Times New Roman"/>
          <w:color w:val="000000" w:themeColor="text1"/>
        </w:rPr>
        <w:t xml:space="preserve"> </w:t>
      </w:r>
      <w:r w:rsidR="00814ADA" w:rsidRPr="00FB6769">
        <w:rPr>
          <w:rFonts w:ascii="Times New Roman" w:eastAsia="Times New Roman" w:hAnsi="Times New Roman" w:cs="Times New Roman"/>
          <w:color w:val="000000" w:themeColor="text1"/>
        </w:rPr>
        <w:t>As we will show, Romantic thinkers saw wellbeing as relative, embodied, and inextricable from social and political circumstances.</w:t>
      </w:r>
      <w:r w:rsidR="00B840BF" w:rsidRPr="00FB6769">
        <w:rPr>
          <w:rFonts w:ascii="Times New Roman" w:eastAsia="Times New Roman" w:hAnsi="Times New Roman" w:cs="Times New Roman"/>
          <w:color w:val="000000" w:themeColor="text1"/>
        </w:rPr>
        <w:t xml:space="preserve"> Teaching during the </w:t>
      </w:r>
      <w:r w:rsidR="2AA0CE03" w:rsidRPr="2AA0CE03">
        <w:rPr>
          <w:rFonts w:ascii="Times New Roman" w:eastAsia="Times New Roman" w:hAnsi="Times New Roman" w:cs="Times New Roman"/>
          <w:color w:val="000000" w:themeColor="text1"/>
        </w:rPr>
        <w:t xml:space="preserve">COVID-19 </w:t>
      </w:r>
      <w:r w:rsidR="00B840BF" w:rsidRPr="00FB6769">
        <w:rPr>
          <w:rFonts w:ascii="Times New Roman" w:eastAsia="Times New Roman" w:hAnsi="Times New Roman" w:cs="Times New Roman"/>
          <w:color w:val="000000" w:themeColor="text1"/>
        </w:rPr>
        <w:t>pandemic has</w:t>
      </w:r>
      <w:r w:rsidR="00C11C29" w:rsidRPr="00FB6769">
        <w:rPr>
          <w:rFonts w:ascii="Times New Roman" w:eastAsia="Times New Roman" w:hAnsi="Times New Roman" w:cs="Times New Roman"/>
          <w:color w:val="000000" w:themeColor="text1"/>
        </w:rPr>
        <w:t xml:space="preserve"> urgently clarified</w:t>
      </w:r>
      <w:r w:rsidR="00B840BF" w:rsidRPr="00FB6769">
        <w:rPr>
          <w:rFonts w:ascii="Times New Roman" w:eastAsia="Times New Roman" w:hAnsi="Times New Roman" w:cs="Times New Roman"/>
          <w:color w:val="000000" w:themeColor="text1"/>
        </w:rPr>
        <w:t xml:space="preserve"> how dependent good pedagogy is upon </w:t>
      </w:r>
      <w:r w:rsidR="00713966" w:rsidRPr="00FB6769">
        <w:rPr>
          <w:rFonts w:ascii="Times New Roman" w:eastAsia="Times New Roman" w:hAnsi="Times New Roman" w:cs="Times New Roman"/>
          <w:color w:val="000000" w:themeColor="text1"/>
        </w:rPr>
        <w:t xml:space="preserve">such multidimensional </w:t>
      </w:r>
      <w:r w:rsidR="00B840BF" w:rsidRPr="00FB6769">
        <w:rPr>
          <w:rFonts w:ascii="Times New Roman" w:eastAsia="Times New Roman" w:hAnsi="Times New Roman" w:cs="Times New Roman"/>
          <w:color w:val="000000" w:themeColor="text1"/>
        </w:rPr>
        <w:t>wellbeing—our students’ and our own.</w:t>
      </w:r>
      <w:r w:rsidR="00814ADA" w:rsidRPr="00FB6769">
        <w:rPr>
          <w:rFonts w:ascii="Times New Roman" w:eastAsia="Times New Roman" w:hAnsi="Times New Roman" w:cs="Times New Roman"/>
          <w:color w:val="000000" w:themeColor="text1"/>
        </w:rPr>
        <w:t xml:space="preserve"> </w:t>
      </w:r>
    </w:p>
    <w:p w14:paraId="59F48FF6" w14:textId="77777777" w:rsidR="00BB5CCC" w:rsidRPr="00FB6769" w:rsidRDefault="00BB5CCC" w:rsidP="00BB5CCC">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 </w:t>
      </w:r>
    </w:p>
    <w:p w14:paraId="1643AE41" w14:textId="3B90D18B" w:rsidR="00BB5CCC" w:rsidRPr="00FB6769" w:rsidRDefault="00575CAD" w:rsidP="00BB5CCC">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b/>
          <w:bCs/>
          <w:color w:val="000000" w:themeColor="text1"/>
        </w:rPr>
        <w:t>Wellness, Wellbeing,</w:t>
      </w:r>
      <w:r w:rsidR="006D1279" w:rsidRPr="00FB6769">
        <w:rPr>
          <w:rFonts w:ascii="Times New Roman" w:eastAsia="Times New Roman" w:hAnsi="Times New Roman" w:cs="Times New Roman"/>
          <w:b/>
          <w:bCs/>
          <w:color w:val="000000" w:themeColor="text1"/>
        </w:rPr>
        <w:t xml:space="preserve"> and Romantic Medicine</w:t>
      </w:r>
    </w:p>
    <w:p w14:paraId="03A8B27A" w14:textId="00C96D6B" w:rsidR="002D2650" w:rsidRPr="00BF579D" w:rsidRDefault="00E14F08" w:rsidP="00BF579D">
      <w:pPr>
        <w:spacing w:line="480" w:lineRule="auto"/>
        <w:ind w:firstLine="720"/>
        <w:rPr>
          <w:rFonts w:ascii="Times New Roman" w:eastAsia="Times New Roman" w:hAnsi="Times New Roman" w:cs="Times New Roman"/>
          <w:color w:val="000000" w:themeColor="text1"/>
          <w:shd w:val="clear" w:color="auto" w:fill="FFFFFF"/>
        </w:rPr>
      </w:pPr>
      <w:r w:rsidRPr="00FB6769">
        <w:rPr>
          <w:rFonts w:ascii="Times New Roman" w:eastAsia="Times New Roman" w:hAnsi="Times New Roman" w:cs="Times New Roman"/>
          <w:color w:val="000000" w:themeColor="text1"/>
          <w:shd w:val="clear" w:color="auto" w:fill="FFFFFF"/>
        </w:rPr>
        <w:t>While</w:t>
      </w:r>
      <w:r w:rsidR="009E68C3">
        <w:rPr>
          <w:rFonts w:ascii="Times New Roman" w:eastAsia="Times New Roman" w:hAnsi="Times New Roman" w:cs="Times New Roman"/>
          <w:color w:val="000000" w:themeColor="text1"/>
          <w:shd w:val="clear" w:color="auto" w:fill="FFFFFF"/>
        </w:rPr>
        <w:t xml:space="preserve"> the terms</w:t>
      </w:r>
      <w:r w:rsidRPr="00FB6769">
        <w:rPr>
          <w:rFonts w:ascii="Times New Roman" w:eastAsia="Times New Roman" w:hAnsi="Times New Roman" w:cs="Times New Roman"/>
          <w:color w:val="000000" w:themeColor="text1"/>
          <w:shd w:val="clear" w:color="auto" w:fill="FFFFFF"/>
        </w:rPr>
        <w:t xml:space="preserve"> “wellness” and “wellbeing” are often used interchangeably, </w:t>
      </w:r>
      <w:r w:rsidR="009E68C3">
        <w:rPr>
          <w:rFonts w:ascii="Times New Roman" w:eastAsia="Times New Roman" w:hAnsi="Times New Roman" w:cs="Times New Roman"/>
          <w:color w:val="000000" w:themeColor="text1"/>
          <w:shd w:val="clear" w:color="auto" w:fill="FFFFFF"/>
        </w:rPr>
        <w:t>the</w:t>
      </w:r>
      <w:r w:rsidR="00BC677F">
        <w:rPr>
          <w:rFonts w:ascii="Times New Roman" w:eastAsia="Times New Roman" w:hAnsi="Times New Roman" w:cs="Times New Roman"/>
          <w:color w:val="000000" w:themeColor="text1"/>
          <w:shd w:val="clear" w:color="auto" w:fill="FFFFFF"/>
        </w:rPr>
        <w:t xml:space="preserve">ir histories reveal very different conceptual approaches to health. We draw a distinction between them because we </w:t>
      </w:r>
      <w:r w:rsidR="00BF579D">
        <w:rPr>
          <w:rFonts w:ascii="Times New Roman" w:eastAsia="Times New Roman" w:hAnsi="Times New Roman" w:cs="Times New Roman"/>
          <w:color w:val="000000" w:themeColor="text1"/>
          <w:shd w:val="clear" w:color="auto" w:fill="FFFFFF"/>
        </w:rPr>
        <w:t xml:space="preserve">want to show how thinking with “wellbeing” opens possibilities that “wellness” forecloses. </w:t>
      </w:r>
      <w:proofErr w:type="gramStart"/>
      <w:r w:rsidR="00BF579D">
        <w:rPr>
          <w:rFonts w:ascii="Times New Roman" w:eastAsia="Times New Roman" w:hAnsi="Times New Roman" w:cs="Times New Roman"/>
          <w:color w:val="000000" w:themeColor="text1"/>
          <w:shd w:val="clear" w:color="auto" w:fill="FFFFFF"/>
        </w:rPr>
        <w:t>In particular,</w:t>
      </w:r>
      <w:r w:rsidR="007F0F2D" w:rsidRPr="00FB6769">
        <w:rPr>
          <w:rFonts w:ascii="Times New Roman" w:eastAsia="Times New Roman" w:hAnsi="Times New Roman" w:cs="Times New Roman"/>
          <w:color w:val="000000" w:themeColor="text1"/>
          <w:shd w:val="clear" w:color="auto" w:fill="FFFFFF"/>
        </w:rPr>
        <w:t xml:space="preserve"> thinking</w:t>
      </w:r>
      <w:proofErr w:type="gramEnd"/>
      <w:r w:rsidR="007F0F2D" w:rsidRPr="00FB6769">
        <w:rPr>
          <w:rFonts w:ascii="Times New Roman" w:eastAsia="Times New Roman" w:hAnsi="Times New Roman" w:cs="Times New Roman"/>
          <w:color w:val="000000" w:themeColor="text1"/>
          <w:shd w:val="clear" w:color="auto" w:fill="FFFFFF"/>
        </w:rPr>
        <w:t xml:space="preserve"> with wellbeing—rather than wellness—can productively reframe conversations about pedagogy. </w:t>
      </w:r>
      <w:r w:rsidR="00862E6F">
        <w:rPr>
          <w:rFonts w:ascii="Times New Roman" w:eastAsia="Times New Roman" w:hAnsi="Times New Roman" w:cs="Times New Roman"/>
          <w:color w:val="000000" w:themeColor="text1"/>
          <w:shd w:val="clear" w:color="auto" w:fill="FFFFFF"/>
        </w:rPr>
        <w:t>We understand</w:t>
      </w:r>
      <w:r w:rsidR="007F0F2D">
        <w:rPr>
          <w:rFonts w:ascii="Times New Roman" w:eastAsia="Times New Roman" w:hAnsi="Times New Roman" w:cs="Times New Roman"/>
          <w:color w:val="000000" w:themeColor="text1"/>
          <w:shd w:val="clear" w:color="auto" w:fill="FFFFFF"/>
        </w:rPr>
        <w:t xml:space="preserve"> </w:t>
      </w:r>
      <w:r w:rsidR="006A4C47" w:rsidRPr="00FB6769">
        <w:rPr>
          <w:rFonts w:ascii="Times New Roman" w:eastAsia="Times New Roman" w:hAnsi="Times New Roman" w:cs="Times New Roman"/>
          <w:color w:val="000000" w:themeColor="text1"/>
          <w:shd w:val="clear" w:color="auto" w:fill="FFFFFF"/>
        </w:rPr>
        <w:t>“</w:t>
      </w:r>
      <w:r w:rsidR="002D2650" w:rsidRPr="00FB6769">
        <w:rPr>
          <w:rFonts w:ascii="Times New Roman" w:eastAsia="Times New Roman" w:hAnsi="Times New Roman" w:cs="Times New Roman"/>
          <w:color w:val="000000" w:themeColor="text1"/>
          <w:shd w:val="clear" w:color="auto" w:fill="FFFFFF"/>
        </w:rPr>
        <w:t>wellbeing</w:t>
      </w:r>
      <w:r w:rsidR="006A4C47" w:rsidRPr="00FB6769">
        <w:rPr>
          <w:rFonts w:ascii="Times New Roman" w:eastAsia="Times New Roman" w:hAnsi="Times New Roman" w:cs="Times New Roman"/>
          <w:color w:val="000000" w:themeColor="text1"/>
          <w:shd w:val="clear" w:color="auto" w:fill="FFFFFF"/>
        </w:rPr>
        <w:t>”</w:t>
      </w:r>
      <w:r w:rsidR="007F0F2D">
        <w:rPr>
          <w:rFonts w:ascii="Times New Roman" w:eastAsia="Times New Roman" w:hAnsi="Times New Roman" w:cs="Times New Roman"/>
          <w:color w:val="000000" w:themeColor="text1"/>
          <w:shd w:val="clear" w:color="auto" w:fill="FFFFFF"/>
        </w:rPr>
        <w:t xml:space="preserve"> </w:t>
      </w:r>
      <w:r w:rsidR="00862E6F">
        <w:rPr>
          <w:rFonts w:ascii="Times New Roman" w:eastAsia="Times New Roman" w:hAnsi="Times New Roman" w:cs="Times New Roman"/>
          <w:color w:val="000000" w:themeColor="text1"/>
          <w:shd w:val="clear" w:color="auto" w:fill="FFFFFF"/>
        </w:rPr>
        <w:t>as</w:t>
      </w:r>
      <w:r w:rsidR="002D2650" w:rsidRPr="00FB6769">
        <w:rPr>
          <w:rFonts w:ascii="Times New Roman" w:eastAsia="Times New Roman" w:hAnsi="Times New Roman" w:cs="Times New Roman"/>
          <w:color w:val="000000" w:themeColor="text1"/>
          <w:shd w:val="clear" w:color="auto" w:fill="FFFFFF"/>
        </w:rPr>
        <w:t xml:space="preserve"> a capacious, </w:t>
      </w:r>
      <w:r w:rsidR="002D2650" w:rsidRPr="00FB6769">
        <w:rPr>
          <w:rFonts w:ascii="Times New Roman" w:eastAsia="Times New Roman" w:hAnsi="Times New Roman" w:cs="Times New Roman"/>
          <w:color w:val="000000" w:themeColor="text1"/>
          <w:shd w:val="clear" w:color="auto" w:fill="FFFFFF"/>
        </w:rPr>
        <w:lastRenderedPageBreak/>
        <w:t xml:space="preserve">relative, and individual </w:t>
      </w:r>
      <w:r w:rsidR="00862E6F">
        <w:rPr>
          <w:rFonts w:ascii="Times New Roman" w:eastAsia="Times New Roman" w:hAnsi="Times New Roman" w:cs="Times New Roman"/>
          <w:color w:val="000000" w:themeColor="text1"/>
          <w:shd w:val="clear" w:color="auto" w:fill="FFFFFF"/>
        </w:rPr>
        <w:t>model</w:t>
      </w:r>
      <w:r w:rsidR="00862E6F" w:rsidRPr="00FB6769">
        <w:rPr>
          <w:rFonts w:ascii="Times New Roman" w:eastAsia="Times New Roman" w:hAnsi="Times New Roman" w:cs="Times New Roman"/>
          <w:color w:val="000000" w:themeColor="text1"/>
          <w:shd w:val="clear" w:color="auto" w:fill="FFFFFF"/>
        </w:rPr>
        <w:t xml:space="preserve"> </w:t>
      </w:r>
      <w:r w:rsidR="002D2650" w:rsidRPr="00FB6769">
        <w:rPr>
          <w:rFonts w:ascii="Times New Roman" w:eastAsia="Times New Roman" w:hAnsi="Times New Roman" w:cs="Times New Roman"/>
          <w:color w:val="000000" w:themeColor="text1"/>
          <w:shd w:val="clear" w:color="auto" w:fill="FFFFFF"/>
        </w:rPr>
        <w:t>of being “well” that aligns with Romantic ideas of health and stands in contrast to current models of “wellness</w:t>
      </w:r>
      <w:r w:rsidR="00C35D84">
        <w:rPr>
          <w:rFonts w:ascii="Times New Roman" w:eastAsia="Times New Roman" w:hAnsi="Times New Roman" w:cs="Times New Roman"/>
          <w:color w:val="000000" w:themeColor="text1"/>
          <w:shd w:val="clear" w:color="auto" w:fill="FFFFFF"/>
        </w:rPr>
        <w:t>,</w:t>
      </w:r>
      <w:r w:rsidR="002D2650" w:rsidRPr="00FB6769">
        <w:rPr>
          <w:rFonts w:ascii="Times New Roman" w:eastAsia="Times New Roman" w:hAnsi="Times New Roman" w:cs="Times New Roman"/>
          <w:color w:val="000000" w:themeColor="text1"/>
          <w:shd w:val="clear" w:color="auto" w:fill="FFFFFF"/>
        </w:rPr>
        <w:t xml:space="preserve">” </w:t>
      </w:r>
      <w:r w:rsidR="00C35D84">
        <w:rPr>
          <w:rFonts w:ascii="Times New Roman" w:eastAsia="Times New Roman" w:hAnsi="Times New Roman" w:cs="Times New Roman"/>
          <w:color w:val="000000" w:themeColor="text1"/>
          <w:shd w:val="clear" w:color="auto" w:fill="FFFFFF"/>
        </w:rPr>
        <w:t>which often</w:t>
      </w:r>
      <w:r w:rsidR="00C35D84" w:rsidRPr="00FB6769">
        <w:rPr>
          <w:rFonts w:ascii="Times New Roman" w:eastAsia="Times New Roman" w:hAnsi="Times New Roman" w:cs="Times New Roman"/>
          <w:color w:val="000000" w:themeColor="text1"/>
          <w:shd w:val="clear" w:color="auto" w:fill="FFFFFF"/>
        </w:rPr>
        <w:t xml:space="preserve"> reinscribe</w:t>
      </w:r>
      <w:r w:rsidR="00C35D84" w:rsidRPr="00FB6769">
        <w:rPr>
          <w:rFonts w:ascii="Times New Roman" w:eastAsia="Times New Roman" w:hAnsi="Times New Roman" w:cs="Times New Roman"/>
          <w:color w:val="000000" w:themeColor="text1"/>
        </w:rPr>
        <w:t xml:space="preserve"> ableist, classist, and sometimes racist and Eurocentric embodied ideals, perpetuating inequalities in and beyond the classroom.</w:t>
      </w:r>
      <w:r w:rsidR="00C35D84">
        <w:rPr>
          <w:rFonts w:ascii="Times New Roman" w:eastAsia="Times New Roman" w:hAnsi="Times New Roman" w:cs="Times New Roman"/>
          <w:color w:val="000000" w:themeColor="text1"/>
        </w:rPr>
        <w:t xml:space="preserve"> </w:t>
      </w:r>
      <w:r w:rsidR="00FC7895">
        <w:rPr>
          <w:rFonts w:ascii="Times New Roman" w:eastAsia="Times New Roman" w:hAnsi="Times New Roman" w:cs="Times New Roman"/>
          <w:color w:val="000000" w:themeColor="text1"/>
        </w:rPr>
        <w:t>In focusing on these</w:t>
      </w:r>
      <w:r w:rsidR="00C35D84">
        <w:rPr>
          <w:rFonts w:ascii="Times New Roman" w:eastAsia="Times New Roman" w:hAnsi="Times New Roman" w:cs="Times New Roman"/>
          <w:color w:val="000000" w:themeColor="text1"/>
        </w:rPr>
        <w:t xml:space="preserve"> two</w:t>
      </w:r>
      <w:r w:rsidR="00FC7895">
        <w:rPr>
          <w:rFonts w:ascii="Times New Roman" w:eastAsia="Times New Roman" w:hAnsi="Times New Roman" w:cs="Times New Roman"/>
          <w:color w:val="000000" w:themeColor="text1"/>
        </w:rPr>
        <w:t xml:space="preserve"> terms, we</w:t>
      </w:r>
      <w:r w:rsidR="00FC7895" w:rsidRPr="00FB6769">
        <w:rPr>
          <w:rFonts w:ascii="Times New Roman" w:eastAsia="Times New Roman" w:hAnsi="Times New Roman" w:cs="Times New Roman"/>
          <w:color w:val="000000" w:themeColor="text1"/>
        </w:rPr>
        <w:t xml:space="preserve"> hope to </w:t>
      </w:r>
      <w:r w:rsidR="00FC7895">
        <w:rPr>
          <w:rFonts w:ascii="Times New Roman" w:eastAsia="Times New Roman" w:hAnsi="Times New Roman" w:cs="Times New Roman"/>
          <w:color w:val="000000" w:themeColor="text1"/>
        </w:rPr>
        <w:t>draw</w:t>
      </w:r>
      <w:r w:rsidR="00FC7895" w:rsidRPr="00FB6769">
        <w:rPr>
          <w:rFonts w:ascii="Times New Roman" w:eastAsia="Times New Roman" w:hAnsi="Times New Roman" w:cs="Times New Roman"/>
          <w:color w:val="000000" w:themeColor="text1"/>
        </w:rPr>
        <w:t xml:space="preserve"> a </w:t>
      </w:r>
      <w:r w:rsidR="00FC7895">
        <w:rPr>
          <w:rFonts w:ascii="Times New Roman" w:eastAsia="Times New Roman" w:hAnsi="Times New Roman" w:cs="Times New Roman"/>
          <w:color w:val="000000" w:themeColor="text1"/>
        </w:rPr>
        <w:t xml:space="preserve">conceptual and </w:t>
      </w:r>
      <w:r w:rsidR="00FC7895" w:rsidRPr="00FB6769">
        <w:rPr>
          <w:rFonts w:ascii="Times New Roman" w:eastAsia="Times New Roman" w:hAnsi="Times New Roman" w:cs="Times New Roman"/>
          <w:color w:val="000000" w:themeColor="text1"/>
        </w:rPr>
        <w:t>terminological distinction that can allow scholars to more precisely identify and critique issues of wellness, acknowledge wellbeing, and explore wellbeing’s pedagogical importance</w:t>
      </w:r>
      <w:r w:rsidR="00FC7895" w:rsidRPr="00862E6F">
        <w:rPr>
          <w:rFonts w:ascii="Times New Roman" w:eastAsia="Times New Roman" w:hAnsi="Times New Roman" w:cs="Times New Roman"/>
          <w:color w:val="000000" w:themeColor="text1"/>
        </w:rPr>
        <w:t>.</w:t>
      </w:r>
      <w:r w:rsidR="00D7053F" w:rsidRPr="00862E6F">
        <w:rPr>
          <w:rFonts w:ascii="Times New Roman" w:eastAsia="Times New Roman" w:hAnsi="Times New Roman" w:cs="Times New Roman"/>
          <w:color w:val="000000" w:themeColor="text1"/>
        </w:rPr>
        <w:t xml:space="preserve"> </w:t>
      </w:r>
      <w:r w:rsidR="002D2650" w:rsidRPr="00862E6F">
        <w:rPr>
          <w:rStyle w:val="FootnoteReference"/>
          <w:rFonts w:ascii="Times New Roman" w:eastAsia="Times New Roman" w:hAnsi="Times New Roman" w:cs="Times New Roman"/>
          <w:color w:val="000000" w:themeColor="text1"/>
        </w:rPr>
        <w:footnoteReference w:id="13"/>
      </w:r>
      <w:r w:rsidR="002D2650" w:rsidRPr="00FB6769">
        <w:rPr>
          <w:rFonts w:ascii="Times New Roman" w:eastAsia="Times New Roman" w:hAnsi="Times New Roman" w:cs="Times New Roman"/>
          <w:color w:val="000000" w:themeColor="text1"/>
        </w:rPr>
        <w:t xml:space="preserve"> </w:t>
      </w:r>
      <w:r w:rsidR="00331980" w:rsidRPr="00FB6769">
        <w:rPr>
          <w:rFonts w:ascii="Times New Roman" w:eastAsia="Times New Roman" w:hAnsi="Times New Roman" w:cs="Times New Roman"/>
          <w:color w:val="000000" w:themeColor="text1"/>
        </w:rPr>
        <w:t xml:space="preserve"> </w:t>
      </w:r>
    </w:p>
    <w:p w14:paraId="75819AC9" w14:textId="3117027A" w:rsidR="000E1CD4" w:rsidRPr="00FB6769" w:rsidRDefault="2AA0CE03" w:rsidP="002D1E79">
      <w:pPr>
        <w:spacing w:line="480" w:lineRule="auto"/>
        <w:ind w:firstLine="720"/>
        <w:rPr>
          <w:rFonts w:ascii="Times New Roman" w:eastAsia="Times New Roman" w:hAnsi="Times New Roman" w:cs="Times New Roman"/>
          <w:color w:val="000000" w:themeColor="text1"/>
        </w:rPr>
      </w:pPr>
      <w:r w:rsidRPr="2AA0CE03">
        <w:rPr>
          <w:rFonts w:ascii="Times New Roman" w:eastAsia="Times New Roman" w:hAnsi="Times New Roman" w:cs="Times New Roman"/>
          <w:color w:val="000000" w:themeColor="text1"/>
        </w:rPr>
        <w:t xml:space="preserve">In the </w:t>
      </w:r>
      <w:r w:rsidRPr="2AA0CE03">
        <w:rPr>
          <w:rFonts w:ascii="Times New Roman" w:eastAsia="Times New Roman" w:hAnsi="Times New Roman" w:cs="Times New Roman"/>
          <w:i/>
          <w:iCs/>
          <w:color w:val="000000" w:themeColor="text1"/>
        </w:rPr>
        <w:t>Oxford English Dictionary</w:t>
      </w:r>
      <w:r w:rsidRPr="2AA0CE03">
        <w:rPr>
          <w:rFonts w:ascii="Times New Roman" w:eastAsia="Times New Roman" w:hAnsi="Times New Roman" w:cs="Times New Roman"/>
          <w:color w:val="000000" w:themeColor="text1"/>
        </w:rPr>
        <w:t>, “w</w:t>
      </w:r>
      <w:r w:rsidR="00BB5CCC" w:rsidRPr="007F0F2D">
        <w:rPr>
          <w:rFonts w:ascii="Times New Roman" w:eastAsia="Times New Roman" w:hAnsi="Times New Roman" w:cs="Times New Roman"/>
          <w:color w:val="000000" w:themeColor="text1"/>
        </w:rPr>
        <w:t>ellness</w:t>
      </w:r>
      <w:r w:rsidRPr="2AA0CE03">
        <w:rPr>
          <w:rFonts w:ascii="Times New Roman" w:eastAsia="Times New Roman" w:hAnsi="Times New Roman" w:cs="Times New Roman"/>
          <w:color w:val="000000" w:themeColor="text1"/>
        </w:rPr>
        <w:t>”</w:t>
      </w:r>
      <w:r w:rsidR="00BB5CCC" w:rsidRPr="00FB6769">
        <w:rPr>
          <w:rFonts w:ascii="Times New Roman" w:eastAsia="Times New Roman" w:hAnsi="Times New Roman" w:cs="Times New Roman"/>
          <w:color w:val="000000" w:themeColor="text1"/>
        </w:rPr>
        <w:t xml:space="preserve"> has two primary </w:t>
      </w:r>
      <w:r w:rsidR="00C946A2" w:rsidRPr="00FB6769">
        <w:rPr>
          <w:rFonts w:ascii="Times New Roman" w:eastAsia="Times New Roman" w:hAnsi="Times New Roman" w:cs="Times New Roman"/>
          <w:color w:val="000000" w:themeColor="text1"/>
        </w:rPr>
        <w:t>definitions, each reflecting aspects of h</w:t>
      </w:r>
      <w:r w:rsidR="002D2650" w:rsidRPr="00FB6769">
        <w:rPr>
          <w:rFonts w:ascii="Times New Roman" w:eastAsia="Times New Roman" w:hAnsi="Times New Roman" w:cs="Times New Roman"/>
          <w:color w:val="000000" w:themeColor="text1"/>
        </w:rPr>
        <w:t xml:space="preserve">ow the </w:t>
      </w:r>
      <w:r w:rsidR="00C946A2" w:rsidRPr="00FB6769">
        <w:rPr>
          <w:rFonts w:ascii="Times New Roman" w:eastAsia="Times New Roman" w:hAnsi="Times New Roman" w:cs="Times New Roman"/>
          <w:color w:val="000000" w:themeColor="text1"/>
        </w:rPr>
        <w:t xml:space="preserve">concept </w:t>
      </w:r>
      <w:r w:rsidR="00784472" w:rsidRPr="00FB6769">
        <w:rPr>
          <w:rFonts w:ascii="Times New Roman" w:eastAsia="Times New Roman" w:hAnsi="Times New Roman" w:cs="Times New Roman"/>
          <w:color w:val="000000" w:themeColor="text1"/>
        </w:rPr>
        <w:t>has come to operate</w:t>
      </w:r>
      <w:r w:rsidR="002D2650" w:rsidRPr="00FB6769">
        <w:rPr>
          <w:rFonts w:ascii="Times New Roman" w:eastAsia="Times New Roman" w:hAnsi="Times New Roman" w:cs="Times New Roman"/>
          <w:color w:val="000000" w:themeColor="text1"/>
        </w:rPr>
        <w:t xml:space="preserve"> in contemporary society</w:t>
      </w:r>
      <w:r w:rsidR="00BB5CCC" w:rsidRPr="00FB6769">
        <w:rPr>
          <w:rFonts w:ascii="Times New Roman" w:eastAsia="Times New Roman" w:hAnsi="Times New Roman" w:cs="Times New Roman"/>
          <w:color w:val="000000" w:themeColor="text1"/>
        </w:rPr>
        <w:t>. The first</w:t>
      </w:r>
      <w:r w:rsidR="00C946A2" w:rsidRPr="00FB6769">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color w:val="000000" w:themeColor="text1"/>
        </w:rPr>
        <w:t xml:space="preserve">sense of “wellness” </w:t>
      </w:r>
      <w:r w:rsidR="006A0C9B" w:rsidRPr="00FB6769">
        <w:rPr>
          <w:rFonts w:ascii="Times New Roman" w:eastAsia="Times New Roman" w:hAnsi="Times New Roman" w:cs="Times New Roman"/>
          <w:color w:val="000000" w:themeColor="text1"/>
        </w:rPr>
        <w:t xml:space="preserve">had </w:t>
      </w:r>
      <w:r w:rsidR="00BB5CCC" w:rsidRPr="00FB6769">
        <w:rPr>
          <w:rFonts w:ascii="Times New Roman" w:eastAsia="Times New Roman" w:hAnsi="Times New Roman" w:cs="Times New Roman"/>
          <w:color w:val="000000" w:themeColor="text1"/>
        </w:rPr>
        <w:t>appeared by the 17</w:t>
      </w:r>
      <w:r w:rsidR="00BB5CCC" w:rsidRPr="00FB6769">
        <w:rPr>
          <w:rFonts w:ascii="Times New Roman" w:eastAsia="Times New Roman" w:hAnsi="Times New Roman" w:cs="Times New Roman"/>
          <w:color w:val="000000" w:themeColor="text1"/>
          <w:vertAlign w:val="superscript"/>
        </w:rPr>
        <w:t>th</w:t>
      </w:r>
      <w:r w:rsidR="00BB5CCC" w:rsidRPr="00FB6769">
        <w:rPr>
          <w:rFonts w:ascii="Times New Roman" w:eastAsia="Times New Roman" w:hAnsi="Times New Roman" w:cs="Times New Roman"/>
          <w:color w:val="000000" w:themeColor="text1"/>
        </w:rPr>
        <w:t xml:space="preserve"> century, while the second took root in the mid-20</w:t>
      </w:r>
      <w:r w:rsidR="00BB5CCC" w:rsidRPr="00FB6769">
        <w:rPr>
          <w:rFonts w:ascii="Times New Roman" w:eastAsia="Times New Roman" w:hAnsi="Times New Roman" w:cs="Times New Roman"/>
          <w:color w:val="000000" w:themeColor="text1"/>
          <w:vertAlign w:val="superscript"/>
        </w:rPr>
        <w:t>th</w:t>
      </w:r>
      <w:r w:rsidR="00BB5CCC" w:rsidRPr="00FB6769">
        <w:rPr>
          <w:rFonts w:ascii="Times New Roman" w:eastAsia="Times New Roman" w:hAnsi="Times New Roman" w:cs="Times New Roman"/>
          <w:color w:val="000000" w:themeColor="text1"/>
        </w:rPr>
        <w:t xml:space="preserve"> century.</w:t>
      </w:r>
      <w:r w:rsidR="00D70234" w:rsidRPr="00FB6769">
        <w:rPr>
          <w:rFonts w:ascii="Times New Roman" w:eastAsia="Times New Roman" w:hAnsi="Times New Roman" w:cs="Times New Roman"/>
          <w:color w:val="000000" w:themeColor="text1"/>
        </w:rPr>
        <w:t xml:space="preserve"> Both are problematic for who they exclude, and why.</w:t>
      </w:r>
      <w:r w:rsidR="00BB5CCC" w:rsidRPr="00FB6769">
        <w:rPr>
          <w:rFonts w:ascii="Times New Roman" w:eastAsia="Times New Roman" w:hAnsi="Times New Roman" w:cs="Times New Roman"/>
          <w:color w:val="000000" w:themeColor="text1"/>
        </w:rPr>
        <w:t xml:space="preserve"> The first </w:t>
      </w:r>
      <w:r w:rsidR="00D70234" w:rsidRPr="00FB6769">
        <w:rPr>
          <w:rFonts w:ascii="Times New Roman" w:eastAsia="Times New Roman" w:hAnsi="Times New Roman" w:cs="Times New Roman"/>
          <w:color w:val="000000" w:themeColor="text1"/>
        </w:rPr>
        <w:t xml:space="preserve">definition </w:t>
      </w:r>
      <w:r w:rsidR="00BB5CCC" w:rsidRPr="00FB6769">
        <w:rPr>
          <w:rFonts w:ascii="Times New Roman" w:eastAsia="Times New Roman" w:hAnsi="Times New Roman" w:cs="Times New Roman"/>
          <w:color w:val="000000" w:themeColor="text1"/>
        </w:rPr>
        <w:t xml:space="preserve">equates wellness with </w:t>
      </w:r>
      <w:r w:rsidR="00D70234" w:rsidRPr="00FB6769">
        <w:rPr>
          <w:rFonts w:ascii="Times New Roman" w:eastAsia="Times New Roman" w:hAnsi="Times New Roman" w:cs="Times New Roman"/>
          <w:color w:val="000000" w:themeColor="text1"/>
        </w:rPr>
        <w:t xml:space="preserve">physical </w:t>
      </w:r>
      <w:r w:rsidR="00BB5CCC" w:rsidRPr="00FB6769">
        <w:rPr>
          <w:rFonts w:ascii="Times New Roman" w:eastAsia="Times New Roman" w:hAnsi="Times New Roman" w:cs="Times New Roman"/>
          <w:color w:val="000000" w:themeColor="text1"/>
        </w:rPr>
        <w:t>health: “The state or condition of being well or in good health, in contrast to being ill; the absence of sickness; the state of (full or temporary) recovery from illness or injury</w:t>
      </w:r>
      <w:r w:rsidR="00941D4F" w:rsidRPr="00FB6769">
        <w:rPr>
          <w:rFonts w:ascii="Times New Roman" w:eastAsia="Times New Roman" w:hAnsi="Times New Roman" w:cs="Times New Roman"/>
          <w:color w:val="000000" w:themeColor="text1"/>
        </w:rPr>
        <w:t>.”</w:t>
      </w:r>
      <w:r w:rsidR="00BB5CCC" w:rsidRPr="00FB6769">
        <w:rPr>
          <w:rFonts w:ascii="Times New Roman" w:eastAsia="Times New Roman" w:hAnsi="Times New Roman" w:cs="Times New Roman"/>
          <w:color w:val="000000" w:themeColor="text1"/>
        </w:rPr>
        <w:t xml:space="preserve"> </w:t>
      </w:r>
      <w:r w:rsidR="006A0C9B" w:rsidRPr="00FB6769">
        <w:rPr>
          <w:rFonts w:ascii="Times New Roman" w:eastAsia="Times New Roman" w:hAnsi="Times New Roman" w:cs="Times New Roman"/>
          <w:color w:val="000000" w:themeColor="text1"/>
        </w:rPr>
        <w:t>This</w:t>
      </w:r>
      <w:r w:rsidR="00E2724E" w:rsidRPr="00FB6769">
        <w:rPr>
          <w:rFonts w:ascii="Times New Roman" w:eastAsia="Times New Roman" w:hAnsi="Times New Roman" w:cs="Times New Roman"/>
          <w:color w:val="000000" w:themeColor="text1"/>
        </w:rPr>
        <w:t xml:space="preserve"> definition</w:t>
      </w:r>
      <w:r w:rsidR="006A0C9B" w:rsidRPr="00FB6769">
        <w:rPr>
          <w:rFonts w:ascii="Times New Roman" w:eastAsia="Times New Roman" w:hAnsi="Times New Roman" w:cs="Times New Roman"/>
          <w:color w:val="000000" w:themeColor="text1"/>
        </w:rPr>
        <w:t xml:space="preserve"> is straightforward and unsurprising in its exclusion</w:t>
      </w:r>
      <w:r w:rsidR="00B57AE4" w:rsidRPr="00FB6769">
        <w:rPr>
          <w:rFonts w:ascii="Times New Roman" w:eastAsia="Times New Roman" w:hAnsi="Times New Roman" w:cs="Times New Roman"/>
          <w:color w:val="000000" w:themeColor="text1"/>
        </w:rPr>
        <w:t>s</w:t>
      </w:r>
      <w:r w:rsidR="00CB1253" w:rsidRPr="00FB6769">
        <w:rPr>
          <w:rFonts w:ascii="Times New Roman" w:eastAsia="Times New Roman" w:hAnsi="Times New Roman" w:cs="Times New Roman"/>
          <w:color w:val="000000" w:themeColor="text1"/>
        </w:rPr>
        <w:t>. It p</w:t>
      </w:r>
      <w:r w:rsidR="006A0C9B" w:rsidRPr="00FB6769">
        <w:rPr>
          <w:rFonts w:ascii="Times New Roman" w:eastAsia="Times New Roman" w:hAnsi="Times New Roman" w:cs="Times New Roman"/>
          <w:color w:val="000000" w:themeColor="text1"/>
        </w:rPr>
        <w:t>reclud</w:t>
      </w:r>
      <w:r w:rsidR="00CB1253" w:rsidRPr="00FB6769">
        <w:rPr>
          <w:rFonts w:ascii="Times New Roman" w:eastAsia="Times New Roman" w:hAnsi="Times New Roman" w:cs="Times New Roman"/>
          <w:color w:val="000000" w:themeColor="text1"/>
        </w:rPr>
        <w:t>es</w:t>
      </w:r>
      <w:r w:rsidR="00BB5CCC" w:rsidRPr="00FB6769">
        <w:rPr>
          <w:rFonts w:ascii="Times New Roman" w:eastAsia="Times New Roman" w:hAnsi="Times New Roman" w:cs="Times New Roman"/>
          <w:color w:val="000000" w:themeColor="text1"/>
        </w:rPr>
        <w:t xml:space="preserve"> </w:t>
      </w:r>
      <w:r w:rsidR="006A0C9B" w:rsidRPr="00FB6769">
        <w:rPr>
          <w:rFonts w:ascii="Times New Roman" w:eastAsia="Times New Roman" w:hAnsi="Times New Roman" w:cs="Times New Roman"/>
          <w:color w:val="000000" w:themeColor="text1"/>
        </w:rPr>
        <w:t xml:space="preserve">many </w:t>
      </w:r>
      <w:r w:rsidR="00BB5CCC" w:rsidRPr="00FB6769">
        <w:rPr>
          <w:rFonts w:ascii="Times New Roman" w:eastAsia="Times New Roman" w:hAnsi="Times New Roman" w:cs="Times New Roman"/>
          <w:color w:val="000000" w:themeColor="text1"/>
        </w:rPr>
        <w:t xml:space="preserve">disabled and </w:t>
      </w:r>
      <w:r w:rsidR="006A0C9B" w:rsidRPr="00FB6769">
        <w:rPr>
          <w:rFonts w:ascii="Times New Roman" w:eastAsia="Times New Roman" w:hAnsi="Times New Roman" w:cs="Times New Roman"/>
          <w:color w:val="000000" w:themeColor="text1"/>
        </w:rPr>
        <w:t xml:space="preserve">all </w:t>
      </w:r>
      <w:r w:rsidR="00BB5CCC" w:rsidRPr="00FB6769">
        <w:rPr>
          <w:rFonts w:ascii="Times New Roman" w:eastAsia="Times New Roman" w:hAnsi="Times New Roman" w:cs="Times New Roman"/>
          <w:color w:val="000000" w:themeColor="text1"/>
        </w:rPr>
        <w:t>sick people</w:t>
      </w:r>
      <w:r w:rsidR="006A0C9B" w:rsidRPr="00FB6769">
        <w:rPr>
          <w:rFonts w:ascii="Times New Roman" w:eastAsia="Times New Roman" w:hAnsi="Times New Roman" w:cs="Times New Roman"/>
          <w:color w:val="000000" w:themeColor="text1"/>
        </w:rPr>
        <w:t xml:space="preserve"> from</w:t>
      </w:r>
      <w:r w:rsidR="00D70234" w:rsidRPr="00FB6769">
        <w:rPr>
          <w:rFonts w:ascii="Times New Roman" w:eastAsia="Times New Roman" w:hAnsi="Times New Roman" w:cs="Times New Roman"/>
          <w:color w:val="000000" w:themeColor="text1"/>
        </w:rPr>
        <w:t xml:space="preserve"> “being well</w:t>
      </w:r>
      <w:r w:rsidR="00BB5CCC" w:rsidRPr="00FB6769">
        <w:rPr>
          <w:rFonts w:ascii="Times New Roman" w:eastAsia="Times New Roman" w:hAnsi="Times New Roman" w:cs="Times New Roman"/>
          <w:color w:val="000000" w:themeColor="text1"/>
        </w:rPr>
        <w:t>,</w:t>
      </w:r>
      <w:r w:rsidR="00D70234" w:rsidRPr="00FB6769">
        <w:rPr>
          <w:rFonts w:ascii="Times New Roman" w:eastAsia="Times New Roman" w:hAnsi="Times New Roman" w:cs="Times New Roman"/>
          <w:color w:val="000000" w:themeColor="text1"/>
        </w:rPr>
        <w:t>”</w:t>
      </w:r>
      <w:r w:rsidR="00BB5CCC" w:rsidRPr="00FB6769">
        <w:rPr>
          <w:rFonts w:ascii="Times New Roman" w:eastAsia="Times New Roman" w:hAnsi="Times New Roman" w:cs="Times New Roman"/>
          <w:color w:val="000000" w:themeColor="text1"/>
        </w:rPr>
        <w:t xml:space="preserve"> </w:t>
      </w:r>
      <w:r w:rsidR="00AF081C" w:rsidRPr="00FB6769">
        <w:rPr>
          <w:rFonts w:ascii="Times New Roman" w:eastAsia="Times New Roman" w:hAnsi="Times New Roman" w:cs="Times New Roman"/>
          <w:color w:val="000000" w:themeColor="text1"/>
        </w:rPr>
        <w:t>even while acknowledging</w:t>
      </w:r>
      <w:r w:rsidR="00D70234" w:rsidRPr="00FB6769">
        <w:rPr>
          <w:rFonts w:ascii="Times New Roman" w:eastAsia="Times New Roman" w:hAnsi="Times New Roman" w:cs="Times New Roman"/>
          <w:color w:val="000000" w:themeColor="text1"/>
        </w:rPr>
        <w:t xml:space="preserve"> that “temporary” recovery can </w:t>
      </w:r>
      <w:r w:rsidRPr="2AA0CE03">
        <w:rPr>
          <w:rFonts w:ascii="Times New Roman" w:eastAsia="Times New Roman" w:hAnsi="Times New Roman" w:cs="Times New Roman"/>
          <w:color w:val="000000" w:themeColor="text1"/>
        </w:rPr>
        <w:t>amount to</w:t>
      </w:r>
      <w:r w:rsidR="00D70234" w:rsidRPr="00FB6769">
        <w:rPr>
          <w:rFonts w:ascii="Times New Roman" w:eastAsia="Times New Roman" w:hAnsi="Times New Roman" w:cs="Times New Roman"/>
          <w:color w:val="000000" w:themeColor="text1"/>
        </w:rPr>
        <w:t xml:space="preserve"> wellness. </w:t>
      </w:r>
      <w:r w:rsidR="00BB5CCC" w:rsidRPr="00FB6769">
        <w:rPr>
          <w:rFonts w:ascii="Times New Roman" w:eastAsia="Times New Roman" w:hAnsi="Times New Roman" w:cs="Times New Roman"/>
          <w:color w:val="000000" w:themeColor="text1"/>
        </w:rPr>
        <w:t>The mid-20</w:t>
      </w:r>
      <w:r w:rsidR="00BB5CCC" w:rsidRPr="00FB6769">
        <w:rPr>
          <w:rFonts w:ascii="Times New Roman" w:eastAsia="Times New Roman" w:hAnsi="Times New Roman" w:cs="Times New Roman"/>
          <w:color w:val="000000" w:themeColor="text1"/>
          <w:vertAlign w:val="superscript"/>
        </w:rPr>
        <w:t>th</w:t>
      </w:r>
      <w:r w:rsidR="00BB5CCC" w:rsidRPr="00FB6769">
        <w:rPr>
          <w:rFonts w:ascii="Times New Roman" w:eastAsia="Times New Roman" w:hAnsi="Times New Roman" w:cs="Times New Roman"/>
          <w:color w:val="000000" w:themeColor="text1"/>
        </w:rPr>
        <w:t xml:space="preserve"> century definition is</w:t>
      </w:r>
      <w:r w:rsidR="00AF081C" w:rsidRPr="00FB6769">
        <w:rPr>
          <w:rFonts w:ascii="Times New Roman" w:eastAsia="Times New Roman" w:hAnsi="Times New Roman" w:cs="Times New Roman"/>
          <w:color w:val="000000" w:themeColor="text1"/>
        </w:rPr>
        <w:t xml:space="preserve"> </w:t>
      </w:r>
      <w:r w:rsidR="00BB5CCC" w:rsidRPr="00FB6769">
        <w:rPr>
          <w:rFonts w:ascii="Times New Roman" w:eastAsia="Times New Roman" w:hAnsi="Times New Roman" w:cs="Times New Roman"/>
          <w:color w:val="000000" w:themeColor="text1"/>
        </w:rPr>
        <w:t xml:space="preserve">more </w:t>
      </w:r>
      <w:r w:rsidR="00D71A7E" w:rsidRPr="00FB6769">
        <w:rPr>
          <w:rFonts w:ascii="Times New Roman" w:eastAsia="Times New Roman" w:hAnsi="Times New Roman" w:cs="Times New Roman"/>
          <w:color w:val="000000" w:themeColor="text1"/>
        </w:rPr>
        <w:t>troubling</w:t>
      </w:r>
      <w:r w:rsidR="00BB5CCC" w:rsidRPr="00FB6769">
        <w:rPr>
          <w:rFonts w:ascii="Times New Roman" w:eastAsia="Times New Roman" w:hAnsi="Times New Roman" w:cs="Times New Roman"/>
          <w:color w:val="000000" w:themeColor="text1"/>
        </w:rPr>
        <w:t>: “As a positive rather than contrastive quality: the state or condition of being in good physical, mental, and spiritual health, esp. as an actively pursued goal; well-being.”</w:t>
      </w:r>
      <w:r w:rsidR="00941D4F" w:rsidRPr="00FB6769">
        <w:rPr>
          <w:rStyle w:val="FootnoteReference"/>
          <w:rFonts w:ascii="Times New Roman" w:eastAsia="Times New Roman" w:hAnsi="Times New Roman" w:cs="Times New Roman"/>
          <w:color w:val="000000" w:themeColor="text1"/>
        </w:rPr>
        <w:footnoteReference w:id="14"/>
      </w:r>
      <w:r w:rsidR="00941D4F" w:rsidRPr="00FB6769">
        <w:rPr>
          <w:rFonts w:ascii="Times New Roman" w:eastAsia="Times New Roman" w:hAnsi="Times New Roman" w:cs="Times New Roman"/>
          <w:color w:val="000000" w:themeColor="text1"/>
        </w:rPr>
        <w:t xml:space="preserve"> </w:t>
      </w:r>
      <w:r w:rsidR="00BB5CCC" w:rsidRPr="00FB6769">
        <w:rPr>
          <w:rFonts w:ascii="Times New Roman" w:eastAsia="Times New Roman" w:hAnsi="Times New Roman" w:cs="Times New Roman"/>
          <w:color w:val="000000" w:themeColor="text1"/>
        </w:rPr>
        <w:t xml:space="preserve">Framing wellness as a “goal” to be “pursued” </w:t>
      </w:r>
      <w:r w:rsidR="00114276" w:rsidRPr="00FB6769">
        <w:rPr>
          <w:rFonts w:ascii="Times New Roman" w:eastAsia="Times New Roman" w:hAnsi="Times New Roman" w:cs="Times New Roman"/>
          <w:color w:val="000000" w:themeColor="text1"/>
        </w:rPr>
        <w:t xml:space="preserve">demands </w:t>
      </w:r>
      <w:r w:rsidR="00852DFA" w:rsidRPr="00FB6769">
        <w:rPr>
          <w:rFonts w:ascii="Times New Roman" w:eastAsia="Times New Roman" w:hAnsi="Times New Roman" w:cs="Times New Roman"/>
          <w:color w:val="000000" w:themeColor="text1"/>
        </w:rPr>
        <w:t xml:space="preserve">“physical, mental, and spiritual” </w:t>
      </w:r>
      <w:r w:rsidR="00114276" w:rsidRPr="00FB6769">
        <w:rPr>
          <w:rFonts w:ascii="Times New Roman" w:eastAsia="Times New Roman" w:hAnsi="Times New Roman" w:cs="Times New Roman"/>
          <w:color w:val="000000" w:themeColor="text1"/>
        </w:rPr>
        <w:t>labor from the pursuer</w:t>
      </w:r>
      <w:r w:rsidR="00705C88" w:rsidRPr="00FB6769">
        <w:rPr>
          <w:rFonts w:ascii="Times New Roman" w:eastAsia="Times New Roman" w:hAnsi="Times New Roman" w:cs="Times New Roman"/>
          <w:color w:val="000000" w:themeColor="text1"/>
        </w:rPr>
        <w:t>.</w:t>
      </w:r>
      <w:r w:rsidR="00A3359E" w:rsidRPr="00FB6769">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color w:val="000000" w:themeColor="text1"/>
        </w:rPr>
        <w:t>Notably</w:t>
      </w:r>
      <w:r w:rsidR="00BB5CCC" w:rsidRPr="00FB6769">
        <w:rPr>
          <w:rFonts w:ascii="Times New Roman" w:eastAsia="Times New Roman" w:hAnsi="Times New Roman" w:cs="Times New Roman"/>
          <w:color w:val="000000" w:themeColor="text1"/>
        </w:rPr>
        <w:t>, its emphasis on agency (“</w:t>
      </w:r>
      <w:r w:rsidR="00BB5CCC" w:rsidRPr="2AA0CE03">
        <w:rPr>
          <w:rFonts w:ascii="Times New Roman" w:eastAsia="Times New Roman" w:hAnsi="Times New Roman" w:cs="Times New Roman"/>
          <w:i/>
          <w:iCs/>
          <w:color w:val="000000" w:themeColor="text1"/>
        </w:rPr>
        <w:t>actively</w:t>
      </w:r>
      <w:r w:rsidR="00BB5CCC" w:rsidRPr="00FB6769">
        <w:rPr>
          <w:rFonts w:ascii="Times New Roman" w:eastAsia="Times New Roman" w:hAnsi="Times New Roman" w:cs="Times New Roman"/>
          <w:color w:val="000000" w:themeColor="text1"/>
        </w:rPr>
        <w:t xml:space="preserve"> pursued”) </w:t>
      </w:r>
      <w:r w:rsidRPr="2AA0CE03">
        <w:rPr>
          <w:rFonts w:ascii="Times New Roman" w:eastAsia="Times New Roman" w:hAnsi="Times New Roman" w:cs="Times New Roman"/>
          <w:color w:val="000000" w:themeColor="text1"/>
        </w:rPr>
        <w:t>implicates</w:t>
      </w:r>
      <w:r w:rsidR="00BB5CCC" w:rsidRPr="00FB6769">
        <w:rPr>
          <w:rFonts w:ascii="Times New Roman" w:eastAsia="Times New Roman" w:hAnsi="Times New Roman" w:cs="Times New Roman"/>
          <w:color w:val="000000" w:themeColor="text1"/>
        </w:rPr>
        <w:t xml:space="preserve"> the pursuer for </w:t>
      </w:r>
      <w:r w:rsidR="00184693" w:rsidRPr="00FB6769">
        <w:rPr>
          <w:rFonts w:ascii="Times New Roman" w:eastAsia="Times New Roman" w:hAnsi="Times New Roman" w:cs="Times New Roman"/>
          <w:color w:val="000000" w:themeColor="text1"/>
        </w:rPr>
        <w:t xml:space="preserve">any </w:t>
      </w:r>
      <w:r w:rsidR="00705C88" w:rsidRPr="00FB6769">
        <w:rPr>
          <w:rFonts w:ascii="Times New Roman" w:eastAsia="Times New Roman" w:hAnsi="Times New Roman" w:cs="Times New Roman"/>
          <w:color w:val="000000" w:themeColor="text1"/>
        </w:rPr>
        <w:t>failure to achieve or maintain that goal</w:t>
      </w:r>
      <w:r w:rsidR="00BB5CCC" w:rsidRPr="00FB6769">
        <w:rPr>
          <w:rFonts w:ascii="Times New Roman" w:eastAsia="Times New Roman" w:hAnsi="Times New Roman" w:cs="Times New Roman"/>
          <w:color w:val="000000" w:themeColor="text1"/>
        </w:rPr>
        <w:t xml:space="preserve">. </w:t>
      </w:r>
      <w:r w:rsidR="002D1E79" w:rsidRPr="00FB6769">
        <w:rPr>
          <w:rFonts w:ascii="Times New Roman" w:eastAsia="Times New Roman" w:hAnsi="Times New Roman" w:cs="Times New Roman"/>
          <w:color w:val="000000" w:themeColor="text1"/>
        </w:rPr>
        <w:t xml:space="preserve">And the definition’s emphasis </w:t>
      </w:r>
      <w:r w:rsidR="006A0C9B" w:rsidRPr="00FB6769">
        <w:rPr>
          <w:rFonts w:ascii="Times New Roman" w:eastAsia="Times New Roman" w:hAnsi="Times New Roman" w:cs="Times New Roman"/>
          <w:color w:val="000000" w:themeColor="text1"/>
        </w:rPr>
        <w:t xml:space="preserve">on </w:t>
      </w:r>
      <w:r w:rsidR="002D1E79" w:rsidRPr="00FB6769">
        <w:rPr>
          <w:rFonts w:ascii="Times New Roman" w:eastAsia="Times New Roman" w:hAnsi="Times New Roman" w:cs="Times New Roman"/>
          <w:color w:val="000000" w:themeColor="text1"/>
        </w:rPr>
        <w:t xml:space="preserve">wellness </w:t>
      </w:r>
      <w:r w:rsidR="006A0C9B" w:rsidRPr="00FB6769">
        <w:rPr>
          <w:rFonts w:ascii="Times New Roman" w:eastAsia="Times New Roman" w:hAnsi="Times New Roman" w:cs="Times New Roman"/>
          <w:color w:val="000000" w:themeColor="text1"/>
        </w:rPr>
        <w:t xml:space="preserve">as </w:t>
      </w:r>
      <w:r w:rsidR="002D1E79" w:rsidRPr="00FB6769">
        <w:rPr>
          <w:rFonts w:ascii="Times New Roman" w:eastAsia="Times New Roman" w:hAnsi="Times New Roman" w:cs="Times New Roman"/>
          <w:color w:val="000000" w:themeColor="text1"/>
        </w:rPr>
        <w:t xml:space="preserve">a “positive rather than contrastive quality” </w:t>
      </w:r>
      <w:r w:rsidR="002D1E79" w:rsidRPr="00FB6769">
        <w:rPr>
          <w:rFonts w:ascii="Times New Roman" w:eastAsia="Times New Roman" w:hAnsi="Times New Roman" w:cs="Times New Roman"/>
          <w:color w:val="000000" w:themeColor="text1"/>
        </w:rPr>
        <w:lastRenderedPageBreak/>
        <w:t>means its “good” is static and ideal, not flexible and relative.</w:t>
      </w:r>
      <w:r w:rsidR="000E1CD4" w:rsidRPr="00FB6769">
        <w:rPr>
          <w:rFonts w:ascii="Times New Roman" w:eastAsia="Times New Roman" w:hAnsi="Times New Roman" w:cs="Times New Roman"/>
          <w:color w:val="000000" w:themeColor="text1"/>
        </w:rPr>
        <w:t xml:space="preserve"> This </w:t>
      </w:r>
      <w:r w:rsidR="00E2724E" w:rsidRPr="00FB6769">
        <w:rPr>
          <w:rFonts w:ascii="Times New Roman" w:eastAsia="Times New Roman" w:hAnsi="Times New Roman" w:cs="Times New Roman"/>
          <w:color w:val="000000" w:themeColor="text1"/>
        </w:rPr>
        <w:t xml:space="preserve">more recent </w:t>
      </w:r>
      <w:r w:rsidR="000E1CD4" w:rsidRPr="00FB6769">
        <w:rPr>
          <w:rFonts w:ascii="Times New Roman" w:eastAsia="Times New Roman" w:hAnsi="Times New Roman" w:cs="Times New Roman"/>
          <w:color w:val="000000" w:themeColor="text1"/>
        </w:rPr>
        <w:t xml:space="preserve">definition </w:t>
      </w:r>
      <w:r w:rsidR="00784472" w:rsidRPr="00FB6769">
        <w:rPr>
          <w:rFonts w:ascii="Times New Roman" w:eastAsia="Times New Roman" w:hAnsi="Times New Roman" w:cs="Times New Roman"/>
          <w:color w:val="000000" w:themeColor="text1"/>
        </w:rPr>
        <w:t xml:space="preserve">implies wellness </w:t>
      </w:r>
      <w:r w:rsidR="00F74C54" w:rsidRPr="00FB6769">
        <w:rPr>
          <w:rFonts w:ascii="Times New Roman" w:eastAsia="Times New Roman" w:hAnsi="Times New Roman" w:cs="Times New Roman"/>
          <w:color w:val="000000" w:themeColor="text1"/>
        </w:rPr>
        <w:t>in fact</w:t>
      </w:r>
      <w:r w:rsidRPr="2AA0CE03">
        <w:rPr>
          <w:rFonts w:ascii="Times New Roman" w:eastAsia="Times New Roman" w:hAnsi="Times New Roman" w:cs="Times New Roman"/>
          <w:color w:val="000000" w:themeColor="text1"/>
        </w:rPr>
        <w:t xml:space="preserve"> has become</w:t>
      </w:r>
      <w:r w:rsidR="00F74C54" w:rsidRPr="00FB6769">
        <w:rPr>
          <w:rFonts w:ascii="Times New Roman" w:eastAsia="Times New Roman" w:hAnsi="Times New Roman" w:cs="Times New Roman"/>
          <w:color w:val="000000" w:themeColor="text1"/>
        </w:rPr>
        <w:t xml:space="preserve"> </w:t>
      </w:r>
      <w:r w:rsidR="000E1CD4" w:rsidRPr="00FB6769">
        <w:rPr>
          <w:rFonts w:ascii="Times New Roman" w:eastAsia="Times New Roman" w:hAnsi="Times New Roman" w:cs="Times New Roman"/>
          <w:color w:val="000000" w:themeColor="text1"/>
        </w:rPr>
        <w:t xml:space="preserve">a </w:t>
      </w:r>
      <w:r w:rsidR="00F74C54" w:rsidRPr="00FB6769">
        <w:rPr>
          <w:rFonts w:ascii="Times New Roman" w:eastAsia="Times New Roman" w:hAnsi="Times New Roman" w:cs="Times New Roman"/>
          <w:color w:val="000000" w:themeColor="text1"/>
        </w:rPr>
        <w:t xml:space="preserve">moral </w:t>
      </w:r>
      <w:r w:rsidR="000E1CD4" w:rsidRPr="00FB6769">
        <w:rPr>
          <w:rFonts w:ascii="Times New Roman" w:eastAsia="Times New Roman" w:hAnsi="Times New Roman" w:cs="Times New Roman"/>
          <w:color w:val="000000" w:themeColor="text1"/>
        </w:rPr>
        <w:t>virtue</w:t>
      </w:r>
      <w:r w:rsidR="00CB1253" w:rsidRPr="00FB6769">
        <w:rPr>
          <w:rFonts w:ascii="Times New Roman" w:eastAsia="Times New Roman" w:hAnsi="Times New Roman" w:cs="Times New Roman"/>
          <w:color w:val="000000" w:themeColor="text1"/>
        </w:rPr>
        <w:t xml:space="preserve"> that demands independent effort to achieve.</w:t>
      </w:r>
    </w:p>
    <w:p w14:paraId="5BA27B4C" w14:textId="43E6F992" w:rsidR="00F94C37" w:rsidRPr="00FB6769" w:rsidRDefault="2AA0CE03" w:rsidP="00F94C37">
      <w:pPr>
        <w:spacing w:line="480" w:lineRule="auto"/>
        <w:ind w:firstLine="720"/>
        <w:rPr>
          <w:rFonts w:ascii="Times New Roman" w:eastAsia="Times New Roman" w:hAnsi="Times New Roman" w:cs="Times New Roman"/>
          <w:color w:val="000000" w:themeColor="text1"/>
        </w:rPr>
      </w:pPr>
      <w:r w:rsidRPr="2AA0CE03">
        <w:rPr>
          <w:rFonts w:ascii="Times New Roman" w:eastAsia="Times New Roman" w:hAnsi="Times New Roman" w:cs="Times New Roman"/>
          <w:color w:val="000000" w:themeColor="text1"/>
        </w:rPr>
        <w:t xml:space="preserve">As the OED suggests, as an ideal, wellness is a “state or condition” that excludes not only the disabled, sick, and injured, but also </w:t>
      </w:r>
      <w:proofErr w:type="spellStart"/>
      <w:r w:rsidRPr="2AA0CE03">
        <w:rPr>
          <w:rFonts w:ascii="Times New Roman" w:eastAsia="Times New Roman" w:hAnsi="Times New Roman" w:cs="Times New Roman"/>
          <w:color w:val="000000" w:themeColor="text1"/>
        </w:rPr>
        <w:t>bodyminds</w:t>
      </w:r>
      <w:proofErr w:type="spellEnd"/>
      <w:r w:rsidRPr="2AA0CE03">
        <w:rPr>
          <w:rFonts w:ascii="Times New Roman" w:eastAsia="Times New Roman" w:hAnsi="Times New Roman" w:cs="Times New Roman"/>
          <w:color w:val="000000" w:themeColor="text1"/>
        </w:rPr>
        <w:t xml:space="preserve"> our culture has stigmatized as “unhealthy” by definition—fat or addicted people, for example. It also excludes many who </w:t>
      </w:r>
      <w:r w:rsidR="00B97E23">
        <w:rPr>
          <w:rFonts w:ascii="Times New Roman" w:eastAsia="Times New Roman" w:hAnsi="Times New Roman" w:cs="Times New Roman"/>
          <w:color w:val="000000" w:themeColor="text1"/>
        </w:rPr>
        <w:t>might</w:t>
      </w:r>
      <w:r w:rsidR="00B97E23" w:rsidRPr="2AA0CE03">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color w:val="000000" w:themeColor="text1"/>
        </w:rPr>
        <w:t xml:space="preserve">otherwise be considered “normal” and “healthy” but who lack the social and economic access to resources that sustain “good” health, like adequate food, health insurance, or a workday that allows for sufficient sleep and exercise. Poor people, many people of color, incarcerated people, and others are frequently prevented by systemic oppression from “actively pursuing” wellness—if, in fact, they would even want to pursue it in the first place. As with all ideals, wellness is not something all people can prioritize, even as it is a standard to which most are </w:t>
      </w:r>
      <w:r w:rsidR="00B97E23">
        <w:rPr>
          <w:rFonts w:ascii="Times New Roman" w:eastAsia="Times New Roman" w:hAnsi="Times New Roman" w:cs="Times New Roman"/>
          <w:color w:val="000000" w:themeColor="text1"/>
        </w:rPr>
        <w:t>held</w:t>
      </w:r>
      <w:r w:rsidR="00B97E23" w:rsidRPr="2AA0CE03">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color w:val="000000" w:themeColor="text1"/>
        </w:rPr>
        <w:t>at some point in their lives.</w:t>
      </w:r>
    </w:p>
    <w:p w14:paraId="3D80BDF1" w14:textId="07DA9B66" w:rsidR="00BB5CCC" w:rsidRPr="00FB6769" w:rsidRDefault="00E2724E" w:rsidP="00F94C37">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The link</w:t>
      </w:r>
      <w:r w:rsidR="00F55C28" w:rsidRPr="00FB6769">
        <w:rPr>
          <w:rFonts w:ascii="Times New Roman" w:eastAsia="Times New Roman" w:hAnsi="Times New Roman" w:cs="Times New Roman"/>
          <w:color w:val="000000" w:themeColor="text1"/>
        </w:rPr>
        <w:t>s</w:t>
      </w:r>
      <w:r w:rsidRPr="00FB6769">
        <w:rPr>
          <w:rFonts w:ascii="Times New Roman" w:eastAsia="Times New Roman" w:hAnsi="Times New Roman" w:cs="Times New Roman"/>
          <w:color w:val="000000" w:themeColor="text1"/>
        </w:rPr>
        <w:t xml:space="preserve"> between “wellness” and class </w:t>
      </w:r>
      <w:proofErr w:type="gramStart"/>
      <w:r w:rsidRPr="00FB6769">
        <w:rPr>
          <w:rFonts w:ascii="Times New Roman" w:eastAsia="Times New Roman" w:hAnsi="Times New Roman" w:cs="Times New Roman"/>
          <w:color w:val="000000" w:themeColor="text1"/>
        </w:rPr>
        <w:t>in particular cannot</w:t>
      </w:r>
      <w:proofErr w:type="gramEnd"/>
      <w:r w:rsidRPr="00FB6769">
        <w:rPr>
          <w:rFonts w:ascii="Times New Roman" w:eastAsia="Times New Roman" w:hAnsi="Times New Roman" w:cs="Times New Roman"/>
          <w:color w:val="000000" w:themeColor="text1"/>
        </w:rPr>
        <w:t xml:space="preserve"> be overstated. </w:t>
      </w:r>
      <w:r w:rsidR="004E59F0" w:rsidRPr="00FB6769">
        <w:rPr>
          <w:rFonts w:ascii="Times New Roman" w:eastAsia="Times New Roman" w:hAnsi="Times New Roman" w:cs="Times New Roman"/>
          <w:color w:val="000000" w:themeColor="text1"/>
        </w:rPr>
        <w:t>Some p</w:t>
      </w:r>
      <w:r w:rsidR="00AF06F1" w:rsidRPr="00FB6769">
        <w:rPr>
          <w:rFonts w:ascii="Times New Roman" w:eastAsia="Times New Roman" w:hAnsi="Times New Roman" w:cs="Times New Roman"/>
          <w:color w:val="000000" w:themeColor="text1"/>
        </w:rPr>
        <w:t>rominent a</w:t>
      </w:r>
      <w:r w:rsidRPr="00FB6769">
        <w:rPr>
          <w:rFonts w:ascii="Times New Roman" w:eastAsia="Times New Roman" w:hAnsi="Times New Roman" w:cs="Times New Roman"/>
          <w:color w:val="000000" w:themeColor="text1"/>
        </w:rPr>
        <w:t>spects of wellness</w:t>
      </w:r>
      <w:r w:rsidR="004E59F0" w:rsidRPr="00FB6769">
        <w:rPr>
          <w:rFonts w:ascii="Times New Roman" w:eastAsia="Times New Roman" w:hAnsi="Times New Roman" w:cs="Times New Roman"/>
          <w:color w:val="000000" w:themeColor="text1"/>
        </w:rPr>
        <w:t xml:space="preserve"> culture</w:t>
      </w:r>
      <w:r w:rsidRPr="00FB6769">
        <w:rPr>
          <w:rFonts w:ascii="Times New Roman" w:eastAsia="Times New Roman" w:hAnsi="Times New Roman" w:cs="Times New Roman"/>
          <w:color w:val="000000" w:themeColor="text1"/>
        </w:rPr>
        <w:t>—</w:t>
      </w:r>
      <w:r w:rsidR="00F94C37" w:rsidRPr="00FB6769">
        <w:rPr>
          <w:rFonts w:ascii="Times New Roman" w:eastAsia="Times New Roman" w:hAnsi="Times New Roman" w:cs="Times New Roman"/>
          <w:color w:val="000000" w:themeColor="text1"/>
        </w:rPr>
        <w:t xml:space="preserve">specific </w:t>
      </w:r>
      <w:r w:rsidRPr="00FB6769">
        <w:rPr>
          <w:rFonts w:ascii="Times New Roman" w:eastAsia="Times New Roman" w:hAnsi="Times New Roman" w:cs="Times New Roman"/>
          <w:color w:val="000000" w:themeColor="text1"/>
        </w:rPr>
        <w:t>diet</w:t>
      </w:r>
      <w:r w:rsidR="00F94C37" w:rsidRPr="00FB6769">
        <w:rPr>
          <w:rFonts w:ascii="Times New Roman" w:eastAsia="Times New Roman" w:hAnsi="Times New Roman" w:cs="Times New Roman"/>
          <w:color w:val="000000" w:themeColor="text1"/>
        </w:rPr>
        <w:t>s</w:t>
      </w:r>
      <w:r w:rsidRPr="00FB6769">
        <w:rPr>
          <w:rFonts w:ascii="Times New Roman" w:eastAsia="Times New Roman" w:hAnsi="Times New Roman" w:cs="Times New Roman"/>
          <w:color w:val="000000" w:themeColor="text1"/>
        </w:rPr>
        <w:t xml:space="preserve">, types of exercise, mental health and “self-care” practices—are not only too expensive for </w:t>
      </w:r>
      <w:r w:rsidR="00AF06F1" w:rsidRPr="00FB6769">
        <w:rPr>
          <w:rFonts w:ascii="Times New Roman" w:eastAsia="Times New Roman" w:hAnsi="Times New Roman" w:cs="Times New Roman"/>
          <w:color w:val="000000" w:themeColor="text1"/>
        </w:rPr>
        <w:t>many people</w:t>
      </w:r>
      <w:r w:rsidR="002013F1" w:rsidRPr="00FB6769">
        <w:rPr>
          <w:rFonts w:ascii="Times New Roman" w:eastAsia="Times New Roman" w:hAnsi="Times New Roman" w:cs="Times New Roman"/>
          <w:color w:val="000000" w:themeColor="text1"/>
        </w:rPr>
        <w:t xml:space="preserve"> to afford</w:t>
      </w:r>
      <w:r w:rsidRPr="00FB6769">
        <w:rPr>
          <w:rFonts w:ascii="Times New Roman" w:eastAsia="Times New Roman" w:hAnsi="Times New Roman" w:cs="Times New Roman"/>
          <w:color w:val="000000" w:themeColor="text1"/>
        </w:rPr>
        <w:t xml:space="preserve">, but </w:t>
      </w:r>
      <w:r w:rsidR="00F74C54" w:rsidRPr="00FB6769">
        <w:rPr>
          <w:rFonts w:ascii="Times New Roman" w:eastAsia="Times New Roman" w:hAnsi="Times New Roman" w:cs="Times New Roman"/>
          <w:color w:val="000000" w:themeColor="text1"/>
        </w:rPr>
        <w:t xml:space="preserve">recently </w:t>
      </w:r>
      <w:r w:rsidRPr="00FB6769">
        <w:rPr>
          <w:rFonts w:ascii="Times New Roman" w:eastAsia="Times New Roman" w:hAnsi="Times New Roman" w:cs="Times New Roman"/>
          <w:color w:val="000000" w:themeColor="text1"/>
        </w:rPr>
        <w:t xml:space="preserve">have been </w:t>
      </w:r>
      <w:r w:rsidR="00F55C28" w:rsidRPr="00FB6769">
        <w:rPr>
          <w:rFonts w:ascii="Times New Roman" w:eastAsia="Times New Roman" w:hAnsi="Times New Roman" w:cs="Times New Roman"/>
          <w:color w:val="000000" w:themeColor="text1"/>
        </w:rPr>
        <w:t>identified</w:t>
      </w:r>
      <w:r w:rsidRPr="00FB6769">
        <w:rPr>
          <w:rFonts w:ascii="Times New Roman" w:eastAsia="Times New Roman" w:hAnsi="Times New Roman" w:cs="Times New Roman"/>
          <w:color w:val="000000" w:themeColor="text1"/>
        </w:rPr>
        <w:t xml:space="preserve"> by scholars as </w:t>
      </w:r>
      <w:r w:rsidR="007F3B38" w:rsidRPr="00FB6769">
        <w:rPr>
          <w:rFonts w:ascii="Times New Roman" w:eastAsia="Times New Roman" w:hAnsi="Times New Roman" w:cs="Times New Roman"/>
          <w:color w:val="000000" w:themeColor="text1"/>
        </w:rPr>
        <w:t>forms</w:t>
      </w:r>
      <w:r w:rsidRPr="00FB6769">
        <w:rPr>
          <w:rFonts w:ascii="Times New Roman" w:eastAsia="Times New Roman" w:hAnsi="Times New Roman" w:cs="Times New Roman"/>
          <w:color w:val="000000" w:themeColor="text1"/>
        </w:rPr>
        <w:t xml:space="preserve"> of cultural capital</w:t>
      </w:r>
      <w:r w:rsidR="004E59F0" w:rsidRPr="00FB6769">
        <w:rPr>
          <w:rFonts w:ascii="Times New Roman" w:eastAsia="Times New Roman" w:hAnsi="Times New Roman" w:cs="Times New Roman"/>
          <w:color w:val="000000" w:themeColor="text1"/>
        </w:rPr>
        <w:t>.</w:t>
      </w:r>
      <w:r w:rsidR="004E59F0" w:rsidRPr="00FB6769">
        <w:rPr>
          <w:rStyle w:val="FootnoteReference"/>
          <w:rFonts w:ascii="Times New Roman" w:eastAsia="Times New Roman" w:hAnsi="Times New Roman" w:cs="Times New Roman"/>
          <w:color w:val="000000" w:themeColor="text1"/>
        </w:rPr>
        <w:footnoteReference w:id="15"/>
      </w:r>
      <w:r w:rsidR="004E59F0" w:rsidRPr="00FB6769">
        <w:rPr>
          <w:rFonts w:ascii="Times New Roman" w:eastAsia="Times New Roman" w:hAnsi="Times New Roman" w:cs="Times New Roman"/>
          <w:color w:val="000000" w:themeColor="text1"/>
        </w:rPr>
        <w:t xml:space="preserve"> </w:t>
      </w:r>
      <w:r w:rsidR="00AF06F1" w:rsidRPr="00FB6769">
        <w:rPr>
          <w:rFonts w:ascii="Times New Roman" w:eastAsia="Times New Roman" w:hAnsi="Times New Roman" w:cs="Times New Roman"/>
          <w:color w:val="000000" w:themeColor="text1"/>
        </w:rPr>
        <w:t>When wellness is only available to the wealthy</w:t>
      </w:r>
      <w:r w:rsidR="00F94C37" w:rsidRPr="00FB6769">
        <w:rPr>
          <w:rFonts w:ascii="Times New Roman" w:eastAsia="Times New Roman" w:hAnsi="Times New Roman" w:cs="Times New Roman"/>
          <w:color w:val="000000" w:themeColor="text1"/>
        </w:rPr>
        <w:t xml:space="preserve">, </w:t>
      </w:r>
      <w:r w:rsidR="00AF06F1" w:rsidRPr="00FB6769">
        <w:rPr>
          <w:rFonts w:ascii="Times New Roman" w:eastAsia="Times New Roman" w:hAnsi="Times New Roman" w:cs="Times New Roman"/>
          <w:color w:val="000000" w:themeColor="text1"/>
        </w:rPr>
        <w:t>it</w:t>
      </w:r>
      <w:r w:rsidR="00F94C37" w:rsidRPr="00FB6769">
        <w:rPr>
          <w:rFonts w:ascii="Times New Roman" w:eastAsia="Times New Roman" w:hAnsi="Times New Roman" w:cs="Times New Roman"/>
          <w:color w:val="000000" w:themeColor="text1"/>
        </w:rPr>
        <w:t xml:space="preserve"> </w:t>
      </w:r>
      <w:r w:rsidR="00AF06F1" w:rsidRPr="00FB6769">
        <w:rPr>
          <w:rFonts w:ascii="Times New Roman" w:eastAsia="Times New Roman" w:hAnsi="Times New Roman" w:cs="Times New Roman"/>
          <w:color w:val="000000" w:themeColor="text1"/>
        </w:rPr>
        <w:t>becomes</w:t>
      </w:r>
      <w:r w:rsidR="00F94C37" w:rsidRPr="00FB6769">
        <w:rPr>
          <w:rFonts w:ascii="Times New Roman" w:eastAsia="Times New Roman" w:hAnsi="Times New Roman" w:cs="Times New Roman"/>
          <w:color w:val="000000" w:themeColor="text1"/>
        </w:rPr>
        <w:t xml:space="preserve"> an ideal that</w:t>
      </w:r>
      <w:r w:rsidR="00B74B65" w:rsidRPr="00FB6769">
        <w:rPr>
          <w:rFonts w:ascii="Times New Roman" w:eastAsia="Times New Roman" w:hAnsi="Times New Roman" w:cs="Times New Roman"/>
          <w:color w:val="000000" w:themeColor="text1"/>
        </w:rPr>
        <w:t xml:space="preserve"> </w:t>
      </w:r>
      <w:r w:rsidR="004E59F0" w:rsidRPr="00FB6769">
        <w:rPr>
          <w:rFonts w:ascii="Times New Roman" w:eastAsia="Times New Roman" w:hAnsi="Times New Roman" w:cs="Times New Roman"/>
          <w:color w:val="000000" w:themeColor="text1"/>
        </w:rPr>
        <w:t>creates</w:t>
      </w:r>
      <w:r w:rsidR="00F94C37" w:rsidRPr="00FB6769">
        <w:rPr>
          <w:rFonts w:ascii="Times New Roman" w:eastAsia="Times New Roman" w:hAnsi="Times New Roman" w:cs="Times New Roman"/>
          <w:color w:val="000000" w:themeColor="text1"/>
        </w:rPr>
        <w:t xml:space="preserve"> and </w:t>
      </w:r>
      <w:r w:rsidR="00CA42E9" w:rsidRPr="00FB6769">
        <w:rPr>
          <w:rFonts w:ascii="Times New Roman" w:eastAsia="Times New Roman" w:hAnsi="Times New Roman" w:cs="Times New Roman"/>
          <w:color w:val="000000" w:themeColor="text1"/>
        </w:rPr>
        <w:t>exacerbates</w:t>
      </w:r>
      <w:r w:rsidR="00F74C54" w:rsidRPr="00FB6769">
        <w:rPr>
          <w:rFonts w:ascii="Times New Roman" w:eastAsia="Times New Roman" w:hAnsi="Times New Roman" w:cs="Times New Roman"/>
          <w:color w:val="000000" w:themeColor="text1"/>
        </w:rPr>
        <w:t xml:space="preserve"> </w:t>
      </w:r>
      <w:r w:rsidR="00F94C37" w:rsidRPr="00FB6769">
        <w:rPr>
          <w:rFonts w:ascii="Times New Roman" w:eastAsia="Times New Roman" w:hAnsi="Times New Roman" w:cs="Times New Roman"/>
          <w:color w:val="000000" w:themeColor="text1"/>
        </w:rPr>
        <w:t>inequalities</w:t>
      </w:r>
      <w:r w:rsidR="004E59F0" w:rsidRPr="00FB6769">
        <w:rPr>
          <w:rFonts w:ascii="Times New Roman" w:eastAsia="Times New Roman" w:hAnsi="Times New Roman" w:cs="Times New Roman"/>
          <w:color w:val="000000" w:themeColor="text1"/>
        </w:rPr>
        <w:t xml:space="preserve">. </w:t>
      </w:r>
      <w:r w:rsidR="000E1CD4" w:rsidRPr="00FB6769">
        <w:rPr>
          <w:rFonts w:ascii="Times New Roman" w:eastAsia="Times New Roman" w:hAnsi="Times New Roman" w:cs="Times New Roman"/>
          <w:color w:val="000000" w:themeColor="text1"/>
        </w:rPr>
        <w:t>What’s more, the rise of social media</w:t>
      </w:r>
      <w:r w:rsidR="002013F1" w:rsidRPr="00FB6769">
        <w:rPr>
          <w:rFonts w:ascii="Times New Roman" w:eastAsia="Times New Roman" w:hAnsi="Times New Roman" w:cs="Times New Roman"/>
          <w:color w:val="000000" w:themeColor="text1"/>
        </w:rPr>
        <w:t xml:space="preserve"> has </w:t>
      </w:r>
      <w:r w:rsidR="00B74B65" w:rsidRPr="00FB6769">
        <w:rPr>
          <w:rFonts w:ascii="Times New Roman" w:eastAsia="Times New Roman" w:hAnsi="Times New Roman" w:cs="Times New Roman"/>
          <w:color w:val="000000" w:themeColor="text1"/>
        </w:rPr>
        <w:t>lent</w:t>
      </w:r>
      <w:r w:rsidR="002013F1" w:rsidRPr="00FB6769">
        <w:rPr>
          <w:rFonts w:ascii="Times New Roman" w:eastAsia="Times New Roman" w:hAnsi="Times New Roman" w:cs="Times New Roman"/>
          <w:color w:val="000000" w:themeColor="text1"/>
        </w:rPr>
        <w:t xml:space="preserve"> an increasingly</w:t>
      </w:r>
      <w:r w:rsidR="000E1CD4" w:rsidRPr="00FB6769">
        <w:rPr>
          <w:rFonts w:ascii="Times New Roman" w:eastAsia="Times New Roman" w:hAnsi="Times New Roman" w:cs="Times New Roman"/>
          <w:color w:val="000000" w:themeColor="text1"/>
        </w:rPr>
        <w:t xml:space="preserve"> performative aspect to wellne</w:t>
      </w:r>
      <w:r w:rsidR="002013F1" w:rsidRPr="00FB6769">
        <w:rPr>
          <w:rFonts w:ascii="Times New Roman" w:eastAsia="Times New Roman" w:hAnsi="Times New Roman" w:cs="Times New Roman"/>
          <w:color w:val="000000" w:themeColor="text1"/>
        </w:rPr>
        <w:t>ss</w:t>
      </w:r>
      <w:r w:rsidR="000E1CD4" w:rsidRPr="00FB6769">
        <w:rPr>
          <w:rFonts w:ascii="Times New Roman" w:eastAsia="Times New Roman" w:hAnsi="Times New Roman" w:cs="Times New Roman"/>
          <w:color w:val="000000" w:themeColor="text1"/>
        </w:rPr>
        <w:t xml:space="preserve">. </w:t>
      </w:r>
      <w:r w:rsidR="002013F1" w:rsidRPr="00FB6769">
        <w:rPr>
          <w:rFonts w:ascii="Times New Roman" w:eastAsia="Times New Roman" w:hAnsi="Times New Roman" w:cs="Times New Roman"/>
          <w:color w:val="000000" w:themeColor="text1"/>
        </w:rPr>
        <w:t>It is no longer</w:t>
      </w:r>
      <w:r w:rsidR="000E1CD4" w:rsidRPr="00FB6769">
        <w:rPr>
          <w:rFonts w:ascii="Times New Roman" w:eastAsia="Times New Roman" w:hAnsi="Times New Roman" w:cs="Times New Roman"/>
          <w:color w:val="000000" w:themeColor="text1"/>
        </w:rPr>
        <w:t xml:space="preserve"> enough to </w:t>
      </w:r>
      <w:r w:rsidR="000B5710" w:rsidRPr="00FB6769">
        <w:rPr>
          <w:rFonts w:ascii="Times New Roman" w:eastAsia="Times New Roman" w:hAnsi="Times New Roman" w:cs="Times New Roman"/>
          <w:color w:val="000000" w:themeColor="text1"/>
        </w:rPr>
        <w:t xml:space="preserve">simply </w:t>
      </w:r>
      <w:r w:rsidR="000E1CD4" w:rsidRPr="00FB6769">
        <w:rPr>
          <w:rFonts w:ascii="Times New Roman" w:eastAsia="Times New Roman" w:hAnsi="Times New Roman" w:cs="Times New Roman"/>
          <w:color w:val="000000" w:themeColor="text1"/>
        </w:rPr>
        <w:t xml:space="preserve">be </w:t>
      </w:r>
      <w:r w:rsidR="000B5710" w:rsidRPr="00FB6769">
        <w:rPr>
          <w:rFonts w:ascii="Times New Roman" w:eastAsia="Times New Roman" w:hAnsi="Times New Roman" w:cs="Times New Roman"/>
          <w:color w:val="000000" w:themeColor="text1"/>
        </w:rPr>
        <w:t>“</w:t>
      </w:r>
      <w:r w:rsidR="000E1CD4" w:rsidRPr="00FB6769">
        <w:rPr>
          <w:rFonts w:ascii="Times New Roman" w:eastAsia="Times New Roman" w:hAnsi="Times New Roman" w:cs="Times New Roman"/>
          <w:color w:val="000000" w:themeColor="text1"/>
        </w:rPr>
        <w:t>healthy</w:t>
      </w:r>
      <w:r w:rsidR="00F55C28" w:rsidRPr="00FB6769">
        <w:rPr>
          <w:rFonts w:ascii="Times New Roman" w:eastAsia="Times New Roman" w:hAnsi="Times New Roman" w:cs="Times New Roman"/>
          <w:color w:val="000000" w:themeColor="text1"/>
        </w:rPr>
        <w:t xml:space="preserve">” </w:t>
      </w:r>
      <w:r w:rsidR="000B5710" w:rsidRPr="00FB6769">
        <w:rPr>
          <w:rFonts w:ascii="Times New Roman" w:eastAsia="Times New Roman" w:hAnsi="Times New Roman" w:cs="Times New Roman"/>
          <w:color w:val="000000" w:themeColor="text1"/>
        </w:rPr>
        <w:t>and make “healthy” choices</w:t>
      </w:r>
      <w:r w:rsidR="000E1CD4" w:rsidRPr="00FB6769">
        <w:rPr>
          <w:rFonts w:ascii="Times New Roman" w:eastAsia="Times New Roman" w:hAnsi="Times New Roman" w:cs="Times New Roman"/>
          <w:color w:val="000000" w:themeColor="text1"/>
        </w:rPr>
        <w:t xml:space="preserve">. One must also </w:t>
      </w:r>
      <w:r w:rsidR="000E1CD4" w:rsidRPr="00FB6769">
        <w:rPr>
          <w:rFonts w:ascii="Times New Roman" w:eastAsia="Times New Roman" w:hAnsi="Times New Roman" w:cs="Times New Roman"/>
          <w:i/>
          <w:iCs/>
          <w:color w:val="000000" w:themeColor="text1"/>
        </w:rPr>
        <w:t>seem</w:t>
      </w:r>
      <w:r w:rsidR="000E1CD4" w:rsidRPr="00FB6769">
        <w:rPr>
          <w:rFonts w:ascii="Times New Roman" w:eastAsia="Times New Roman" w:hAnsi="Times New Roman" w:cs="Times New Roman"/>
          <w:color w:val="000000" w:themeColor="text1"/>
        </w:rPr>
        <w:t xml:space="preserve"> healthy</w:t>
      </w:r>
      <w:r w:rsidR="000B5710" w:rsidRPr="00FB6769">
        <w:rPr>
          <w:rFonts w:ascii="Times New Roman" w:eastAsia="Times New Roman" w:hAnsi="Times New Roman" w:cs="Times New Roman"/>
          <w:color w:val="000000" w:themeColor="text1"/>
        </w:rPr>
        <w:t xml:space="preserve"> by </w:t>
      </w:r>
      <w:r w:rsidR="000E1CD4" w:rsidRPr="00FB6769">
        <w:rPr>
          <w:rFonts w:ascii="Times New Roman" w:eastAsia="Times New Roman" w:hAnsi="Times New Roman" w:cs="Times New Roman"/>
          <w:color w:val="000000" w:themeColor="text1"/>
        </w:rPr>
        <w:t>perform</w:t>
      </w:r>
      <w:r w:rsidR="000B5710" w:rsidRPr="00FB6769">
        <w:rPr>
          <w:rFonts w:ascii="Times New Roman" w:eastAsia="Times New Roman" w:hAnsi="Times New Roman" w:cs="Times New Roman"/>
          <w:color w:val="000000" w:themeColor="text1"/>
        </w:rPr>
        <w:t>ing</w:t>
      </w:r>
      <w:r w:rsidR="000E1CD4" w:rsidRPr="00FB6769">
        <w:rPr>
          <w:rFonts w:ascii="Times New Roman" w:eastAsia="Times New Roman" w:hAnsi="Times New Roman" w:cs="Times New Roman"/>
          <w:color w:val="000000" w:themeColor="text1"/>
        </w:rPr>
        <w:t xml:space="preserve"> </w:t>
      </w:r>
      <w:r w:rsidR="000B5710" w:rsidRPr="00FB6769">
        <w:rPr>
          <w:rFonts w:ascii="Times New Roman" w:eastAsia="Times New Roman" w:hAnsi="Times New Roman" w:cs="Times New Roman"/>
          <w:color w:val="000000" w:themeColor="text1"/>
        </w:rPr>
        <w:t>that health</w:t>
      </w:r>
      <w:r w:rsidR="00287A22" w:rsidRPr="00FB6769">
        <w:rPr>
          <w:rFonts w:ascii="Times New Roman" w:eastAsia="Times New Roman" w:hAnsi="Times New Roman" w:cs="Times New Roman"/>
          <w:color w:val="000000" w:themeColor="text1"/>
        </w:rPr>
        <w:t xml:space="preserve">, </w:t>
      </w:r>
      <w:r w:rsidR="000B5710" w:rsidRPr="00FB6769">
        <w:rPr>
          <w:rFonts w:ascii="Times New Roman" w:eastAsia="Times New Roman" w:hAnsi="Times New Roman" w:cs="Times New Roman"/>
          <w:color w:val="000000" w:themeColor="text1"/>
        </w:rPr>
        <w:t xml:space="preserve">for example in social media posts that chronicle exercise and </w:t>
      </w:r>
      <w:r w:rsidR="00F94C37" w:rsidRPr="00FB6769">
        <w:rPr>
          <w:rFonts w:ascii="Times New Roman" w:eastAsia="Times New Roman" w:hAnsi="Times New Roman" w:cs="Times New Roman"/>
          <w:color w:val="000000" w:themeColor="text1"/>
        </w:rPr>
        <w:t>food</w:t>
      </w:r>
      <w:r w:rsidR="000B5710" w:rsidRPr="00FB6769">
        <w:rPr>
          <w:rFonts w:ascii="Times New Roman" w:eastAsia="Times New Roman" w:hAnsi="Times New Roman" w:cs="Times New Roman"/>
          <w:color w:val="000000" w:themeColor="text1"/>
        </w:rPr>
        <w:t xml:space="preserve"> choices.</w:t>
      </w:r>
      <w:r w:rsidR="00586BD4" w:rsidRPr="00FB6769">
        <w:rPr>
          <w:rStyle w:val="FootnoteReference"/>
          <w:rFonts w:ascii="Times New Roman" w:eastAsia="Times New Roman" w:hAnsi="Times New Roman" w:cs="Times New Roman"/>
          <w:color w:val="000000" w:themeColor="text1"/>
        </w:rPr>
        <w:footnoteReference w:id="16"/>
      </w:r>
      <w:r w:rsidR="000E1CD4" w:rsidRPr="00FB6769">
        <w:rPr>
          <w:rFonts w:ascii="Times New Roman" w:eastAsia="Times New Roman" w:hAnsi="Times New Roman" w:cs="Times New Roman"/>
          <w:color w:val="000000" w:themeColor="text1"/>
        </w:rPr>
        <w:t xml:space="preserve"> In short, wellness—and the </w:t>
      </w:r>
      <w:r w:rsidR="000B5710" w:rsidRPr="00FB6769">
        <w:rPr>
          <w:rFonts w:ascii="Times New Roman" w:eastAsia="Times New Roman" w:hAnsi="Times New Roman" w:cs="Times New Roman"/>
          <w:color w:val="000000" w:themeColor="text1"/>
        </w:rPr>
        <w:t xml:space="preserve">vast </w:t>
      </w:r>
      <w:r w:rsidR="000E1CD4" w:rsidRPr="00FB6769">
        <w:rPr>
          <w:rFonts w:ascii="Times New Roman" w:eastAsia="Times New Roman" w:hAnsi="Times New Roman" w:cs="Times New Roman"/>
          <w:color w:val="000000" w:themeColor="text1"/>
        </w:rPr>
        <w:t>industries that have grown around it—</w:t>
      </w:r>
      <w:r w:rsidR="00FF6D99" w:rsidRPr="00FB6769">
        <w:rPr>
          <w:rFonts w:ascii="Times New Roman" w:eastAsia="Times New Roman" w:hAnsi="Times New Roman" w:cs="Times New Roman"/>
          <w:color w:val="000000" w:themeColor="text1"/>
        </w:rPr>
        <w:t xml:space="preserve">reinforce existing </w:t>
      </w:r>
      <w:r w:rsidR="000E1CD4" w:rsidRPr="00FB6769">
        <w:rPr>
          <w:rFonts w:ascii="Times New Roman" w:eastAsia="Times New Roman" w:hAnsi="Times New Roman" w:cs="Times New Roman"/>
          <w:color w:val="000000" w:themeColor="text1"/>
        </w:rPr>
        <w:t xml:space="preserve">social </w:t>
      </w:r>
      <w:r w:rsidR="00FF6D99" w:rsidRPr="00FB6769">
        <w:rPr>
          <w:rFonts w:ascii="Times New Roman" w:eastAsia="Times New Roman" w:hAnsi="Times New Roman" w:cs="Times New Roman"/>
          <w:color w:val="000000" w:themeColor="text1"/>
        </w:rPr>
        <w:lastRenderedPageBreak/>
        <w:t>hierarchies under the guise of promoting health and happiness.</w:t>
      </w:r>
      <w:r w:rsidR="00513B04" w:rsidRPr="00FB6769">
        <w:rPr>
          <w:rFonts w:ascii="Times New Roman" w:eastAsia="Times New Roman" w:hAnsi="Times New Roman" w:cs="Times New Roman"/>
          <w:color w:val="000000" w:themeColor="text1"/>
        </w:rPr>
        <w:t xml:space="preserve"> </w:t>
      </w:r>
      <w:r w:rsidR="00B74B65" w:rsidRPr="00FB6769">
        <w:rPr>
          <w:rFonts w:ascii="Times New Roman" w:eastAsia="Times New Roman" w:hAnsi="Times New Roman" w:cs="Times New Roman"/>
          <w:color w:val="000000" w:themeColor="text1"/>
        </w:rPr>
        <w:t>S</w:t>
      </w:r>
      <w:r w:rsidR="00BD4ECE" w:rsidRPr="00FB6769">
        <w:rPr>
          <w:rFonts w:ascii="Times New Roman" w:eastAsia="Times New Roman" w:hAnsi="Times New Roman" w:cs="Times New Roman"/>
          <w:color w:val="000000" w:themeColor="text1"/>
        </w:rPr>
        <w:t>uch exclusionary</w:t>
      </w:r>
      <w:r w:rsidR="00513B04" w:rsidRPr="00FB6769">
        <w:rPr>
          <w:rFonts w:ascii="Times New Roman" w:eastAsia="Times New Roman" w:hAnsi="Times New Roman" w:cs="Times New Roman"/>
          <w:color w:val="000000" w:themeColor="text1"/>
        </w:rPr>
        <w:t xml:space="preserve"> ideals create oppressive expectations that work against </w:t>
      </w:r>
      <w:r w:rsidR="001933B7" w:rsidRPr="00FB6769">
        <w:rPr>
          <w:rFonts w:ascii="Times New Roman" w:eastAsia="Times New Roman" w:hAnsi="Times New Roman" w:cs="Times New Roman"/>
          <w:color w:val="000000" w:themeColor="text1"/>
        </w:rPr>
        <w:t>wellness’s purported goals</w:t>
      </w:r>
      <w:r w:rsidR="00513B04" w:rsidRPr="00FB6769">
        <w:rPr>
          <w:rFonts w:ascii="Times New Roman" w:eastAsia="Times New Roman" w:hAnsi="Times New Roman" w:cs="Times New Roman"/>
          <w:color w:val="000000" w:themeColor="text1"/>
        </w:rPr>
        <w:t>.</w:t>
      </w:r>
      <w:r w:rsidR="00513B04" w:rsidRPr="00FB6769">
        <w:rPr>
          <w:rStyle w:val="FootnoteReference"/>
          <w:rFonts w:ascii="Times New Roman" w:eastAsia="Times New Roman" w:hAnsi="Times New Roman" w:cs="Times New Roman"/>
          <w:color w:val="000000" w:themeColor="text1"/>
        </w:rPr>
        <w:footnoteReference w:id="17"/>
      </w:r>
    </w:p>
    <w:p w14:paraId="7BF25171" w14:textId="10FF247E" w:rsidR="00690638" w:rsidRPr="00FB6769" w:rsidRDefault="00BB5CCC" w:rsidP="00BB5CCC">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 xml:space="preserve">By contrast, </w:t>
      </w:r>
      <w:r w:rsidR="000B5710" w:rsidRPr="00FB6769">
        <w:rPr>
          <w:rFonts w:ascii="Times New Roman" w:eastAsia="Times New Roman" w:hAnsi="Times New Roman" w:cs="Times New Roman"/>
          <w:color w:val="000000" w:themeColor="text1"/>
        </w:rPr>
        <w:t>wellbeing is</w:t>
      </w:r>
      <w:r w:rsidR="00780ED3" w:rsidRPr="00FB6769">
        <w:rPr>
          <w:rFonts w:ascii="Times New Roman" w:eastAsia="Times New Roman" w:hAnsi="Times New Roman" w:cs="Times New Roman"/>
          <w:color w:val="000000" w:themeColor="text1"/>
        </w:rPr>
        <w:t xml:space="preserve"> a</w:t>
      </w:r>
      <w:r w:rsidR="000B5710" w:rsidRPr="00FB6769">
        <w:rPr>
          <w:rFonts w:ascii="Times New Roman" w:eastAsia="Times New Roman" w:hAnsi="Times New Roman" w:cs="Times New Roman"/>
          <w:color w:val="000000" w:themeColor="text1"/>
        </w:rPr>
        <w:t xml:space="preserve"> more flexible</w:t>
      </w:r>
      <w:r w:rsidR="00BB3522" w:rsidRPr="00FB6769">
        <w:rPr>
          <w:rFonts w:ascii="Times New Roman" w:eastAsia="Times New Roman" w:hAnsi="Times New Roman" w:cs="Times New Roman"/>
          <w:color w:val="000000" w:themeColor="text1"/>
        </w:rPr>
        <w:t xml:space="preserve"> and </w:t>
      </w:r>
      <w:r w:rsidR="00740EA6" w:rsidRPr="00FB6769">
        <w:rPr>
          <w:rFonts w:ascii="Times New Roman" w:eastAsia="Times New Roman" w:hAnsi="Times New Roman" w:cs="Times New Roman"/>
          <w:color w:val="000000" w:themeColor="text1"/>
        </w:rPr>
        <w:t>community-oriented</w:t>
      </w:r>
      <w:r w:rsidR="00780ED3" w:rsidRPr="00FB6769">
        <w:rPr>
          <w:rFonts w:ascii="Times New Roman" w:eastAsia="Times New Roman" w:hAnsi="Times New Roman" w:cs="Times New Roman"/>
          <w:color w:val="000000" w:themeColor="text1"/>
        </w:rPr>
        <w:t xml:space="preserve"> </w:t>
      </w:r>
      <w:proofErr w:type="gramStart"/>
      <w:r w:rsidR="00780ED3" w:rsidRPr="00FB6769">
        <w:rPr>
          <w:rFonts w:ascii="Times New Roman" w:eastAsia="Times New Roman" w:hAnsi="Times New Roman" w:cs="Times New Roman"/>
          <w:color w:val="000000" w:themeColor="text1"/>
        </w:rPr>
        <w:t>concept</w:t>
      </w:r>
      <w:r w:rsidR="00740EA6" w:rsidRPr="00FB6769">
        <w:rPr>
          <w:rFonts w:ascii="Times New Roman" w:eastAsia="Times New Roman" w:hAnsi="Times New Roman" w:cs="Times New Roman"/>
          <w:color w:val="000000" w:themeColor="text1"/>
        </w:rPr>
        <w:t>,</w:t>
      </w:r>
      <w:r w:rsidR="000B5710" w:rsidRPr="00FB6769">
        <w:rPr>
          <w:rFonts w:ascii="Times New Roman" w:eastAsia="Times New Roman" w:hAnsi="Times New Roman" w:cs="Times New Roman"/>
          <w:color w:val="000000" w:themeColor="text1"/>
        </w:rPr>
        <w:t xml:space="preserve"> and</w:t>
      </w:r>
      <w:proofErr w:type="gramEnd"/>
      <w:r w:rsidR="000B5710" w:rsidRPr="00FB6769">
        <w:rPr>
          <w:rFonts w:ascii="Times New Roman" w:eastAsia="Times New Roman" w:hAnsi="Times New Roman" w:cs="Times New Roman"/>
          <w:color w:val="000000" w:themeColor="text1"/>
        </w:rPr>
        <w:t xml:space="preserve"> </w:t>
      </w:r>
      <w:r w:rsidR="00780ED3" w:rsidRPr="00FB6769">
        <w:rPr>
          <w:rFonts w:ascii="Times New Roman" w:eastAsia="Times New Roman" w:hAnsi="Times New Roman" w:cs="Times New Roman"/>
          <w:color w:val="000000" w:themeColor="text1"/>
        </w:rPr>
        <w:t xml:space="preserve">is </w:t>
      </w:r>
      <w:r w:rsidR="000B5710" w:rsidRPr="00FB6769">
        <w:rPr>
          <w:rFonts w:ascii="Times New Roman" w:eastAsia="Times New Roman" w:hAnsi="Times New Roman" w:cs="Times New Roman"/>
          <w:color w:val="000000" w:themeColor="text1"/>
        </w:rPr>
        <w:t>much less dependent on capitalist industries. T</w:t>
      </w:r>
      <w:r w:rsidRPr="00FB6769">
        <w:rPr>
          <w:rFonts w:ascii="Times New Roman" w:eastAsia="Times New Roman" w:hAnsi="Times New Roman" w:cs="Times New Roman"/>
          <w:color w:val="000000" w:themeColor="text1"/>
        </w:rPr>
        <w:t xml:space="preserve">he first OED definition of </w:t>
      </w:r>
      <w:r w:rsidR="00BB3522"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wellbeing</w:t>
      </w:r>
      <w:r w:rsidR="00BB3522"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is markedly more capacious</w:t>
      </w:r>
      <w:r w:rsidR="00BB3522" w:rsidRPr="00FB6769">
        <w:rPr>
          <w:rFonts w:ascii="Times New Roman" w:eastAsia="Times New Roman" w:hAnsi="Times New Roman" w:cs="Times New Roman"/>
          <w:color w:val="000000" w:themeColor="text1"/>
        </w:rPr>
        <w:t xml:space="preserve"> than any definition of “wellness”</w:t>
      </w:r>
      <w:r w:rsidR="003E3A21"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“With reference to a person or community: the state of being healthy, happy, or prosperous; physical, psychological, or moral welfare.” </w:t>
      </w:r>
      <w:r w:rsidR="0015428E" w:rsidRPr="00FB6769">
        <w:rPr>
          <w:rFonts w:ascii="Times New Roman" w:eastAsia="Times New Roman" w:hAnsi="Times New Roman" w:cs="Times New Roman"/>
          <w:color w:val="000000" w:themeColor="text1"/>
        </w:rPr>
        <w:t xml:space="preserve">By suggesting several different ways in which a person can achieve wellbeing (being happy, </w:t>
      </w:r>
      <w:r w:rsidR="0015428E" w:rsidRPr="5686E792">
        <w:rPr>
          <w:rFonts w:ascii="Times New Roman" w:eastAsia="Times New Roman" w:hAnsi="Times New Roman" w:cs="Times New Roman"/>
          <w:i/>
          <w:iCs/>
          <w:color w:val="000000" w:themeColor="text1"/>
        </w:rPr>
        <w:t>or</w:t>
      </w:r>
      <w:r w:rsidR="0015428E" w:rsidRPr="00FB6769">
        <w:rPr>
          <w:rFonts w:ascii="Times New Roman" w:eastAsia="Times New Roman" w:hAnsi="Times New Roman" w:cs="Times New Roman"/>
          <w:color w:val="000000" w:themeColor="text1"/>
        </w:rPr>
        <w:t xml:space="preserve"> healthy, </w:t>
      </w:r>
      <w:r w:rsidR="0015428E" w:rsidRPr="5686E792">
        <w:rPr>
          <w:rFonts w:ascii="Times New Roman" w:eastAsia="Times New Roman" w:hAnsi="Times New Roman" w:cs="Times New Roman"/>
          <w:i/>
          <w:iCs/>
          <w:color w:val="000000" w:themeColor="text1"/>
        </w:rPr>
        <w:t>or</w:t>
      </w:r>
      <w:r w:rsidR="0015428E" w:rsidRPr="00FB6769">
        <w:rPr>
          <w:rFonts w:ascii="Times New Roman" w:eastAsia="Times New Roman" w:hAnsi="Times New Roman" w:cs="Times New Roman"/>
          <w:color w:val="000000" w:themeColor="text1"/>
        </w:rPr>
        <w:t xml:space="preserve"> prosperous), rather than a positive “state or condition,</w:t>
      </w:r>
      <w:r w:rsidR="00C43384">
        <w:rPr>
          <w:rFonts w:ascii="Times New Roman" w:eastAsia="Times New Roman" w:hAnsi="Times New Roman" w:cs="Times New Roman"/>
          <w:color w:val="000000" w:themeColor="text1"/>
        </w:rPr>
        <w:t>”</w:t>
      </w:r>
      <w:r w:rsidR="0015428E" w:rsidRPr="00FB6769">
        <w:rPr>
          <w:rFonts w:ascii="Times New Roman" w:eastAsia="Times New Roman" w:hAnsi="Times New Roman" w:cs="Times New Roman"/>
          <w:color w:val="000000" w:themeColor="text1"/>
        </w:rPr>
        <w:t xml:space="preserve"> “wellbeing” better </w:t>
      </w:r>
      <w:r w:rsidR="0015428E" w:rsidRPr="5686E792">
        <w:rPr>
          <w:rFonts w:ascii="Times New Roman" w:eastAsia="Times New Roman" w:hAnsi="Times New Roman" w:cs="Times New Roman"/>
          <w:color w:val="000000" w:themeColor="text1"/>
        </w:rPr>
        <w:t xml:space="preserve">aligns with </w:t>
      </w:r>
      <w:r w:rsidR="0015428E" w:rsidRPr="00FB6769">
        <w:rPr>
          <w:rFonts w:ascii="Times New Roman" w:eastAsia="Times New Roman" w:hAnsi="Times New Roman" w:cs="Times New Roman"/>
          <w:color w:val="000000" w:themeColor="text1"/>
        </w:rPr>
        <w:t xml:space="preserve">the issues of access equity in which our volume is invested. </w:t>
      </w:r>
      <w:r w:rsidR="0015428E">
        <w:rPr>
          <w:rFonts w:ascii="Times New Roman" w:eastAsia="Times New Roman" w:hAnsi="Times New Roman" w:cs="Times New Roman"/>
          <w:color w:val="000000" w:themeColor="text1"/>
        </w:rPr>
        <w:t>The</w:t>
      </w:r>
      <w:r w:rsidRPr="00FB6769">
        <w:rPr>
          <w:rFonts w:ascii="Times New Roman" w:eastAsia="Times New Roman" w:hAnsi="Times New Roman" w:cs="Times New Roman"/>
          <w:color w:val="000000" w:themeColor="text1"/>
        </w:rPr>
        <w:t xml:space="preserve"> second definition</w:t>
      </w:r>
      <w:r w:rsidR="00C43384">
        <w:rPr>
          <w:rFonts w:ascii="Times New Roman" w:eastAsia="Times New Roman" w:hAnsi="Times New Roman" w:cs="Times New Roman"/>
          <w:color w:val="000000" w:themeColor="text1"/>
        </w:rPr>
        <w:t xml:space="preserve"> of </w:t>
      </w:r>
      <w:r w:rsidR="00F466DB">
        <w:rPr>
          <w:rFonts w:ascii="Times New Roman" w:eastAsia="Times New Roman" w:hAnsi="Times New Roman" w:cs="Times New Roman"/>
          <w:color w:val="000000" w:themeColor="text1"/>
        </w:rPr>
        <w:t>“</w:t>
      </w:r>
      <w:r w:rsidR="00C43384">
        <w:rPr>
          <w:rFonts w:ascii="Times New Roman" w:eastAsia="Times New Roman" w:hAnsi="Times New Roman" w:cs="Times New Roman"/>
          <w:color w:val="000000" w:themeColor="text1"/>
        </w:rPr>
        <w:t>wellbeing</w:t>
      </w:r>
      <w:r w:rsidR="00F466DB">
        <w:rPr>
          <w:rFonts w:ascii="Times New Roman" w:eastAsia="Times New Roman" w:hAnsi="Times New Roman" w:cs="Times New Roman"/>
          <w:color w:val="000000" w:themeColor="text1"/>
        </w:rPr>
        <w:t>”</w:t>
      </w:r>
      <w:r w:rsidR="0015428E">
        <w:rPr>
          <w:rFonts w:ascii="Times New Roman" w:eastAsia="Times New Roman" w:hAnsi="Times New Roman" w:cs="Times New Roman"/>
          <w:color w:val="000000" w:themeColor="text1"/>
        </w:rPr>
        <w:t xml:space="preserve"> </w:t>
      </w:r>
      <w:r w:rsidR="00C43384">
        <w:rPr>
          <w:rFonts w:ascii="Times New Roman" w:eastAsia="Times New Roman" w:hAnsi="Times New Roman" w:cs="Times New Roman"/>
          <w:color w:val="000000" w:themeColor="text1"/>
        </w:rPr>
        <w:t>encompasses “things</w:t>
      </w:r>
      <w:r w:rsidR="00F466DB">
        <w:rPr>
          <w:rFonts w:ascii="Times New Roman" w:eastAsia="Times New Roman" w:hAnsi="Times New Roman" w:cs="Times New Roman"/>
          <w:color w:val="000000" w:themeColor="text1"/>
        </w:rPr>
        <w:t>,</w:t>
      </w:r>
      <w:r w:rsidR="00C43384">
        <w:rPr>
          <w:rFonts w:ascii="Times New Roman" w:eastAsia="Times New Roman" w:hAnsi="Times New Roman" w:cs="Times New Roman"/>
          <w:color w:val="000000" w:themeColor="text1"/>
        </w:rPr>
        <w:t>” including humans, non-human life, and communities</w:t>
      </w:r>
      <w:r w:rsidRPr="00FB6769">
        <w:rPr>
          <w:rFonts w:ascii="Times New Roman" w:eastAsia="Times New Roman" w:hAnsi="Times New Roman" w:cs="Times New Roman"/>
          <w:color w:val="000000" w:themeColor="text1"/>
        </w:rPr>
        <w:t xml:space="preserve">: </w:t>
      </w:r>
      <w:r w:rsidR="00C43384">
        <w:rPr>
          <w:rFonts w:ascii="Times New Roman" w:eastAsia="Times New Roman" w:hAnsi="Times New Roman" w:cs="Times New Roman"/>
          <w:color w:val="000000" w:themeColor="text1"/>
        </w:rPr>
        <w:t xml:space="preserve">a </w:t>
      </w:r>
      <w:r w:rsidRPr="00FB6769">
        <w:rPr>
          <w:rFonts w:ascii="Times New Roman" w:eastAsia="Times New Roman" w:hAnsi="Times New Roman" w:cs="Times New Roman"/>
          <w:color w:val="000000" w:themeColor="text1"/>
        </w:rPr>
        <w:t>“good or safe condition, ability to flourish or prosper.”</w:t>
      </w:r>
      <w:r w:rsidR="002666BD" w:rsidRPr="00FB6769">
        <w:rPr>
          <w:rStyle w:val="FootnoteReference"/>
          <w:rFonts w:ascii="Times New Roman" w:eastAsia="Times New Roman" w:hAnsi="Times New Roman" w:cs="Times New Roman"/>
          <w:color w:val="000000" w:themeColor="text1"/>
        </w:rPr>
        <w:footnoteReference w:id="18"/>
      </w:r>
      <w:r w:rsidRPr="00FB6769">
        <w:rPr>
          <w:rFonts w:ascii="Times New Roman" w:eastAsia="Times New Roman" w:hAnsi="Times New Roman" w:cs="Times New Roman"/>
          <w:color w:val="000000" w:themeColor="text1"/>
        </w:rPr>
        <w:t xml:space="preserve"> </w:t>
      </w:r>
      <w:r w:rsidR="00E82101" w:rsidRPr="00FB6769">
        <w:rPr>
          <w:rFonts w:ascii="Times New Roman" w:eastAsia="Times New Roman" w:hAnsi="Times New Roman" w:cs="Times New Roman"/>
          <w:color w:val="000000" w:themeColor="text1"/>
        </w:rPr>
        <w:t xml:space="preserve">Unlike wellness, wellbeing can be flexible, defined according to </w:t>
      </w:r>
      <w:r w:rsidR="00F93BA1" w:rsidRPr="00FB6769">
        <w:rPr>
          <w:rFonts w:ascii="Times New Roman" w:eastAsia="Times New Roman" w:hAnsi="Times New Roman" w:cs="Times New Roman"/>
          <w:color w:val="000000" w:themeColor="text1"/>
        </w:rPr>
        <w:t xml:space="preserve">personal and </w:t>
      </w:r>
      <w:r w:rsidR="00780ED3" w:rsidRPr="00FB6769">
        <w:rPr>
          <w:rFonts w:ascii="Times New Roman" w:eastAsia="Times New Roman" w:hAnsi="Times New Roman" w:cs="Times New Roman"/>
          <w:color w:val="000000" w:themeColor="text1"/>
        </w:rPr>
        <w:t xml:space="preserve">possibly </w:t>
      </w:r>
      <w:r w:rsidR="00F93BA1" w:rsidRPr="00FB6769">
        <w:rPr>
          <w:rFonts w:ascii="Times New Roman" w:eastAsia="Times New Roman" w:hAnsi="Times New Roman" w:cs="Times New Roman"/>
          <w:color w:val="000000" w:themeColor="text1"/>
        </w:rPr>
        <w:t>evolving</w:t>
      </w:r>
      <w:r w:rsidR="00E82101" w:rsidRPr="00FB6769">
        <w:rPr>
          <w:rFonts w:ascii="Times New Roman" w:eastAsia="Times New Roman" w:hAnsi="Times New Roman" w:cs="Times New Roman"/>
          <w:color w:val="000000" w:themeColor="text1"/>
        </w:rPr>
        <w:t xml:space="preserve"> standards. What wellbeing means for me may not apply to </w:t>
      </w:r>
      <w:proofErr w:type="gramStart"/>
      <w:r w:rsidR="00E82101" w:rsidRPr="00FB6769">
        <w:rPr>
          <w:rFonts w:ascii="Times New Roman" w:eastAsia="Times New Roman" w:hAnsi="Times New Roman" w:cs="Times New Roman"/>
          <w:color w:val="000000" w:themeColor="text1"/>
        </w:rPr>
        <w:t>you</w:t>
      </w:r>
      <w:r w:rsidR="00690638" w:rsidRPr="00FB6769">
        <w:rPr>
          <w:rFonts w:ascii="Times New Roman" w:eastAsia="Times New Roman" w:hAnsi="Times New Roman" w:cs="Times New Roman"/>
          <w:color w:val="000000" w:themeColor="text1"/>
        </w:rPr>
        <w:t xml:space="preserve">, </w:t>
      </w:r>
      <w:r w:rsidR="008F18B8" w:rsidRPr="00FB6769">
        <w:rPr>
          <w:rFonts w:ascii="Times New Roman" w:eastAsia="Times New Roman" w:hAnsi="Times New Roman" w:cs="Times New Roman"/>
          <w:color w:val="000000" w:themeColor="text1"/>
        </w:rPr>
        <w:t>and</w:t>
      </w:r>
      <w:proofErr w:type="gramEnd"/>
      <w:r w:rsidR="008F18B8" w:rsidRPr="00FB6769">
        <w:rPr>
          <w:rFonts w:ascii="Times New Roman" w:eastAsia="Times New Roman" w:hAnsi="Times New Roman" w:cs="Times New Roman"/>
          <w:color w:val="000000" w:themeColor="text1"/>
        </w:rPr>
        <w:t xml:space="preserve"> might change over our lifetimes</w:t>
      </w:r>
      <w:r w:rsidR="00780ED3" w:rsidRPr="00FB6769">
        <w:rPr>
          <w:rFonts w:ascii="Times New Roman" w:eastAsia="Times New Roman" w:hAnsi="Times New Roman" w:cs="Times New Roman"/>
          <w:color w:val="000000" w:themeColor="text1"/>
        </w:rPr>
        <w:t>. T</w:t>
      </w:r>
      <w:r w:rsidR="00690638" w:rsidRPr="00FB6769">
        <w:rPr>
          <w:rFonts w:ascii="Times New Roman" w:eastAsia="Times New Roman" w:hAnsi="Times New Roman" w:cs="Times New Roman"/>
          <w:color w:val="000000" w:themeColor="text1"/>
        </w:rPr>
        <w:t xml:space="preserve">he “ability to flourish” is open to disabled, sick, and fat </w:t>
      </w:r>
      <w:r w:rsidR="00BB3522" w:rsidRPr="00FB6769">
        <w:rPr>
          <w:rFonts w:ascii="Times New Roman" w:eastAsia="Times New Roman" w:hAnsi="Times New Roman" w:cs="Times New Roman"/>
          <w:color w:val="000000" w:themeColor="text1"/>
        </w:rPr>
        <w:t>people</w:t>
      </w:r>
      <w:r w:rsidR="00690638" w:rsidRPr="00FB6769">
        <w:rPr>
          <w:rFonts w:ascii="Times New Roman" w:eastAsia="Times New Roman" w:hAnsi="Times New Roman" w:cs="Times New Roman"/>
          <w:color w:val="000000" w:themeColor="text1"/>
        </w:rPr>
        <w:t xml:space="preserve">. </w:t>
      </w:r>
      <w:r w:rsidR="00865FF7" w:rsidRPr="00FB6769">
        <w:rPr>
          <w:rFonts w:ascii="Times New Roman" w:eastAsia="Times New Roman" w:hAnsi="Times New Roman" w:cs="Times New Roman"/>
          <w:color w:val="000000" w:themeColor="text1"/>
        </w:rPr>
        <w:t>Moreover</w:t>
      </w:r>
      <w:r w:rsidR="006F4A98" w:rsidRPr="00FB6769">
        <w:rPr>
          <w:rFonts w:ascii="Times New Roman" w:eastAsia="Times New Roman" w:hAnsi="Times New Roman" w:cs="Times New Roman"/>
          <w:color w:val="000000" w:themeColor="text1"/>
        </w:rPr>
        <w:t xml:space="preserve">, </w:t>
      </w:r>
      <w:r w:rsidR="00E82101" w:rsidRPr="00FB6769">
        <w:rPr>
          <w:rFonts w:ascii="Times New Roman" w:eastAsia="Times New Roman" w:hAnsi="Times New Roman" w:cs="Times New Roman"/>
          <w:color w:val="000000" w:themeColor="text1"/>
        </w:rPr>
        <w:t>wellbeing</w:t>
      </w:r>
      <w:r w:rsidR="00865FF7" w:rsidRPr="00FB6769">
        <w:rPr>
          <w:rFonts w:ascii="Times New Roman" w:eastAsia="Times New Roman" w:hAnsi="Times New Roman" w:cs="Times New Roman"/>
          <w:color w:val="000000" w:themeColor="text1"/>
        </w:rPr>
        <w:t xml:space="preserve"> </w:t>
      </w:r>
      <w:r w:rsidR="00780ED3" w:rsidRPr="00FB6769">
        <w:rPr>
          <w:rFonts w:ascii="Times New Roman" w:eastAsia="Times New Roman" w:hAnsi="Times New Roman" w:cs="Times New Roman"/>
          <w:color w:val="000000" w:themeColor="text1"/>
        </w:rPr>
        <w:t xml:space="preserve">can be used to describe </w:t>
      </w:r>
      <w:r w:rsidR="00A976DC" w:rsidRPr="00FB6769">
        <w:rPr>
          <w:rFonts w:ascii="Times New Roman" w:eastAsia="Times New Roman" w:hAnsi="Times New Roman" w:cs="Times New Roman"/>
          <w:color w:val="000000" w:themeColor="text1"/>
        </w:rPr>
        <w:t xml:space="preserve">communities as well as </w:t>
      </w:r>
      <w:r w:rsidR="00335834" w:rsidRPr="00FB6769">
        <w:rPr>
          <w:rFonts w:ascii="Times New Roman" w:eastAsia="Times New Roman" w:hAnsi="Times New Roman" w:cs="Times New Roman"/>
          <w:color w:val="000000" w:themeColor="text1"/>
        </w:rPr>
        <w:t>individual</w:t>
      </w:r>
      <w:r w:rsidR="00A976DC" w:rsidRPr="00FB6769">
        <w:rPr>
          <w:rFonts w:ascii="Times New Roman" w:eastAsia="Times New Roman" w:hAnsi="Times New Roman" w:cs="Times New Roman"/>
          <w:color w:val="000000" w:themeColor="text1"/>
        </w:rPr>
        <w:t xml:space="preserve"> people</w:t>
      </w:r>
      <w:r w:rsidRPr="00FB6769">
        <w:rPr>
          <w:rFonts w:ascii="Times New Roman" w:eastAsia="Times New Roman" w:hAnsi="Times New Roman" w:cs="Times New Roman"/>
          <w:color w:val="000000" w:themeColor="text1"/>
        </w:rPr>
        <w:t xml:space="preserve">. Like </w:t>
      </w:r>
      <w:r w:rsidR="008F397C" w:rsidRPr="00FB6769">
        <w:rPr>
          <w:rFonts w:ascii="Times New Roman" w:eastAsia="Times New Roman" w:hAnsi="Times New Roman" w:cs="Times New Roman"/>
          <w:color w:val="000000" w:themeColor="text1"/>
        </w:rPr>
        <w:t>individuals</w:t>
      </w:r>
      <w:r w:rsidRPr="00FB6769">
        <w:rPr>
          <w:rFonts w:ascii="Times New Roman" w:eastAsia="Times New Roman" w:hAnsi="Times New Roman" w:cs="Times New Roman"/>
          <w:color w:val="000000" w:themeColor="text1"/>
        </w:rPr>
        <w:t xml:space="preserve">, communities can flourish or not, and their wellbeing depends on a wide variety of social, political, and cultural factors. Nowhere is this clearer than in the second </w:t>
      </w:r>
      <w:r w:rsidR="009E52D1" w:rsidRPr="00FB6769">
        <w:rPr>
          <w:rFonts w:ascii="Times New Roman" w:eastAsia="Times New Roman" w:hAnsi="Times New Roman" w:cs="Times New Roman"/>
          <w:color w:val="000000" w:themeColor="text1"/>
        </w:rPr>
        <w:t>OED definition</w:t>
      </w:r>
      <w:r w:rsidR="00780ED3" w:rsidRPr="00FB6769">
        <w:rPr>
          <w:rFonts w:ascii="Times New Roman" w:eastAsia="Times New Roman" w:hAnsi="Times New Roman" w:cs="Times New Roman"/>
          <w:color w:val="000000" w:themeColor="text1"/>
        </w:rPr>
        <w:t>, which indicates how</w:t>
      </w:r>
      <w:r w:rsidR="009E52D1" w:rsidRPr="00FB6769">
        <w:rPr>
          <w:rFonts w:ascii="Times New Roman" w:eastAsia="Times New Roman" w:hAnsi="Times New Roman" w:cs="Times New Roman"/>
          <w:color w:val="000000" w:themeColor="text1"/>
        </w:rPr>
        <w:t xml:space="preserve"> </w:t>
      </w:r>
      <w:r w:rsidR="003F4E2A" w:rsidRPr="00FB6769">
        <w:rPr>
          <w:rFonts w:ascii="Times New Roman" w:eastAsia="Times New Roman" w:hAnsi="Times New Roman" w:cs="Times New Roman"/>
          <w:color w:val="000000" w:themeColor="text1"/>
        </w:rPr>
        <w:t>a “safe condition</w:t>
      </w:r>
      <w:r w:rsidR="00865FF7"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t>
      </w:r>
      <w:r w:rsidR="00780ED3" w:rsidRPr="00FB6769">
        <w:rPr>
          <w:rFonts w:ascii="Times New Roman" w:eastAsia="Times New Roman" w:hAnsi="Times New Roman" w:cs="Times New Roman"/>
          <w:color w:val="000000" w:themeColor="text1"/>
        </w:rPr>
        <w:t xml:space="preserve">can be </w:t>
      </w:r>
      <w:r w:rsidRPr="00FB6769">
        <w:rPr>
          <w:rFonts w:ascii="Times New Roman" w:eastAsia="Times New Roman" w:hAnsi="Times New Roman" w:cs="Times New Roman"/>
          <w:color w:val="000000" w:themeColor="text1"/>
        </w:rPr>
        <w:t xml:space="preserve">integral to wellbeing. Safety is created by supportive communities and </w:t>
      </w:r>
      <w:r w:rsidR="00BF579D">
        <w:rPr>
          <w:rFonts w:ascii="Times New Roman" w:eastAsia="Times New Roman" w:hAnsi="Times New Roman" w:cs="Times New Roman"/>
          <w:color w:val="000000" w:themeColor="text1"/>
        </w:rPr>
        <w:t>threatened</w:t>
      </w:r>
      <w:r w:rsidR="00BF579D"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by oppression; unsurprisingly, it is an aspect of wellbeing that wellness culture’s liberal individualism</w:t>
      </w:r>
      <w:r w:rsidR="004C4F7C" w:rsidRPr="00FB6769">
        <w:rPr>
          <w:rFonts w:ascii="Times New Roman" w:eastAsia="Times New Roman" w:hAnsi="Times New Roman" w:cs="Times New Roman"/>
          <w:color w:val="000000" w:themeColor="text1"/>
        </w:rPr>
        <w:t xml:space="preserve"> often</w:t>
      </w:r>
      <w:r w:rsidRPr="00FB6769">
        <w:rPr>
          <w:rFonts w:ascii="Times New Roman" w:eastAsia="Times New Roman" w:hAnsi="Times New Roman" w:cs="Times New Roman"/>
          <w:color w:val="000000" w:themeColor="text1"/>
        </w:rPr>
        <w:t xml:space="preserve"> ignores</w:t>
      </w:r>
      <w:r w:rsidR="006F4093"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t>
      </w:r>
      <w:r w:rsidR="00732A4A" w:rsidRPr="00FB6769">
        <w:rPr>
          <w:rFonts w:ascii="Times New Roman" w:eastAsia="Times New Roman" w:hAnsi="Times New Roman" w:cs="Times New Roman"/>
          <w:color w:val="000000" w:themeColor="text1"/>
        </w:rPr>
        <w:t xml:space="preserve">By calling </w:t>
      </w:r>
      <w:r w:rsidR="00732A4A" w:rsidRPr="00FB6769">
        <w:rPr>
          <w:rFonts w:ascii="Times New Roman" w:eastAsia="Times New Roman" w:hAnsi="Times New Roman" w:cs="Times New Roman"/>
          <w:color w:val="000000" w:themeColor="text1"/>
        </w:rPr>
        <w:lastRenderedPageBreak/>
        <w:t>attention to what might enable or prevent a person—or groups of people—from flourishing, wellbeing invites us to interrogate systems of power and privilege.</w:t>
      </w:r>
    </w:p>
    <w:p w14:paraId="288089AD" w14:textId="03B6F8CD" w:rsidR="005067C0" w:rsidRPr="00FB6769" w:rsidRDefault="00BB5CCC" w:rsidP="0007486D">
      <w:pPr>
        <w:spacing w:line="480" w:lineRule="auto"/>
        <w:ind w:firstLine="720"/>
        <w:rPr>
          <w:rFonts w:ascii="Times New Roman" w:hAnsi="Times New Roman" w:cs="Times New Roman"/>
        </w:rPr>
      </w:pPr>
      <w:r w:rsidRPr="00FB6769">
        <w:rPr>
          <w:rFonts w:ascii="Times New Roman" w:eastAsia="Times New Roman" w:hAnsi="Times New Roman" w:cs="Times New Roman"/>
          <w:color w:val="000000" w:themeColor="text1"/>
        </w:rPr>
        <w:t xml:space="preserve">Wellbeing, </w:t>
      </w:r>
      <w:r w:rsidR="006D1279" w:rsidRPr="00FB6769">
        <w:rPr>
          <w:rFonts w:ascii="Times New Roman" w:eastAsia="Times New Roman" w:hAnsi="Times New Roman" w:cs="Times New Roman"/>
          <w:color w:val="000000" w:themeColor="text1"/>
        </w:rPr>
        <w:t>by this definition</w:t>
      </w:r>
      <w:r w:rsidRPr="00FB6769">
        <w:rPr>
          <w:rFonts w:ascii="Times New Roman" w:eastAsia="Times New Roman" w:hAnsi="Times New Roman" w:cs="Times New Roman"/>
          <w:color w:val="000000" w:themeColor="text1"/>
        </w:rPr>
        <w:t>, is a surprisingly Romantic idea. Relative notions of health prevailed in eighteenth</w:t>
      </w:r>
      <w:r w:rsidR="00BB3522"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century medicine and culture, reminding us that it is possible to conceive of our </w:t>
      </w:r>
      <w:proofErr w:type="spellStart"/>
      <w:r w:rsidRPr="00FB6769">
        <w:rPr>
          <w:rFonts w:ascii="Times New Roman" w:eastAsia="Times New Roman" w:hAnsi="Times New Roman" w:cs="Times New Roman"/>
          <w:color w:val="000000" w:themeColor="text1"/>
        </w:rPr>
        <w:t>bodyminds</w:t>
      </w:r>
      <w:proofErr w:type="spellEnd"/>
      <w:r w:rsidRPr="00FB6769">
        <w:rPr>
          <w:rFonts w:ascii="Times New Roman" w:eastAsia="Times New Roman" w:hAnsi="Times New Roman" w:cs="Times New Roman"/>
          <w:color w:val="000000" w:themeColor="text1"/>
        </w:rPr>
        <w:t xml:space="preserve"> without always judging them against other</w:t>
      </w:r>
      <w:r w:rsidR="00A34EAA" w:rsidRPr="00FB6769">
        <w:rPr>
          <w:rFonts w:ascii="Times New Roman" w:eastAsia="Times New Roman" w:hAnsi="Times New Roman" w:cs="Times New Roman"/>
          <w:color w:val="000000" w:themeColor="text1"/>
        </w:rPr>
        <w:t>s</w:t>
      </w:r>
      <w:r w:rsidR="00313738"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The </w:t>
      </w:r>
      <w:r w:rsidR="0086778E" w:rsidRPr="00FB6769">
        <w:rPr>
          <w:rFonts w:ascii="Times New Roman" w:eastAsia="Times New Roman" w:hAnsi="Times New Roman" w:cs="Times New Roman"/>
          <w:color w:val="000000" w:themeColor="text1"/>
        </w:rPr>
        <w:t>R</w:t>
      </w:r>
      <w:r w:rsidRPr="00FB6769">
        <w:rPr>
          <w:rFonts w:ascii="Times New Roman" w:eastAsia="Times New Roman" w:hAnsi="Times New Roman" w:cs="Times New Roman"/>
          <w:color w:val="000000" w:themeColor="text1"/>
        </w:rPr>
        <w:t xml:space="preserve">omantic era was a time when </w:t>
      </w:r>
      <w:r w:rsidR="00BC467C" w:rsidRPr="00FB6769">
        <w:rPr>
          <w:rFonts w:ascii="Times New Roman" w:eastAsia="Times New Roman" w:hAnsi="Times New Roman" w:cs="Times New Roman"/>
          <w:color w:val="000000" w:themeColor="text1"/>
        </w:rPr>
        <w:t xml:space="preserve">such </w:t>
      </w:r>
      <w:r w:rsidRPr="00FB6769">
        <w:rPr>
          <w:rFonts w:ascii="Times New Roman" w:eastAsia="Times New Roman" w:hAnsi="Times New Roman" w:cs="Times New Roman"/>
          <w:color w:val="000000" w:themeColor="text1"/>
        </w:rPr>
        <w:t>relative conceptions of health existed alongside developing ideas about bodily norms.</w:t>
      </w:r>
      <w:r w:rsidR="004B7CF9" w:rsidRPr="00FB6769">
        <w:rPr>
          <w:rStyle w:val="FootnoteReference"/>
          <w:rFonts w:ascii="Times New Roman" w:eastAsia="Times New Roman" w:hAnsi="Times New Roman" w:cs="Times New Roman"/>
          <w:color w:val="000000" w:themeColor="text1"/>
        </w:rPr>
        <w:footnoteReference w:id="19"/>
      </w:r>
      <w:r w:rsidRPr="00FB6769">
        <w:rPr>
          <w:rFonts w:ascii="Times New Roman" w:eastAsia="Times New Roman" w:hAnsi="Times New Roman" w:cs="Times New Roman"/>
          <w:color w:val="000000" w:themeColor="text1"/>
        </w:rPr>
        <w:t xml:space="preserve"> </w:t>
      </w:r>
      <w:r w:rsidR="00E43BEB" w:rsidRPr="00FB6769">
        <w:rPr>
          <w:rFonts w:ascii="Times New Roman" w:eastAsia="Times New Roman" w:hAnsi="Times New Roman" w:cs="Times New Roman"/>
          <w:color w:val="000000" w:themeColor="text1"/>
        </w:rPr>
        <w:t xml:space="preserve">As we will discuss, it was also a time </w:t>
      </w:r>
      <w:r w:rsidR="00283A6D" w:rsidRPr="00FB6769">
        <w:rPr>
          <w:rFonts w:ascii="Times New Roman" w:eastAsia="Times New Roman" w:hAnsi="Times New Roman" w:cs="Times New Roman"/>
          <w:color w:val="000000" w:themeColor="text1"/>
        </w:rPr>
        <w:t>when</w:t>
      </w:r>
      <w:r w:rsidR="00E43BEB" w:rsidRPr="00FB6769">
        <w:rPr>
          <w:rFonts w:ascii="Times New Roman" w:eastAsia="Times New Roman" w:hAnsi="Times New Roman" w:cs="Times New Roman"/>
          <w:color w:val="000000" w:themeColor="text1"/>
        </w:rPr>
        <w:t xml:space="preserve"> authors interrogated </w:t>
      </w:r>
      <w:r w:rsidR="00B76BD3" w:rsidRPr="00FB6769">
        <w:rPr>
          <w:rFonts w:ascii="Times New Roman" w:eastAsia="Times New Roman" w:hAnsi="Times New Roman" w:cs="Times New Roman"/>
          <w:color w:val="000000" w:themeColor="text1"/>
        </w:rPr>
        <w:t>how</w:t>
      </w:r>
      <w:r w:rsidR="00E43BEB" w:rsidRPr="00FB6769">
        <w:rPr>
          <w:rFonts w:ascii="Times New Roman" w:eastAsia="Times New Roman" w:hAnsi="Times New Roman" w:cs="Times New Roman"/>
          <w:color w:val="000000" w:themeColor="text1"/>
        </w:rPr>
        <w:t xml:space="preserve"> systems of power and privilege, from gender norms to slavery, </w:t>
      </w:r>
      <w:r w:rsidR="00283A6D" w:rsidRPr="00FB6769">
        <w:rPr>
          <w:rFonts w:ascii="Times New Roman" w:eastAsia="Times New Roman" w:hAnsi="Times New Roman" w:cs="Times New Roman"/>
          <w:color w:val="000000" w:themeColor="text1"/>
        </w:rPr>
        <w:t>affected</w:t>
      </w:r>
      <w:r w:rsidR="00E43BEB" w:rsidRPr="00FB6769">
        <w:rPr>
          <w:rFonts w:ascii="Times New Roman" w:eastAsia="Times New Roman" w:hAnsi="Times New Roman" w:cs="Times New Roman"/>
          <w:color w:val="000000" w:themeColor="text1"/>
        </w:rPr>
        <w:t xml:space="preserve"> the wellbeing of </w:t>
      </w:r>
      <w:r w:rsidR="00B76BD3" w:rsidRPr="00FB6769">
        <w:rPr>
          <w:rFonts w:ascii="Times New Roman" w:eastAsia="Times New Roman" w:hAnsi="Times New Roman" w:cs="Times New Roman"/>
          <w:color w:val="000000" w:themeColor="text1"/>
        </w:rPr>
        <w:t>individuals and communities</w:t>
      </w:r>
      <w:r w:rsidR="00E43BEB" w:rsidRPr="00FB6769">
        <w:rPr>
          <w:rFonts w:ascii="Times New Roman" w:eastAsia="Times New Roman" w:hAnsi="Times New Roman" w:cs="Times New Roman"/>
          <w:color w:val="000000" w:themeColor="text1"/>
        </w:rPr>
        <w:t xml:space="preserve">. </w:t>
      </w:r>
      <w:r w:rsidR="0086778E" w:rsidRPr="00FB6769">
        <w:rPr>
          <w:rFonts w:ascii="Times New Roman" w:eastAsia="Times New Roman" w:hAnsi="Times New Roman" w:cs="Times New Roman"/>
          <w:color w:val="000000" w:themeColor="text1"/>
        </w:rPr>
        <w:t xml:space="preserve">We </w:t>
      </w:r>
      <w:r w:rsidRPr="00FB6769">
        <w:rPr>
          <w:rFonts w:ascii="Times New Roman" w:eastAsia="Times New Roman" w:hAnsi="Times New Roman" w:cs="Times New Roman"/>
          <w:color w:val="000000" w:themeColor="text1"/>
        </w:rPr>
        <w:t xml:space="preserve">can </w:t>
      </w:r>
      <w:r w:rsidR="0086778E" w:rsidRPr="00FB6769">
        <w:rPr>
          <w:rFonts w:ascii="Times New Roman" w:eastAsia="Times New Roman" w:hAnsi="Times New Roman" w:cs="Times New Roman"/>
          <w:color w:val="000000" w:themeColor="text1"/>
        </w:rPr>
        <w:t xml:space="preserve">draw a </w:t>
      </w:r>
      <w:r w:rsidR="00FE55EC" w:rsidRPr="00FB6769">
        <w:rPr>
          <w:rFonts w:ascii="Times New Roman" w:eastAsia="Times New Roman" w:hAnsi="Times New Roman" w:cs="Times New Roman"/>
          <w:color w:val="000000" w:themeColor="text1"/>
        </w:rPr>
        <w:t>clear</w:t>
      </w:r>
      <w:r w:rsidR="0086778E" w:rsidRPr="00FB6769">
        <w:rPr>
          <w:rFonts w:ascii="Times New Roman" w:eastAsia="Times New Roman" w:hAnsi="Times New Roman" w:cs="Times New Roman"/>
          <w:color w:val="000000" w:themeColor="text1"/>
        </w:rPr>
        <w:t xml:space="preserve"> line between the </w:t>
      </w:r>
      <w:r w:rsidR="00317B09" w:rsidRPr="00FB6769">
        <w:rPr>
          <w:rFonts w:ascii="Times New Roman" w:eastAsia="Times New Roman" w:hAnsi="Times New Roman" w:cs="Times New Roman"/>
          <w:color w:val="000000" w:themeColor="text1"/>
        </w:rPr>
        <w:t>Romantics</w:t>
      </w:r>
      <w:r w:rsidR="0086778E" w:rsidRPr="00FB6769">
        <w:rPr>
          <w:rFonts w:ascii="Times New Roman" w:eastAsia="Times New Roman" w:hAnsi="Times New Roman" w:cs="Times New Roman"/>
          <w:color w:val="000000" w:themeColor="text1"/>
        </w:rPr>
        <w:t xml:space="preserve"> and</w:t>
      </w:r>
      <w:r w:rsidRPr="00FB6769">
        <w:rPr>
          <w:rFonts w:ascii="Times New Roman" w:eastAsia="Times New Roman" w:hAnsi="Times New Roman" w:cs="Times New Roman"/>
          <w:color w:val="000000" w:themeColor="text1"/>
        </w:rPr>
        <w:t xml:space="preserve"> </w:t>
      </w:r>
      <w:r w:rsidR="001C1949" w:rsidRPr="00FB6769">
        <w:rPr>
          <w:rFonts w:ascii="Times New Roman" w:eastAsia="Times New Roman" w:hAnsi="Times New Roman" w:cs="Times New Roman"/>
          <w:color w:val="000000" w:themeColor="text1"/>
        </w:rPr>
        <w:t xml:space="preserve">the </w:t>
      </w:r>
      <w:r w:rsidR="00BC467C" w:rsidRPr="00FB6769">
        <w:rPr>
          <w:rFonts w:ascii="Times New Roman" w:eastAsia="Times New Roman" w:hAnsi="Times New Roman" w:cs="Times New Roman"/>
          <w:color w:val="000000" w:themeColor="text1"/>
        </w:rPr>
        <w:t>c</w:t>
      </w:r>
      <w:r w:rsidRPr="00FB6769">
        <w:rPr>
          <w:rFonts w:ascii="Times New Roman" w:eastAsia="Times New Roman" w:hAnsi="Times New Roman" w:cs="Times New Roman"/>
          <w:color w:val="000000" w:themeColor="text1"/>
        </w:rPr>
        <w:t>oncept of wellbeing</w:t>
      </w:r>
      <w:r w:rsidR="001C1949" w:rsidRPr="00FB6769">
        <w:rPr>
          <w:rFonts w:ascii="Times New Roman" w:eastAsia="Times New Roman" w:hAnsi="Times New Roman" w:cs="Times New Roman"/>
          <w:color w:val="000000" w:themeColor="text1"/>
        </w:rPr>
        <w:t xml:space="preserve"> we develop in this introduction, a concept </w:t>
      </w:r>
      <w:r w:rsidRPr="00FB6769">
        <w:rPr>
          <w:rFonts w:ascii="Times New Roman" w:eastAsia="Times New Roman" w:hAnsi="Times New Roman" w:cs="Times New Roman"/>
          <w:color w:val="000000" w:themeColor="text1"/>
        </w:rPr>
        <w:t>that resists</w:t>
      </w:r>
      <w:r w:rsidR="00317B09" w:rsidRPr="00FB6769">
        <w:rPr>
          <w:rFonts w:ascii="Times New Roman" w:eastAsia="Times New Roman" w:hAnsi="Times New Roman" w:cs="Times New Roman"/>
          <w:color w:val="000000" w:themeColor="text1"/>
        </w:rPr>
        <w:t xml:space="preserve"> the</w:t>
      </w:r>
      <w:r w:rsidRPr="00FB6769">
        <w:rPr>
          <w:rFonts w:ascii="Times New Roman" w:eastAsia="Times New Roman" w:hAnsi="Times New Roman" w:cs="Times New Roman"/>
          <w:color w:val="000000" w:themeColor="text1"/>
        </w:rPr>
        <w:t xml:space="preserve"> </w:t>
      </w:r>
      <w:r w:rsidR="00FE55EC" w:rsidRPr="00FB6769">
        <w:rPr>
          <w:rFonts w:ascii="Times New Roman" w:eastAsia="Times New Roman" w:hAnsi="Times New Roman" w:cs="Times New Roman"/>
          <w:color w:val="000000" w:themeColor="text1"/>
        </w:rPr>
        <w:t>exclusions</w:t>
      </w:r>
      <w:r w:rsidRPr="00FB6769">
        <w:rPr>
          <w:rFonts w:ascii="Times New Roman" w:eastAsia="Times New Roman" w:hAnsi="Times New Roman" w:cs="Times New Roman"/>
          <w:color w:val="000000" w:themeColor="text1"/>
        </w:rPr>
        <w:t xml:space="preserve"> central to </w:t>
      </w:r>
      <w:r w:rsidR="00801B89" w:rsidRPr="00FB6769">
        <w:rPr>
          <w:rFonts w:ascii="Times New Roman" w:eastAsia="Times New Roman" w:hAnsi="Times New Roman" w:cs="Times New Roman"/>
          <w:color w:val="000000" w:themeColor="text1"/>
        </w:rPr>
        <w:t xml:space="preserve">current </w:t>
      </w:r>
      <w:r w:rsidR="00F70D11" w:rsidRPr="00FB6769">
        <w:rPr>
          <w:rFonts w:ascii="Times New Roman" w:eastAsia="Times New Roman" w:hAnsi="Times New Roman" w:cs="Times New Roman"/>
          <w:color w:val="000000" w:themeColor="text1"/>
        </w:rPr>
        <w:t>ideals</w:t>
      </w:r>
      <w:r w:rsidRPr="00FB6769">
        <w:rPr>
          <w:rFonts w:ascii="Times New Roman" w:eastAsia="Times New Roman" w:hAnsi="Times New Roman" w:cs="Times New Roman"/>
          <w:color w:val="000000" w:themeColor="text1"/>
        </w:rPr>
        <w:t xml:space="preserve"> of wellness.</w:t>
      </w:r>
      <w:r w:rsidR="00117654" w:rsidRPr="00FB6769">
        <w:rPr>
          <w:rFonts w:ascii="Times New Roman" w:eastAsia="Times New Roman" w:hAnsi="Times New Roman" w:cs="Times New Roman"/>
          <w:color w:val="000000" w:themeColor="text1"/>
        </w:rPr>
        <w:t xml:space="preserve"> </w:t>
      </w:r>
    </w:p>
    <w:p w14:paraId="6CF50710" w14:textId="65661AFD" w:rsidR="006164F1" w:rsidRDefault="00BB5CCC" w:rsidP="00BB5CCC">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ab/>
        <w:t xml:space="preserve"> To offer a brief history: </w:t>
      </w:r>
      <w:r w:rsidR="00DB2CCB">
        <w:rPr>
          <w:rFonts w:ascii="Times New Roman" w:eastAsia="Times New Roman" w:hAnsi="Times New Roman" w:cs="Times New Roman"/>
          <w:color w:val="000000" w:themeColor="text1"/>
        </w:rPr>
        <w:t>in the late 18</w:t>
      </w:r>
      <w:r w:rsidR="00DB2CCB" w:rsidRPr="00DB2CCB">
        <w:rPr>
          <w:rFonts w:ascii="Times New Roman" w:eastAsia="Times New Roman" w:hAnsi="Times New Roman" w:cs="Times New Roman"/>
          <w:color w:val="000000" w:themeColor="text1"/>
          <w:vertAlign w:val="superscript"/>
        </w:rPr>
        <w:t>th</w:t>
      </w:r>
      <w:r w:rsidR="00DB2CCB">
        <w:rPr>
          <w:rFonts w:ascii="Times New Roman" w:eastAsia="Times New Roman" w:hAnsi="Times New Roman" w:cs="Times New Roman"/>
          <w:color w:val="000000" w:themeColor="text1"/>
        </w:rPr>
        <w:t xml:space="preserve"> and early 19</w:t>
      </w:r>
      <w:r w:rsidR="00DB2CCB" w:rsidRPr="00DB2CCB">
        <w:rPr>
          <w:rFonts w:ascii="Times New Roman" w:eastAsia="Times New Roman" w:hAnsi="Times New Roman" w:cs="Times New Roman"/>
          <w:color w:val="000000" w:themeColor="text1"/>
          <w:vertAlign w:val="superscript"/>
        </w:rPr>
        <w:t>th</w:t>
      </w:r>
      <w:r w:rsidR="00DB2CCB">
        <w:rPr>
          <w:rFonts w:ascii="Times New Roman" w:eastAsia="Times New Roman" w:hAnsi="Times New Roman" w:cs="Times New Roman"/>
          <w:color w:val="000000" w:themeColor="text1"/>
        </w:rPr>
        <w:t xml:space="preserve"> centuries</w:t>
      </w:r>
      <w:r w:rsidRPr="00FB6769">
        <w:rPr>
          <w:rFonts w:ascii="Times New Roman" w:eastAsia="Times New Roman" w:hAnsi="Times New Roman" w:cs="Times New Roman"/>
          <w:color w:val="000000" w:themeColor="text1"/>
        </w:rPr>
        <w:t xml:space="preserve">, </w:t>
      </w:r>
      <w:r w:rsidR="00DB2CCB">
        <w:rPr>
          <w:rFonts w:ascii="Times New Roman" w:eastAsia="Times New Roman" w:hAnsi="Times New Roman" w:cs="Times New Roman"/>
          <w:color w:val="000000" w:themeColor="text1"/>
        </w:rPr>
        <w:t>people</w:t>
      </w:r>
      <w:r w:rsidRPr="00FB6769">
        <w:rPr>
          <w:rFonts w:ascii="Times New Roman" w:eastAsia="Times New Roman" w:hAnsi="Times New Roman" w:cs="Times New Roman"/>
          <w:color w:val="000000" w:themeColor="text1"/>
        </w:rPr>
        <w:t xml:space="preserve"> assessed their health </w:t>
      </w:r>
      <w:r w:rsidR="00DB2CCB">
        <w:rPr>
          <w:rFonts w:ascii="Times New Roman" w:eastAsia="Times New Roman" w:hAnsi="Times New Roman" w:cs="Times New Roman"/>
          <w:color w:val="000000" w:themeColor="text1"/>
        </w:rPr>
        <w:t>by</w:t>
      </w:r>
      <w:r w:rsidR="00DB2CCB"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more individual standards than those to which we’ve become accustomed. </w:t>
      </w:r>
      <w:r w:rsidR="00DB2CCB">
        <w:rPr>
          <w:rFonts w:ascii="Times New Roman" w:eastAsia="Times New Roman" w:hAnsi="Times New Roman" w:cs="Times New Roman"/>
          <w:color w:val="000000" w:themeColor="text1"/>
        </w:rPr>
        <w:t xml:space="preserve">For example, </w:t>
      </w:r>
      <w:r w:rsidRPr="00FB6769">
        <w:rPr>
          <w:rFonts w:ascii="Times New Roman" w:eastAsia="Times New Roman" w:hAnsi="Times New Roman" w:cs="Times New Roman"/>
          <w:color w:val="000000" w:themeColor="text1"/>
        </w:rPr>
        <w:t>Coleridge’s notebooks and letters contain a nuanced terminology for his varying states of wellbeing</w:t>
      </w:r>
      <w:r w:rsidR="002E1580"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“My Health is indifferent / I am rather endurably unwell, than tolerably well” is a characteristic statement.</w:t>
      </w:r>
      <w:r w:rsidR="00387C7E" w:rsidRPr="00FB6769">
        <w:rPr>
          <w:rStyle w:val="FootnoteReference"/>
          <w:rFonts w:ascii="Times New Roman" w:eastAsia="Times New Roman" w:hAnsi="Times New Roman" w:cs="Times New Roman"/>
          <w:color w:val="000000" w:themeColor="text1"/>
        </w:rPr>
        <w:footnoteReference w:id="20"/>
      </w:r>
      <w:r w:rsidRPr="00FB6769">
        <w:rPr>
          <w:rFonts w:ascii="Times New Roman" w:eastAsia="Times New Roman" w:hAnsi="Times New Roman" w:cs="Times New Roman"/>
          <w:color w:val="000000" w:themeColor="text1"/>
        </w:rPr>
        <w:t xml:space="preserve"> </w:t>
      </w:r>
      <w:r w:rsidR="00DB2CCB">
        <w:rPr>
          <w:rFonts w:ascii="Times New Roman" w:eastAsia="Times New Roman" w:hAnsi="Times New Roman" w:cs="Times New Roman"/>
          <w:color w:val="000000" w:themeColor="text1"/>
        </w:rPr>
        <w:t>Coleridge’s</w:t>
      </w:r>
      <w:r w:rsidR="00DB2CCB"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measure for his own health was not a set of normative </w:t>
      </w:r>
      <w:r w:rsidRPr="00FB6769">
        <w:rPr>
          <w:rFonts w:ascii="Times New Roman" w:eastAsia="Times New Roman" w:hAnsi="Times New Roman" w:cs="Times New Roman"/>
          <w:color w:val="000000" w:themeColor="text1"/>
        </w:rPr>
        <w:lastRenderedPageBreak/>
        <w:t xml:space="preserve">statistics, but his </w:t>
      </w:r>
      <w:r w:rsidR="001C1949" w:rsidRPr="00FB6769">
        <w:rPr>
          <w:rFonts w:ascii="Times New Roman" w:eastAsia="Times New Roman" w:hAnsi="Times New Roman" w:cs="Times New Roman"/>
          <w:color w:val="000000" w:themeColor="text1"/>
        </w:rPr>
        <w:t xml:space="preserve">relative </w:t>
      </w:r>
      <w:r w:rsidRPr="00FB6769">
        <w:rPr>
          <w:rFonts w:ascii="Times New Roman" w:eastAsia="Times New Roman" w:hAnsi="Times New Roman" w:cs="Times New Roman"/>
          <w:color w:val="000000" w:themeColor="text1"/>
        </w:rPr>
        <w:t>comfort in his own body and how that comfort had shifted over time.</w:t>
      </w:r>
      <w:r w:rsidR="001C1949"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Similarly, medicine</w:t>
      </w:r>
      <w:r w:rsidR="00DB2CCB">
        <w:rPr>
          <w:rFonts w:ascii="Times New Roman" w:eastAsia="Times New Roman" w:hAnsi="Times New Roman" w:cs="Times New Roman"/>
          <w:color w:val="000000" w:themeColor="text1"/>
        </w:rPr>
        <w:t xml:space="preserve"> of the era</w:t>
      </w:r>
      <w:r w:rsidRPr="00FB6769">
        <w:rPr>
          <w:rFonts w:ascii="Times New Roman" w:eastAsia="Times New Roman" w:hAnsi="Times New Roman" w:cs="Times New Roman"/>
          <w:color w:val="000000" w:themeColor="text1"/>
        </w:rPr>
        <w:t xml:space="preserve"> took a more flexible, individualistic approach to “health” than Victorian medicine would go on to endorse. James Curry and William Babington, lecturers at Guy’s Hospital during Keats’s </w:t>
      </w:r>
      <w:r w:rsidR="00317B09" w:rsidRPr="00FB6769">
        <w:rPr>
          <w:rFonts w:ascii="Times New Roman" w:eastAsia="Times New Roman" w:hAnsi="Times New Roman" w:cs="Times New Roman"/>
          <w:color w:val="000000" w:themeColor="text1"/>
        </w:rPr>
        <w:t xml:space="preserve">study </w:t>
      </w:r>
      <w:r w:rsidRPr="00FB6769">
        <w:rPr>
          <w:rFonts w:ascii="Times New Roman" w:eastAsia="Times New Roman" w:hAnsi="Times New Roman" w:cs="Times New Roman"/>
          <w:color w:val="000000" w:themeColor="text1"/>
        </w:rPr>
        <w:t xml:space="preserve">there, critiqued definitions of disease as “any variation from the most perfect and healthy state” because these were “too general.” </w:t>
      </w:r>
      <w:r w:rsidR="001C1949" w:rsidRPr="00FB6769">
        <w:rPr>
          <w:rFonts w:ascii="Times New Roman" w:eastAsia="Times New Roman" w:hAnsi="Times New Roman" w:cs="Times New Roman"/>
          <w:color w:val="000000" w:themeColor="text1"/>
        </w:rPr>
        <w:t>For Curry and Babington</w:t>
      </w:r>
      <w:r w:rsidRPr="00FB6769">
        <w:rPr>
          <w:rFonts w:ascii="Times New Roman" w:eastAsia="Times New Roman" w:hAnsi="Times New Roman" w:cs="Times New Roman"/>
          <w:color w:val="000000" w:themeColor="text1"/>
        </w:rPr>
        <w:t>, “health and disease” are “relative rather than positive terms,” respecting “the individual as compared with the generality of men, and with himself at different times</w:t>
      </w:r>
      <w:r w:rsidR="009C1B51"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w:t>
      </w:r>
      <w:r w:rsidR="009C1B51" w:rsidRPr="00FB6769">
        <w:rPr>
          <w:rStyle w:val="FootnoteReference"/>
          <w:rFonts w:ascii="Times New Roman" w:eastAsia="Times New Roman" w:hAnsi="Times New Roman" w:cs="Times New Roman"/>
          <w:color w:val="000000" w:themeColor="text1"/>
        </w:rPr>
        <w:footnoteReference w:id="21"/>
      </w:r>
      <w:r w:rsidRPr="00FB6769">
        <w:rPr>
          <w:rFonts w:ascii="Times New Roman" w:eastAsia="Times New Roman" w:hAnsi="Times New Roman" w:cs="Times New Roman"/>
          <w:color w:val="000000" w:themeColor="text1"/>
        </w:rPr>
        <w:t xml:space="preserve"> For </w:t>
      </w:r>
      <w:r w:rsidR="009C1B51" w:rsidRPr="00FB6769">
        <w:rPr>
          <w:rFonts w:ascii="Times New Roman" w:eastAsia="Times New Roman" w:hAnsi="Times New Roman" w:cs="Times New Roman"/>
          <w:color w:val="000000" w:themeColor="text1"/>
        </w:rPr>
        <w:t>R</w:t>
      </w:r>
      <w:r w:rsidRPr="00FB6769">
        <w:rPr>
          <w:rFonts w:ascii="Times New Roman" w:eastAsia="Times New Roman" w:hAnsi="Times New Roman" w:cs="Times New Roman"/>
          <w:color w:val="000000" w:themeColor="text1"/>
        </w:rPr>
        <w:t xml:space="preserve">omantic thinkers, wellbeing was more often descriptive than prescriptive, and this gave </w:t>
      </w:r>
      <w:r w:rsidR="00E20BD4" w:rsidRPr="00FB6769">
        <w:rPr>
          <w:rFonts w:ascii="Times New Roman" w:eastAsia="Times New Roman" w:hAnsi="Times New Roman" w:cs="Times New Roman"/>
          <w:color w:val="000000" w:themeColor="text1"/>
        </w:rPr>
        <w:t xml:space="preserve">many of </w:t>
      </w:r>
      <w:r w:rsidRPr="00FB6769">
        <w:rPr>
          <w:rFonts w:ascii="Times New Roman" w:eastAsia="Times New Roman" w:hAnsi="Times New Roman" w:cs="Times New Roman"/>
          <w:color w:val="000000" w:themeColor="text1"/>
        </w:rPr>
        <w:t xml:space="preserve">them a more </w:t>
      </w:r>
      <w:r w:rsidR="00C36681">
        <w:rPr>
          <w:rFonts w:ascii="Times New Roman" w:eastAsia="Times New Roman" w:hAnsi="Times New Roman" w:cs="Times New Roman"/>
          <w:color w:val="000000" w:themeColor="text1"/>
        </w:rPr>
        <w:t>capacious view</w:t>
      </w:r>
      <w:r w:rsidR="00C36681" w:rsidRPr="00FB6769">
        <w:rPr>
          <w:rFonts w:ascii="Times New Roman" w:eastAsia="Times New Roman" w:hAnsi="Times New Roman" w:cs="Times New Roman"/>
          <w:color w:val="000000" w:themeColor="text1"/>
        </w:rPr>
        <w:t xml:space="preserve"> </w:t>
      </w:r>
      <w:r w:rsidR="00C36681">
        <w:rPr>
          <w:rFonts w:ascii="Times New Roman" w:eastAsia="Times New Roman" w:hAnsi="Times New Roman" w:cs="Times New Roman"/>
          <w:color w:val="000000" w:themeColor="text1"/>
        </w:rPr>
        <w:t>of</w:t>
      </w:r>
      <w:r w:rsidRPr="00FB6769">
        <w:rPr>
          <w:rFonts w:ascii="Times New Roman" w:eastAsia="Times New Roman" w:hAnsi="Times New Roman" w:cs="Times New Roman"/>
          <w:color w:val="000000" w:themeColor="text1"/>
        </w:rPr>
        <w:t xml:space="preserve"> </w:t>
      </w:r>
      <w:proofErr w:type="spellStart"/>
      <w:r w:rsidR="00C36681">
        <w:rPr>
          <w:rFonts w:ascii="Times New Roman" w:eastAsia="Times New Roman" w:hAnsi="Times New Roman" w:cs="Times New Roman"/>
          <w:color w:val="000000" w:themeColor="text1"/>
        </w:rPr>
        <w:t>bodyminds</w:t>
      </w:r>
      <w:proofErr w:type="spellEnd"/>
      <w:r w:rsidR="00C36681"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and conditions </w:t>
      </w:r>
      <w:r w:rsidR="000352E2">
        <w:rPr>
          <w:rFonts w:ascii="Times New Roman" w:eastAsia="Times New Roman" w:hAnsi="Times New Roman" w:cs="Times New Roman"/>
          <w:color w:val="000000" w:themeColor="text1"/>
        </w:rPr>
        <w:t>21</w:t>
      </w:r>
      <w:r w:rsidR="000352E2" w:rsidRPr="000352E2">
        <w:rPr>
          <w:rFonts w:ascii="Times New Roman" w:eastAsia="Times New Roman" w:hAnsi="Times New Roman" w:cs="Times New Roman"/>
          <w:color w:val="000000" w:themeColor="text1"/>
          <w:vertAlign w:val="superscript"/>
        </w:rPr>
        <w:t>st</w:t>
      </w:r>
      <w:r w:rsidR="000352E2">
        <w:rPr>
          <w:rFonts w:ascii="Times New Roman" w:eastAsia="Times New Roman" w:hAnsi="Times New Roman" w:cs="Times New Roman"/>
          <w:color w:val="000000" w:themeColor="text1"/>
        </w:rPr>
        <w:t>-century</w:t>
      </w:r>
      <w:r w:rsidR="000352E2"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medicine might deem “unwell.”</w:t>
      </w:r>
      <w:r w:rsidR="005755E9">
        <w:rPr>
          <w:rFonts w:ascii="Times New Roman" w:eastAsia="Times New Roman" w:hAnsi="Times New Roman" w:cs="Times New Roman"/>
          <w:color w:val="000000" w:themeColor="text1"/>
        </w:rPr>
        <w:t xml:space="preserve"> </w:t>
      </w:r>
      <w:r w:rsidR="005755E9" w:rsidRPr="00FB6769">
        <w:rPr>
          <w:rFonts w:ascii="Times New Roman" w:eastAsia="Times New Roman" w:hAnsi="Times New Roman" w:cs="Times New Roman"/>
          <w:color w:val="000000" w:themeColor="text1"/>
        </w:rPr>
        <w:t xml:space="preserve">In this, Romantic thought strikingly anticipates movements </w:t>
      </w:r>
      <w:r w:rsidR="005755E9" w:rsidRPr="000352E2">
        <w:rPr>
          <w:rFonts w:ascii="Times New Roman" w:eastAsia="Times New Roman" w:hAnsi="Times New Roman" w:cs="Times New Roman"/>
          <w:color w:val="000000" w:themeColor="text1"/>
        </w:rPr>
        <w:t>in contemporary disability theory.</w:t>
      </w:r>
    </w:p>
    <w:p w14:paraId="413B00FD" w14:textId="3FBE62AC" w:rsidR="00BB5CCC" w:rsidRPr="00FB6769" w:rsidRDefault="009C1B51" w:rsidP="005755E9">
      <w:pPr>
        <w:spacing w:line="480" w:lineRule="auto"/>
        <w:ind w:firstLine="720"/>
        <w:rPr>
          <w:rFonts w:ascii="Times New Roman" w:eastAsia="Times New Roman" w:hAnsi="Times New Roman" w:cs="Times New Roman"/>
          <w:color w:val="000000" w:themeColor="text1"/>
        </w:rPr>
      </w:pPr>
      <w:r w:rsidRPr="000352E2">
        <w:rPr>
          <w:rFonts w:ascii="Times New Roman" w:eastAsia="Times New Roman" w:hAnsi="Times New Roman" w:cs="Times New Roman"/>
          <w:color w:val="000000" w:themeColor="text1"/>
        </w:rPr>
        <w:t>Although</w:t>
      </w:r>
      <w:r w:rsidR="00BB5CCC" w:rsidRPr="000352E2">
        <w:rPr>
          <w:rFonts w:ascii="Times New Roman" w:eastAsia="Times New Roman" w:hAnsi="Times New Roman" w:cs="Times New Roman"/>
          <w:color w:val="000000" w:themeColor="text1"/>
        </w:rPr>
        <w:t xml:space="preserve"> normative approaches to the body were being developed </w:t>
      </w:r>
      <w:r w:rsidR="006164F1">
        <w:rPr>
          <w:rFonts w:ascii="Times New Roman" w:eastAsia="Times New Roman" w:hAnsi="Times New Roman" w:cs="Times New Roman"/>
          <w:color w:val="000000" w:themeColor="text1"/>
        </w:rPr>
        <w:t>during</w:t>
      </w:r>
      <w:r w:rsidR="00E7614A">
        <w:rPr>
          <w:rFonts w:ascii="Times New Roman" w:eastAsia="Times New Roman" w:hAnsi="Times New Roman" w:cs="Times New Roman"/>
          <w:color w:val="000000" w:themeColor="text1"/>
        </w:rPr>
        <w:t xml:space="preserve"> the era</w:t>
      </w:r>
      <w:r w:rsidR="00BB5CCC" w:rsidRPr="000352E2">
        <w:rPr>
          <w:rFonts w:ascii="Times New Roman" w:eastAsia="Times New Roman" w:hAnsi="Times New Roman" w:cs="Times New Roman"/>
          <w:color w:val="000000" w:themeColor="text1"/>
        </w:rPr>
        <w:t>,</w:t>
      </w:r>
      <w:r w:rsidR="006164F1">
        <w:rPr>
          <w:rFonts w:ascii="Times New Roman" w:eastAsia="Times New Roman" w:hAnsi="Times New Roman" w:cs="Times New Roman"/>
          <w:color w:val="000000" w:themeColor="text1"/>
        </w:rPr>
        <w:t xml:space="preserve"> and in some cases before it,</w:t>
      </w:r>
      <w:r w:rsidR="00BB5CCC" w:rsidRPr="000352E2">
        <w:rPr>
          <w:rFonts w:ascii="Times New Roman" w:eastAsia="Times New Roman" w:hAnsi="Times New Roman" w:cs="Times New Roman"/>
          <w:color w:val="000000" w:themeColor="text1"/>
        </w:rPr>
        <w:t xml:space="preserve"> a diversity of views flourished alongside these normative</w:t>
      </w:r>
      <w:r w:rsidR="00BB5CCC" w:rsidRPr="00FB6769">
        <w:rPr>
          <w:rFonts w:ascii="Times New Roman" w:eastAsia="Times New Roman" w:hAnsi="Times New Roman" w:cs="Times New Roman"/>
          <w:color w:val="000000" w:themeColor="text1"/>
        </w:rPr>
        <w:t xml:space="preserve"> ones. As Tim Fulford, Debbie Lee, and Peter J. Kitson have argued</w:t>
      </w:r>
      <w:r w:rsidR="006653DD" w:rsidRPr="00FB6769">
        <w:rPr>
          <w:rFonts w:ascii="Times New Roman" w:eastAsia="Times New Roman" w:hAnsi="Times New Roman" w:cs="Times New Roman"/>
          <w:color w:val="000000" w:themeColor="text1"/>
        </w:rPr>
        <w:t xml:space="preserve">, </w:t>
      </w:r>
      <w:r w:rsidR="00BB5CCC" w:rsidRPr="00FB6769">
        <w:rPr>
          <w:rFonts w:ascii="Times New Roman" w:eastAsia="Times New Roman" w:hAnsi="Times New Roman" w:cs="Times New Roman"/>
          <w:color w:val="000000" w:themeColor="text1"/>
        </w:rPr>
        <w:t>authors of the Romantic era were “part of a contest in which ideologies and stereotypes were in the process of being formed, often in conflict with each other and in contradiction with themselves</w:t>
      </w:r>
      <w:r w:rsidRPr="00FB6769">
        <w:rPr>
          <w:rFonts w:ascii="Times New Roman" w:eastAsia="Times New Roman" w:hAnsi="Times New Roman" w:cs="Times New Roman"/>
          <w:color w:val="000000" w:themeColor="text1"/>
        </w:rPr>
        <w:t>.</w:t>
      </w:r>
      <w:r w:rsidR="00BB5CCC" w:rsidRPr="00FB6769">
        <w:rPr>
          <w:rFonts w:ascii="Times New Roman" w:eastAsia="Times New Roman" w:hAnsi="Times New Roman" w:cs="Times New Roman"/>
          <w:color w:val="000000" w:themeColor="text1"/>
        </w:rPr>
        <w:t>”</w:t>
      </w:r>
      <w:r w:rsidRPr="00FB6769">
        <w:rPr>
          <w:rStyle w:val="FootnoteReference"/>
          <w:rFonts w:ascii="Times New Roman" w:eastAsia="Times New Roman" w:hAnsi="Times New Roman" w:cs="Times New Roman"/>
          <w:color w:val="000000" w:themeColor="text1"/>
        </w:rPr>
        <w:footnoteReference w:id="22"/>
      </w:r>
      <w:r w:rsidR="00BB5CCC" w:rsidRPr="00FB6769">
        <w:rPr>
          <w:rFonts w:ascii="Times New Roman" w:eastAsia="Times New Roman" w:hAnsi="Times New Roman" w:cs="Times New Roman"/>
          <w:color w:val="000000" w:themeColor="text1"/>
        </w:rPr>
        <w:t xml:space="preserve"> </w:t>
      </w:r>
      <w:r w:rsidR="00D6188D" w:rsidRPr="00FB6769">
        <w:rPr>
          <w:rFonts w:ascii="Times New Roman" w:eastAsia="Times New Roman" w:hAnsi="Times New Roman" w:cs="Times New Roman"/>
          <w:color w:val="000000" w:themeColor="text1"/>
        </w:rPr>
        <w:t xml:space="preserve">It’s therefore unsurprising that </w:t>
      </w:r>
      <w:r w:rsidR="00BB5CCC" w:rsidRPr="00FB6769">
        <w:rPr>
          <w:rFonts w:ascii="Times New Roman" w:eastAsia="Times New Roman" w:hAnsi="Times New Roman" w:cs="Times New Roman"/>
          <w:color w:val="000000" w:themeColor="text1"/>
        </w:rPr>
        <w:t>Romantic-era definitions of wellbeing often extended to what we’d now consider disabilities</w:t>
      </w:r>
      <w:r w:rsidR="00CF408A" w:rsidRPr="00FB6769">
        <w:rPr>
          <w:rFonts w:ascii="Times New Roman" w:eastAsia="Times New Roman" w:hAnsi="Times New Roman" w:cs="Times New Roman"/>
          <w:color w:val="000000" w:themeColor="text1"/>
        </w:rPr>
        <w:t xml:space="preserve">, even as the lives of many disabled people were marked by </w:t>
      </w:r>
      <w:r w:rsidR="00722EEA" w:rsidRPr="00FB6769">
        <w:rPr>
          <w:rFonts w:ascii="Times New Roman" w:eastAsia="Times New Roman" w:hAnsi="Times New Roman" w:cs="Times New Roman"/>
          <w:color w:val="000000" w:themeColor="text1"/>
        </w:rPr>
        <w:t>stigma</w:t>
      </w:r>
      <w:r w:rsidR="005755E9">
        <w:rPr>
          <w:rFonts w:ascii="Times New Roman" w:eastAsia="Times New Roman" w:hAnsi="Times New Roman" w:cs="Times New Roman"/>
          <w:color w:val="000000" w:themeColor="text1"/>
        </w:rPr>
        <w:t>, anticipating</w:t>
      </w:r>
      <w:r w:rsidR="00CF408A" w:rsidRPr="00FB6769">
        <w:rPr>
          <w:rFonts w:ascii="Times New Roman" w:eastAsia="Times New Roman" w:hAnsi="Times New Roman" w:cs="Times New Roman"/>
          <w:color w:val="000000" w:themeColor="text1"/>
        </w:rPr>
        <w:t xml:space="preserve"> </w:t>
      </w:r>
      <w:r w:rsidR="00722EEA" w:rsidRPr="00FB6769">
        <w:rPr>
          <w:rFonts w:ascii="Times New Roman" w:eastAsia="Times New Roman" w:hAnsi="Times New Roman" w:cs="Times New Roman"/>
          <w:color w:val="000000" w:themeColor="text1"/>
        </w:rPr>
        <w:t>the eugenic programs of the late nineteenth and early twentieth centur</w:t>
      </w:r>
      <w:r w:rsidR="00E87500" w:rsidRPr="00FB6769">
        <w:rPr>
          <w:rFonts w:ascii="Times New Roman" w:eastAsia="Times New Roman" w:hAnsi="Times New Roman" w:cs="Times New Roman"/>
          <w:color w:val="000000" w:themeColor="text1"/>
        </w:rPr>
        <w:t>ies.</w:t>
      </w:r>
    </w:p>
    <w:p w14:paraId="424BE787" w14:textId="4529F0EB" w:rsidR="009763E1" w:rsidRPr="00FB6769" w:rsidRDefault="00BB5CCC" w:rsidP="005755E9">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 </w:t>
      </w:r>
      <w:r w:rsidRPr="00FB6769">
        <w:rPr>
          <w:rFonts w:ascii="Times New Roman" w:eastAsia="Times New Roman" w:hAnsi="Times New Roman" w:cs="Times New Roman"/>
          <w:color w:val="000000" w:themeColor="text1"/>
        </w:rPr>
        <w:tab/>
        <w:t xml:space="preserve">Moreover, Romantic attitudes towards health included a </w:t>
      </w:r>
      <w:r w:rsidRPr="00FB6769">
        <w:rPr>
          <w:rFonts w:ascii="Times New Roman" w:eastAsia="Times New Roman" w:hAnsi="Times New Roman" w:cs="Times New Roman"/>
          <w:i/>
          <w:iCs/>
          <w:color w:val="000000" w:themeColor="text1"/>
        </w:rPr>
        <w:t xml:space="preserve">de facto </w:t>
      </w:r>
      <w:r w:rsidRPr="00FB6769">
        <w:rPr>
          <w:rFonts w:ascii="Times New Roman" w:eastAsia="Times New Roman" w:hAnsi="Times New Roman" w:cs="Times New Roman"/>
          <w:color w:val="000000" w:themeColor="text1"/>
        </w:rPr>
        <w:t xml:space="preserve">anti-dualism, both within and beyond medicine. Discussions of “wellness” in the contemporary university often </w:t>
      </w:r>
      <w:r w:rsidRPr="00FB6769">
        <w:rPr>
          <w:rFonts w:ascii="Times New Roman" w:eastAsia="Times New Roman" w:hAnsi="Times New Roman" w:cs="Times New Roman"/>
          <w:color w:val="000000" w:themeColor="text1"/>
        </w:rPr>
        <w:lastRenderedPageBreak/>
        <w:t>underplay links between mental, physical, and emotional health, treating (for example) student anxiety as a separate issue from student food security.</w:t>
      </w:r>
      <w:r w:rsidR="00F3677D" w:rsidRPr="00FB6769">
        <w:rPr>
          <w:rStyle w:val="FootnoteReference"/>
          <w:rFonts w:ascii="Times New Roman" w:eastAsia="Times New Roman" w:hAnsi="Times New Roman" w:cs="Times New Roman"/>
          <w:color w:val="000000" w:themeColor="text1"/>
        </w:rPr>
        <w:footnoteReference w:id="23"/>
      </w:r>
      <w:r w:rsidRPr="00FB6769">
        <w:rPr>
          <w:rFonts w:ascii="Times New Roman" w:eastAsia="Times New Roman" w:hAnsi="Times New Roman" w:cs="Times New Roman"/>
          <w:color w:val="000000" w:themeColor="text1"/>
        </w:rPr>
        <w:t xml:space="preserve"> But Romantic writers took these links </w:t>
      </w:r>
      <w:r w:rsidR="00CF408A" w:rsidRPr="00FB6769">
        <w:rPr>
          <w:rFonts w:ascii="Times New Roman" w:eastAsia="Times New Roman" w:hAnsi="Times New Roman" w:cs="Times New Roman"/>
          <w:color w:val="000000" w:themeColor="text1"/>
        </w:rPr>
        <w:t>as a given</w:t>
      </w:r>
      <w:r w:rsidRPr="00FB6769">
        <w:rPr>
          <w:rFonts w:ascii="Times New Roman" w:eastAsia="Times New Roman" w:hAnsi="Times New Roman" w:cs="Times New Roman"/>
          <w:color w:val="000000" w:themeColor="text1"/>
        </w:rPr>
        <w:t>.</w:t>
      </w:r>
      <w:r w:rsidR="00FC5F06" w:rsidRPr="00FB6769">
        <w:rPr>
          <w:rFonts w:ascii="Times New Roman" w:eastAsia="Times New Roman" w:hAnsi="Times New Roman" w:cs="Times New Roman"/>
          <w:color w:val="000000" w:themeColor="text1"/>
        </w:rPr>
        <w:t xml:space="preserve"> </w:t>
      </w:r>
      <w:r w:rsidR="003E496A">
        <w:rPr>
          <w:rFonts w:ascii="Times New Roman" w:eastAsia="Times New Roman" w:hAnsi="Times New Roman" w:cs="Times New Roman"/>
          <w:color w:val="000000" w:themeColor="text1"/>
        </w:rPr>
        <w:t>H</w:t>
      </w:r>
      <w:r w:rsidR="003E496A" w:rsidRPr="00FB6769">
        <w:rPr>
          <w:rFonts w:ascii="Times New Roman" w:eastAsia="Times New Roman" w:hAnsi="Times New Roman" w:cs="Times New Roman"/>
          <w:color w:val="000000" w:themeColor="text1"/>
        </w:rPr>
        <w:t xml:space="preserve">istorian Anne Digby </w:t>
      </w:r>
      <w:r w:rsidR="003E496A">
        <w:rPr>
          <w:rFonts w:ascii="Times New Roman" w:eastAsia="Times New Roman" w:hAnsi="Times New Roman" w:cs="Times New Roman"/>
          <w:color w:val="000000" w:themeColor="text1"/>
        </w:rPr>
        <w:t xml:space="preserve">notes, </w:t>
      </w:r>
      <w:r w:rsidR="00FC5F06" w:rsidRPr="00FB6769">
        <w:rPr>
          <w:rFonts w:ascii="Times New Roman" w:eastAsia="Times New Roman" w:hAnsi="Times New Roman" w:cs="Times New Roman"/>
          <w:color w:val="000000" w:themeColor="text1"/>
        </w:rPr>
        <w:t>“The relationship of mind and body was seen as of crucial importance” for Romantic medicine</w:t>
      </w:r>
      <w:r w:rsidR="00FB1C03">
        <w:rPr>
          <w:rFonts w:ascii="Times New Roman" w:eastAsia="Times New Roman" w:hAnsi="Times New Roman" w:cs="Times New Roman"/>
          <w:color w:val="000000" w:themeColor="text1"/>
        </w:rPr>
        <w:t>;</w:t>
      </w:r>
      <w:r w:rsidR="00FC5F06" w:rsidRPr="00FB6769">
        <w:rPr>
          <w:rStyle w:val="FootnoteReference"/>
          <w:rFonts w:ascii="Times New Roman" w:eastAsia="Times New Roman" w:hAnsi="Times New Roman" w:cs="Times New Roman"/>
          <w:color w:val="000000" w:themeColor="text1"/>
        </w:rPr>
        <w:footnoteReference w:id="24"/>
      </w:r>
      <w:r w:rsidR="00FB1C03">
        <w:rPr>
          <w:rFonts w:ascii="Times New Roman" w:eastAsia="Times New Roman" w:hAnsi="Times New Roman" w:cs="Times New Roman"/>
          <w:color w:val="000000" w:themeColor="text1"/>
        </w:rPr>
        <w:t xml:space="preserve"> m</w:t>
      </w:r>
      <w:r w:rsidR="00CF408A" w:rsidRPr="00FB6769">
        <w:rPr>
          <w:rFonts w:ascii="Times New Roman" w:eastAsia="Times New Roman" w:hAnsi="Times New Roman" w:cs="Times New Roman"/>
          <w:color w:val="000000" w:themeColor="text1"/>
        </w:rPr>
        <w:t>any definitions of madness, for example, sought to identify the precise relationship between the mind and stomach.</w:t>
      </w:r>
      <w:r w:rsidR="00CF408A" w:rsidRPr="00FB6769">
        <w:rPr>
          <w:rStyle w:val="FootnoteReference"/>
          <w:rFonts w:ascii="Times New Roman" w:eastAsia="Times New Roman" w:hAnsi="Times New Roman" w:cs="Times New Roman"/>
          <w:color w:val="000000" w:themeColor="text1"/>
        </w:rPr>
        <w:footnoteReference w:id="25"/>
      </w:r>
      <w:r w:rsidR="00CF408A" w:rsidRPr="00FB6769">
        <w:rPr>
          <w:rFonts w:ascii="Times New Roman" w:eastAsia="Times New Roman" w:hAnsi="Times New Roman" w:cs="Times New Roman"/>
          <w:color w:val="000000" w:themeColor="text1"/>
        </w:rPr>
        <w:t xml:space="preserve"> </w:t>
      </w:r>
      <w:r w:rsidR="00946849" w:rsidRPr="00FB6769">
        <w:rPr>
          <w:rFonts w:ascii="Times New Roman" w:eastAsia="Times New Roman" w:hAnsi="Times New Roman" w:cs="Times New Roman"/>
          <w:color w:val="000000" w:themeColor="text1"/>
        </w:rPr>
        <w:t>Accordingly,</w:t>
      </w:r>
      <w:r w:rsidRPr="00FB6769">
        <w:rPr>
          <w:rFonts w:ascii="Times New Roman" w:eastAsia="Times New Roman" w:hAnsi="Times New Roman" w:cs="Times New Roman"/>
          <w:color w:val="000000" w:themeColor="text1"/>
        </w:rPr>
        <w:t xml:space="preserve"> several essays in this volume use Romantic texts to challenge the Cartesian inheritance of contemporary pedagogy, bringing the bodies of students and instructors into the learning process. </w:t>
      </w:r>
      <w:r w:rsidR="00A7481A" w:rsidRPr="00FB6769">
        <w:rPr>
          <w:rFonts w:ascii="Times New Roman" w:eastAsia="Times New Roman" w:hAnsi="Times New Roman" w:cs="Times New Roman"/>
          <w:color w:val="000000" w:themeColor="text1"/>
        </w:rPr>
        <w:t>James</w:t>
      </w:r>
      <w:r w:rsidR="00060A55">
        <w:rPr>
          <w:rFonts w:ascii="Times New Roman" w:eastAsia="Times New Roman" w:hAnsi="Times New Roman" w:cs="Times New Roman"/>
          <w:color w:val="000000" w:themeColor="text1"/>
        </w:rPr>
        <w:t xml:space="preserve"> Robert</w:t>
      </w:r>
      <w:r w:rsidR="00A7481A" w:rsidRPr="00FB6769">
        <w:rPr>
          <w:rFonts w:ascii="Times New Roman" w:eastAsia="Times New Roman" w:hAnsi="Times New Roman" w:cs="Times New Roman"/>
          <w:color w:val="000000" w:themeColor="text1"/>
        </w:rPr>
        <w:t xml:space="preserve"> Allard</w:t>
      </w:r>
      <w:r w:rsidRPr="00FB6769">
        <w:rPr>
          <w:rFonts w:ascii="Times New Roman" w:eastAsia="Times New Roman" w:hAnsi="Times New Roman" w:cs="Times New Roman"/>
          <w:color w:val="000000" w:themeColor="text1"/>
        </w:rPr>
        <w:t xml:space="preserve"> reflects on how his pedagogy </w:t>
      </w:r>
      <w:r w:rsidR="00532043" w:rsidRPr="00FB6769">
        <w:rPr>
          <w:rFonts w:ascii="Times New Roman" w:eastAsia="Times New Roman" w:hAnsi="Times New Roman" w:cs="Times New Roman"/>
          <w:color w:val="000000" w:themeColor="text1"/>
        </w:rPr>
        <w:t>revolves around</w:t>
      </w:r>
      <w:r w:rsidRPr="00FB6769">
        <w:rPr>
          <w:rFonts w:ascii="Times New Roman" w:eastAsia="Times New Roman" w:hAnsi="Times New Roman" w:cs="Times New Roman"/>
          <w:color w:val="000000" w:themeColor="text1"/>
        </w:rPr>
        <w:t xml:space="preserve"> the question “what about the </w:t>
      </w:r>
      <w:proofErr w:type="gramStart"/>
      <w:r w:rsidRPr="00FB6769">
        <w:rPr>
          <w:rFonts w:ascii="Times New Roman" w:eastAsia="Times New Roman" w:hAnsi="Times New Roman" w:cs="Times New Roman"/>
          <w:color w:val="000000" w:themeColor="text1"/>
        </w:rPr>
        <w:t>body?</w:t>
      </w:r>
      <w:r w:rsidR="00AB0092" w:rsidRPr="00FB6769">
        <w:rPr>
          <w:rFonts w:ascii="Times New Roman" w:eastAsia="Times New Roman" w:hAnsi="Times New Roman" w:cs="Times New Roman"/>
          <w:color w:val="000000" w:themeColor="text1"/>
        </w:rPr>
        <w:t>,</w:t>
      </w:r>
      <w:proofErr w:type="gramEnd"/>
      <w:r w:rsidRPr="00FB6769">
        <w:rPr>
          <w:rFonts w:ascii="Times New Roman" w:eastAsia="Times New Roman" w:hAnsi="Times New Roman" w:cs="Times New Roman"/>
          <w:color w:val="000000" w:themeColor="text1"/>
        </w:rPr>
        <w:t xml:space="preserve">” while </w:t>
      </w:r>
      <w:proofErr w:type="spellStart"/>
      <w:r w:rsidR="0016187A" w:rsidRPr="00FB6769">
        <w:rPr>
          <w:rFonts w:ascii="Times New Roman" w:eastAsia="Times New Roman" w:hAnsi="Times New Roman" w:cs="Times New Roman"/>
          <w:color w:val="000000" w:themeColor="text1"/>
        </w:rPr>
        <w:t>Giffen</w:t>
      </w:r>
      <w:proofErr w:type="spellEnd"/>
      <w:r w:rsidR="0016187A" w:rsidRPr="00FB6769">
        <w:rPr>
          <w:rFonts w:ascii="Times New Roman" w:eastAsia="Times New Roman" w:hAnsi="Times New Roman" w:cs="Times New Roman"/>
          <w:color w:val="000000" w:themeColor="text1"/>
        </w:rPr>
        <w:t xml:space="preserve"> </w:t>
      </w:r>
      <w:r w:rsidR="00B23EC8">
        <w:rPr>
          <w:rFonts w:ascii="Times New Roman" w:eastAsia="Times New Roman" w:hAnsi="Times New Roman" w:cs="Times New Roman"/>
          <w:color w:val="000000" w:themeColor="text1"/>
        </w:rPr>
        <w:t xml:space="preserve">Mare </w:t>
      </w:r>
      <w:r w:rsidR="0016187A" w:rsidRPr="00FB6769">
        <w:rPr>
          <w:rFonts w:ascii="Times New Roman" w:eastAsia="Times New Roman" w:hAnsi="Times New Roman" w:cs="Times New Roman"/>
          <w:color w:val="000000" w:themeColor="text1"/>
        </w:rPr>
        <w:t>Maupin</w:t>
      </w:r>
      <w:r w:rsidRPr="00FB6769">
        <w:rPr>
          <w:rFonts w:ascii="Times New Roman" w:eastAsia="Times New Roman" w:hAnsi="Times New Roman" w:cs="Times New Roman"/>
          <w:color w:val="000000" w:themeColor="text1"/>
        </w:rPr>
        <w:t xml:space="preserve"> asks her English majors to follow Dorothy Wordsworth in recording their experiences </w:t>
      </w:r>
      <w:r w:rsidR="00FB1C03">
        <w:rPr>
          <w:rFonts w:ascii="Times New Roman" w:eastAsia="Times New Roman" w:hAnsi="Times New Roman" w:cs="Times New Roman"/>
          <w:color w:val="000000" w:themeColor="text1"/>
        </w:rPr>
        <w:t>walking</w:t>
      </w:r>
      <w:r w:rsidRPr="00FB6769">
        <w:rPr>
          <w:rFonts w:ascii="Times New Roman" w:eastAsia="Times New Roman" w:hAnsi="Times New Roman" w:cs="Times New Roman"/>
          <w:color w:val="000000" w:themeColor="text1"/>
        </w:rPr>
        <w:t xml:space="preserve"> around campus</w:t>
      </w:r>
      <w:r w:rsidR="00320D3D" w:rsidRPr="00FB6769">
        <w:rPr>
          <w:rFonts w:ascii="Times New Roman" w:eastAsia="Times New Roman" w:hAnsi="Times New Roman" w:cs="Times New Roman"/>
          <w:color w:val="000000" w:themeColor="text1"/>
        </w:rPr>
        <w:t xml:space="preserve">. </w:t>
      </w:r>
      <w:r w:rsidR="004E31AB" w:rsidRPr="00FB6769">
        <w:rPr>
          <w:rFonts w:ascii="Times New Roman" w:eastAsia="Times New Roman" w:hAnsi="Times New Roman" w:cs="Times New Roman"/>
          <w:color w:val="000000" w:themeColor="text1"/>
        </w:rPr>
        <w:t xml:space="preserve">Rebecca E. </w:t>
      </w:r>
      <w:proofErr w:type="spellStart"/>
      <w:r w:rsidR="004E31AB" w:rsidRPr="00FB6769">
        <w:rPr>
          <w:rFonts w:ascii="Times New Roman" w:eastAsia="Times New Roman" w:hAnsi="Times New Roman" w:cs="Times New Roman"/>
          <w:color w:val="000000" w:themeColor="text1"/>
        </w:rPr>
        <w:t>Maat</w:t>
      </w:r>
      <w:r w:rsidR="008046C8" w:rsidRPr="00FB6769">
        <w:rPr>
          <w:rFonts w:ascii="Times New Roman" w:eastAsia="Times New Roman" w:hAnsi="Times New Roman" w:cs="Times New Roman"/>
          <w:color w:val="000000" w:themeColor="text1"/>
        </w:rPr>
        <w:t>t</w:t>
      </w:r>
      <w:r w:rsidR="004E31AB" w:rsidRPr="00FB6769">
        <w:rPr>
          <w:rFonts w:ascii="Times New Roman" w:eastAsia="Times New Roman" w:hAnsi="Times New Roman" w:cs="Times New Roman"/>
          <w:color w:val="000000" w:themeColor="text1"/>
        </w:rPr>
        <w:t>a</w:t>
      </w:r>
      <w:proofErr w:type="spellEnd"/>
      <w:r w:rsidR="004E31AB"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asks her </w:t>
      </w:r>
      <w:r w:rsidR="00D97DC4" w:rsidRPr="00FB6769">
        <w:rPr>
          <w:rFonts w:ascii="Times New Roman" w:eastAsia="Times New Roman" w:hAnsi="Times New Roman" w:cs="Times New Roman"/>
          <w:color w:val="000000" w:themeColor="text1"/>
        </w:rPr>
        <w:t xml:space="preserve">physical therapy </w:t>
      </w:r>
      <w:r w:rsidRPr="00FB6769">
        <w:rPr>
          <w:rFonts w:ascii="Times New Roman" w:eastAsia="Times New Roman" w:hAnsi="Times New Roman" w:cs="Times New Roman"/>
          <w:color w:val="000000" w:themeColor="text1"/>
        </w:rPr>
        <w:t>students to reflect on their own embodiment</w:t>
      </w:r>
      <w:r w:rsidR="00C52079" w:rsidRPr="00FB6769">
        <w:rPr>
          <w:rFonts w:ascii="Times New Roman" w:eastAsia="Times New Roman" w:hAnsi="Times New Roman" w:cs="Times New Roman"/>
          <w:color w:val="000000" w:themeColor="text1"/>
        </w:rPr>
        <w:t>—and the embodiment of their future patients—</w:t>
      </w:r>
      <w:r w:rsidRPr="00FB6769">
        <w:rPr>
          <w:rFonts w:ascii="Times New Roman" w:eastAsia="Times New Roman" w:hAnsi="Times New Roman" w:cs="Times New Roman"/>
          <w:color w:val="000000" w:themeColor="text1"/>
        </w:rPr>
        <w:t>as they read accounts of Romantic-era surgeries.</w:t>
      </w:r>
      <w:r w:rsidR="001304F0" w:rsidRPr="00FB6769">
        <w:rPr>
          <w:rFonts w:ascii="Times New Roman" w:eastAsia="Times New Roman" w:hAnsi="Times New Roman" w:cs="Times New Roman"/>
          <w:color w:val="000000" w:themeColor="text1"/>
        </w:rPr>
        <w:t xml:space="preserve"> While Romantic attitudes</w:t>
      </w:r>
      <w:r w:rsidR="006C5FA0" w:rsidRPr="00FB6769">
        <w:rPr>
          <w:rFonts w:ascii="Times New Roman" w:eastAsia="Times New Roman" w:hAnsi="Times New Roman" w:cs="Times New Roman"/>
          <w:color w:val="000000" w:themeColor="text1"/>
        </w:rPr>
        <w:t xml:space="preserve"> can help us</w:t>
      </w:r>
      <w:r w:rsidR="001304F0" w:rsidRPr="00FB6769">
        <w:rPr>
          <w:rFonts w:ascii="Times New Roman" w:eastAsia="Times New Roman" w:hAnsi="Times New Roman" w:cs="Times New Roman"/>
          <w:color w:val="000000" w:themeColor="text1"/>
        </w:rPr>
        <w:t xml:space="preserve"> look </w:t>
      </w:r>
      <w:r w:rsidR="002A56B6" w:rsidRPr="00FB6769">
        <w:rPr>
          <w:rFonts w:ascii="Times New Roman" w:eastAsia="Times New Roman" w:hAnsi="Times New Roman" w:cs="Times New Roman"/>
          <w:color w:val="000000" w:themeColor="text1"/>
        </w:rPr>
        <w:t>provocatively</w:t>
      </w:r>
      <w:r w:rsidR="001304F0" w:rsidRPr="00FB6769">
        <w:rPr>
          <w:rFonts w:ascii="Times New Roman" w:eastAsia="Times New Roman" w:hAnsi="Times New Roman" w:cs="Times New Roman"/>
          <w:color w:val="000000" w:themeColor="text1"/>
        </w:rPr>
        <w:t xml:space="preserve"> beyond dualism</w:t>
      </w:r>
      <w:r w:rsidR="003B6D84" w:rsidRPr="00FB6769">
        <w:rPr>
          <w:rFonts w:ascii="Times New Roman" w:eastAsia="Times New Roman" w:hAnsi="Times New Roman" w:cs="Times New Roman"/>
          <w:color w:val="000000" w:themeColor="text1"/>
        </w:rPr>
        <w:t xml:space="preserve">, </w:t>
      </w:r>
      <w:r w:rsidR="00CA56FE" w:rsidRPr="00FB6769">
        <w:rPr>
          <w:rFonts w:ascii="Times New Roman" w:eastAsia="Times New Roman" w:hAnsi="Times New Roman" w:cs="Times New Roman"/>
          <w:color w:val="000000" w:themeColor="text1"/>
        </w:rPr>
        <w:t xml:space="preserve">it is important to remember how </w:t>
      </w:r>
      <w:r w:rsidR="00AA3CDC" w:rsidRPr="00FB6769">
        <w:rPr>
          <w:rFonts w:ascii="Times New Roman" w:eastAsia="Times New Roman" w:hAnsi="Times New Roman" w:cs="Times New Roman"/>
          <w:color w:val="000000" w:themeColor="text1"/>
        </w:rPr>
        <w:t>they were</w:t>
      </w:r>
      <w:r w:rsidR="001304F0" w:rsidRPr="00FB6769">
        <w:rPr>
          <w:rFonts w:ascii="Times New Roman" w:eastAsia="Times New Roman" w:hAnsi="Times New Roman" w:cs="Times New Roman"/>
          <w:color w:val="000000" w:themeColor="text1"/>
        </w:rPr>
        <w:t xml:space="preserve"> circumscribed by </w:t>
      </w:r>
      <w:r w:rsidR="00B1294A" w:rsidRPr="00FB6769">
        <w:rPr>
          <w:rFonts w:ascii="Times New Roman" w:eastAsia="Times New Roman" w:hAnsi="Times New Roman" w:cs="Times New Roman"/>
          <w:color w:val="000000" w:themeColor="text1"/>
        </w:rPr>
        <w:t>assumptions</w:t>
      </w:r>
      <w:r w:rsidR="001304F0" w:rsidRPr="00FB6769">
        <w:rPr>
          <w:rFonts w:ascii="Times New Roman" w:eastAsia="Times New Roman" w:hAnsi="Times New Roman" w:cs="Times New Roman"/>
          <w:color w:val="000000" w:themeColor="text1"/>
        </w:rPr>
        <w:t xml:space="preserve"> about race, gender, and </w:t>
      </w:r>
      <w:r w:rsidR="00A34EAA" w:rsidRPr="00FB6769">
        <w:rPr>
          <w:rFonts w:ascii="Times New Roman" w:eastAsia="Times New Roman" w:hAnsi="Times New Roman" w:cs="Times New Roman"/>
          <w:color w:val="000000" w:themeColor="text1"/>
        </w:rPr>
        <w:t>dis</w:t>
      </w:r>
      <w:r w:rsidR="001304F0" w:rsidRPr="00FB6769">
        <w:rPr>
          <w:rFonts w:ascii="Times New Roman" w:eastAsia="Times New Roman" w:hAnsi="Times New Roman" w:cs="Times New Roman"/>
          <w:color w:val="000000" w:themeColor="text1"/>
        </w:rPr>
        <w:t>ability</w:t>
      </w:r>
      <w:r w:rsidR="006C5FA0" w:rsidRPr="00FB6769">
        <w:rPr>
          <w:rFonts w:ascii="Times New Roman" w:eastAsia="Times New Roman" w:hAnsi="Times New Roman" w:cs="Times New Roman"/>
          <w:color w:val="000000" w:themeColor="text1"/>
        </w:rPr>
        <w:t>, among other</w:t>
      </w:r>
      <w:r w:rsidR="00B1294A" w:rsidRPr="00FB6769">
        <w:rPr>
          <w:rFonts w:ascii="Times New Roman" w:eastAsia="Times New Roman" w:hAnsi="Times New Roman" w:cs="Times New Roman"/>
          <w:color w:val="000000" w:themeColor="text1"/>
        </w:rPr>
        <w:t>s</w:t>
      </w:r>
      <w:r w:rsidR="001304F0" w:rsidRPr="00FB6769">
        <w:rPr>
          <w:rFonts w:ascii="Times New Roman" w:eastAsia="Times New Roman" w:hAnsi="Times New Roman" w:cs="Times New Roman"/>
          <w:color w:val="000000" w:themeColor="text1"/>
        </w:rPr>
        <w:t xml:space="preserve">. For example, the Romantic stereotype of the hysterical woman leverages anti-dualism to claim that women’s bodies </w:t>
      </w:r>
      <w:r w:rsidR="00C85239" w:rsidRPr="00FB6769">
        <w:rPr>
          <w:rFonts w:ascii="Times New Roman" w:eastAsia="Times New Roman" w:hAnsi="Times New Roman" w:cs="Times New Roman"/>
          <w:color w:val="000000" w:themeColor="text1"/>
        </w:rPr>
        <w:t>blunt</w:t>
      </w:r>
      <w:r w:rsidR="001304F0" w:rsidRPr="00FB6769">
        <w:rPr>
          <w:rFonts w:ascii="Times New Roman" w:eastAsia="Times New Roman" w:hAnsi="Times New Roman" w:cs="Times New Roman"/>
          <w:color w:val="000000" w:themeColor="text1"/>
        </w:rPr>
        <w:t xml:space="preserve"> their rational faculties, while William Lawrence deployed his </w:t>
      </w:r>
      <w:r w:rsidR="006A5EE4" w:rsidRPr="00FB6769">
        <w:rPr>
          <w:rFonts w:ascii="Times New Roman" w:eastAsia="Times New Roman" w:hAnsi="Times New Roman" w:cs="Times New Roman"/>
          <w:color w:val="000000" w:themeColor="text1"/>
        </w:rPr>
        <w:t xml:space="preserve">anti-dualist </w:t>
      </w:r>
      <w:r w:rsidR="001304F0" w:rsidRPr="00FB6769">
        <w:rPr>
          <w:rFonts w:ascii="Times New Roman" w:eastAsia="Times New Roman" w:hAnsi="Times New Roman" w:cs="Times New Roman"/>
          <w:color w:val="000000" w:themeColor="text1"/>
        </w:rPr>
        <w:t xml:space="preserve">materialism in racist </w:t>
      </w:r>
      <w:r w:rsidR="00113358">
        <w:rPr>
          <w:rFonts w:ascii="Times New Roman" w:eastAsia="Times New Roman" w:hAnsi="Times New Roman" w:cs="Times New Roman"/>
          <w:color w:val="000000" w:themeColor="text1"/>
        </w:rPr>
        <w:t>claims of</w:t>
      </w:r>
      <w:r w:rsidR="00113358" w:rsidRPr="00FB6769">
        <w:rPr>
          <w:rFonts w:ascii="Times New Roman" w:eastAsia="Times New Roman" w:hAnsi="Times New Roman" w:cs="Times New Roman"/>
          <w:color w:val="000000" w:themeColor="text1"/>
        </w:rPr>
        <w:t xml:space="preserve"> </w:t>
      </w:r>
      <w:r w:rsidR="001304F0" w:rsidRPr="00FB6769">
        <w:rPr>
          <w:rFonts w:ascii="Times New Roman" w:eastAsia="Times New Roman" w:hAnsi="Times New Roman" w:cs="Times New Roman"/>
          <w:color w:val="000000" w:themeColor="text1"/>
        </w:rPr>
        <w:t xml:space="preserve">the </w:t>
      </w:r>
      <w:r w:rsidR="001304F0" w:rsidRPr="00FB6769">
        <w:rPr>
          <w:rFonts w:ascii="Times New Roman" w:eastAsia="Times New Roman" w:hAnsi="Times New Roman" w:cs="Times New Roman"/>
          <w:color w:val="000000" w:themeColor="text1"/>
        </w:rPr>
        <w:lastRenderedPageBreak/>
        <w:t>superiority of European (white)</w:t>
      </w:r>
      <w:r w:rsidR="00B74FC4">
        <w:rPr>
          <w:rFonts w:ascii="Times New Roman" w:eastAsia="Times New Roman" w:hAnsi="Times New Roman" w:cs="Times New Roman"/>
          <w:color w:val="000000" w:themeColor="text1"/>
        </w:rPr>
        <w:t xml:space="preserve"> intelligence,</w:t>
      </w:r>
      <w:r w:rsidR="001304F0" w:rsidRPr="00FB6769">
        <w:rPr>
          <w:rFonts w:ascii="Times New Roman" w:eastAsia="Times New Roman" w:hAnsi="Times New Roman" w:cs="Times New Roman"/>
          <w:color w:val="000000" w:themeColor="text1"/>
        </w:rPr>
        <w:t xml:space="preserve"> </w:t>
      </w:r>
      <w:r w:rsidR="004D046A" w:rsidRPr="00FB6769">
        <w:rPr>
          <w:rFonts w:ascii="Times New Roman" w:eastAsia="Times New Roman" w:hAnsi="Times New Roman" w:cs="Times New Roman"/>
          <w:color w:val="000000" w:themeColor="text1"/>
        </w:rPr>
        <w:t>aligning</w:t>
      </w:r>
      <w:r w:rsidR="006A5EE4" w:rsidRPr="00FB6769">
        <w:rPr>
          <w:rFonts w:ascii="Times New Roman" w:eastAsia="Times New Roman" w:hAnsi="Times New Roman" w:cs="Times New Roman"/>
          <w:color w:val="000000" w:themeColor="text1"/>
        </w:rPr>
        <w:t xml:space="preserve"> non-whites with apes on the grounds of supposed bodily resemblance.</w:t>
      </w:r>
      <w:r w:rsidR="001304F0" w:rsidRPr="00FB6769">
        <w:rPr>
          <w:rStyle w:val="FootnoteReference"/>
          <w:rFonts w:ascii="Times New Roman" w:eastAsia="Times New Roman" w:hAnsi="Times New Roman" w:cs="Times New Roman"/>
          <w:color w:val="000000" w:themeColor="text1"/>
        </w:rPr>
        <w:footnoteReference w:id="26"/>
      </w:r>
      <w:r w:rsidRPr="00FB6769">
        <w:rPr>
          <w:rFonts w:ascii="Times New Roman" w:eastAsia="Times New Roman" w:hAnsi="Times New Roman" w:cs="Times New Roman"/>
          <w:color w:val="000000" w:themeColor="text1"/>
        </w:rPr>
        <w:t> </w:t>
      </w:r>
    </w:p>
    <w:p w14:paraId="3A64C625" w14:textId="3BE70470" w:rsidR="00027E94" w:rsidRPr="00FB6769" w:rsidRDefault="00BB5CCC" w:rsidP="00AF1985">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A more familiar legacy of Romantic approaches to wellbeing is the era’s faith that relationships between social and individual wellbeing were more than merely metaphorical. Sick societies ma</w:t>
      </w:r>
      <w:r w:rsidR="00D97DC4" w:rsidRPr="00FB6769">
        <w:rPr>
          <w:rFonts w:ascii="Times New Roman" w:eastAsia="Times New Roman" w:hAnsi="Times New Roman" w:cs="Times New Roman"/>
          <w:color w:val="000000" w:themeColor="text1"/>
        </w:rPr>
        <w:t>d</w:t>
      </w:r>
      <w:r w:rsidRPr="00FB6769">
        <w:rPr>
          <w:rFonts w:ascii="Times New Roman" w:eastAsia="Times New Roman" w:hAnsi="Times New Roman" w:cs="Times New Roman"/>
          <w:color w:val="000000" w:themeColor="text1"/>
        </w:rPr>
        <w:t>e sick people, and vice versa: Percy Shelley’s hope that crime might be stemmed by vegetarianism is the inverse of Friedrich Schiller’s worry that modern life had gouged an irreparable wound in human nature</w:t>
      </w:r>
      <w:r w:rsidR="006D230E" w:rsidRPr="00FB6769">
        <w:rPr>
          <w:rFonts w:ascii="Times New Roman" w:eastAsia="Times New Roman" w:hAnsi="Times New Roman" w:cs="Times New Roman"/>
          <w:color w:val="000000" w:themeColor="text1"/>
        </w:rPr>
        <w:t>.</w:t>
      </w:r>
      <w:r w:rsidR="00823B2D" w:rsidRPr="00FB6769">
        <w:rPr>
          <w:rStyle w:val="FootnoteReference"/>
          <w:rFonts w:ascii="Times New Roman" w:eastAsia="Times New Roman" w:hAnsi="Times New Roman" w:cs="Times New Roman"/>
          <w:color w:val="000000" w:themeColor="text1"/>
        </w:rPr>
        <w:footnoteReference w:id="27"/>
      </w:r>
      <w:r w:rsidRPr="00FB6769">
        <w:rPr>
          <w:rFonts w:ascii="Times New Roman" w:eastAsia="Times New Roman" w:hAnsi="Times New Roman" w:cs="Times New Roman"/>
          <w:color w:val="000000" w:themeColor="text1"/>
        </w:rPr>
        <w:t xml:space="preserve"> For the Romantics, wellbeing was viscerally political.</w:t>
      </w:r>
      <w:r w:rsidR="007A6F45">
        <w:rPr>
          <w:rFonts w:ascii="Times New Roman" w:eastAsia="Times New Roman" w:hAnsi="Times New Roman" w:cs="Times New Roman"/>
          <w:color w:val="000000" w:themeColor="text1"/>
        </w:rPr>
        <w:t xml:space="preserve"> Hungry citizens in England’s major cities were keenly aware that the 1815 Corn Laws were enacted in response to the end of the Napoleonic Wars.</w:t>
      </w:r>
      <w:r w:rsidRPr="00FB6769">
        <w:rPr>
          <w:rFonts w:ascii="Times New Roman" w:eastAsia="Times New Roman" w:hAnsi="Times New Roman" w:cs="Times New Roman"/>
          <w:color w:val="000000" w:themeColor="text1"/>
        </w:rPr>
        <w:t xml:space="preserve"> But preserving the bodily politic did not necessarily mean </w:t>
      </w:r>
      <w:r w:rsidR="00C64319" w:rsidRPr="00FB6769">
        <w:rPr>
          <w:rFonts w:ascii="Times New Roman" w:eastAsia="Times New Roman" w:hAnsi="Times New Roman" w:cs="Times New Roman"/>
          <w:color w:val="000000" w:themeColor="text1"/>
        </w:rPr>
        <w:t xml:space="preserve">the </w:t>
      </w:r>
      <w:r w:rsidRPr="00FB6769">
        <w:rPr>
          <w:rFonts w:ascii="Times New Roman" w:eastAsia="Times New Roman" w:hAnsi="Times New Roman" w:cs="Times New Roman"/>
          <w:color w:val="000000" w:themeColor="text1"/>
        </w:rPr>
        <w:t xml:space="preserve">exclusion of disabled people; at the heart of John </w:t>
      </w:r>
      <w:proofErr w:type="spellStart"/>
      <w:r w:rsidRPr="00FB6769">
        <w:rPr>
          <w:rFonts w:ascii="Times New Roman" w:eastAsia="Times New Roman" w:hAnsi="Times New Roman" w:cs="Times New Roman"/>
          <w:color w:val="000000" w:themeColor="text1"/>
        </w:rPr>
        <w:t>Thelwall’s</w:t>
      </w:r>
      <w:proofErr w:type="spellEnd"/>
      <w:r w:rsidRPr="00FB6769">
        <w:rPr>
          <w:rFonts w:ascii="Times New Roman" w:eastAsia="Times New Roman" w:hAnsi="Times New Roman" w:cs="Times New Roman"/>
          <w:color w:val="000000" w:themeColor="text1"/>
        </w:rPr>
        <w:t xml:space="preserve"> elocutionary project was his desire to help a broader range of people</w:t>
      </w:r>
      <w:r w:rsidR="00C64319" w:rsidRPr="00FB6769">
        <w:rPr>
          <w:rFonts w:ascii="Times New Roman" w:eastAsia="Times New Roman" w:hAnsi="Times New Roman" w:cs="Times New Roman"/>
          <w:color w:val="000000" w:themeColor="text1"/>
        </w:rPr>
        <w:t>, including variously disabled people,</w:t>
      </w:r>
      <w:r w:rsidRPr="00FB6769">
        <w:rPr>
          <w:rFonts w:ascii="Times New Roman" w:eastAsia="Times New Roman" w:hAnsi="Times New Roman" w:cs="Times New Roman"/>
          <w:color w:val="000000" w:themeColor="text1"/>
        </w:rPr>
        <w:t xml:space="preserve"> participate in public discourse</w:t>
      </w:r>
      <w:r w:rsidR="00413ACB"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 xml:space="preserve">In the same way, Mary Shelley’s </w:t>
      </w:r>
      <w:r w:rsidRPr="5686E792">
        <w:rPr>
          <w:rFonts w:ascii="Times New Roman" w:eastAsia="Times New Roman" w:hAnsi="Times New Roman" w:cs="Times New Roman"/>
          <w:i/>
          <w:iCs/>
          <w:color w:val="000000" w:themeColor="text1"/>
        </w:rPr>
        <w:t>Frankenstein</w:t>
      </w:r>
      <w:r w:rsidRPr="00FB6769">
        <w:rPr>
          <w:rFonts w:ascii="Times New Roman" w:eastAsia="Times New Roman" w:hAnsi="Times New Roman" w:cs="Times New Roman"/>
          <w:color w:val="000000" w:themeColor="text1"/>
        </w:rPr>
        <w:t xml:space="preserve"> is a cautionary tale about </w:t>
      </w:r>
      <w:r w:rsidR="00C54008" w:rsidRPr="00FB6769">
        <w:rPr>
          <w:rFonts w:ascii="Times New Roman" w:eastAsia="Times New Roman" w:hAnsi="Times New Roman" w:cs="Times New Roman"/>
          <w:color w:val="000000" w:themeColor="text1"/>
        </w:rPr>
        <w:t>why</w:t>
      </w:r>
      <w:r w:rsidRPr="00FB6769">
        <w:rPr>
          <w:rFonts w:ascii="Times New Roman" w:eastAsia="Times New Roman" w:hAnsi="Times New Roman" w:cs="Times New Roman"/>
          <w:color w:val="000000" w:themeColor="text1"/>
        </w:rPr>
        <w:t xml:space="preserve"> ostracizing bodily difference causes mental and physical anguish not only for the </w:t>
      </w:r>
      <w:r w:rsidR="5686E792" w:rsidRPr="5686E792">
        <w:rPr>
          <w:rFonts w:ascii="Times New Roman" w:eastAsia="Times New Roman" w:hAnsi="Times New Roman" w:cs="Times New Roman"/>
          <w:color w:val="000000" w:themeColor="text1"/>
        </w:rPr>
        <w:t>person who is ostracized</w:t>
      </w:r>
      <w:r w:rsidRPr="00FB6769">
        <w:rPr>
          <w:rFonts w:ascii="Times New Roman" w:eastAsia="Times New Roman" w:hAnsi="Times New Roman" w:cs="Times New Roman"/>
          <w:color w:val="000000" w:themeColor="text1"/>
        </w:rPr>
        <w:t xml:space="preserve">, but also </w:t>
      </w:r>
      <w:r w:rsidR="5686E792" w:rsidRPr="5686E792">
        <w:rPr>
          <w:rFonts w:ascii="Times New Roman" w:eastAsia="Times New Roman" w:hAnsi="Times New Roman" w:cs="Times New Roman"/>
          <w:color w:val="000000" w:themeColor="text1"/>
        </w:rPr>
        <w:t xml:space="preserve">for their broader </w:t>
      </w:r>
      <w:r w:rsidRPr="00FB6769">
        <w:rPr>
          <w:rFonts w:ascii="Times New Roman" w:eastAsia="Times New Roman" w:hAnsi="Times New Roman" w:cs="Times New Roman"/>
          <w:color w:val="000000" w:themeColor="text1"/>
        </w:rPr>
        <w:t>social and political communit</w:t>
      </w:r>
      <w:r w:rsidR="5686E792" w:rsidRPr="5686E792">
        <w:rPr>
          <w:rFonts w:ascii="Times New Roman" w:eastAsia="Times New Roman" w:hAnsi="Times New Roman" w:cs="Times New Roman"/>
          <w:color w:val="000000" w:themeColor="text1"/>
        </w:rPr>
        <w:t>ies</w:t>
      </w:r>
      <w:r w:rsidRPr="00FB6769">
        <w:rPr>
          <w:rFonts w:ascii="Times New Roman" w:eastAsia="Times New Roman" w:hAnsi="Times New Roman" w:cs="Times New Roman"/>
          <w:color w:val="000000" w:themeColor="text1"/>
        </w:rPr>
        <w:t xml:space="preserve">. </w:t>
      </w:r>
      <w:r w:rsidR="5686E792" w:rsidRPr="5686E792">
        <w:rPr>
          <w:rFonts w:ascii="Times New Roman" w:eastAsia="Times New Roman" w:hAnsi="Times New Roman" w:cs="Times New Roman"/>
          <w:color w:val="000000" w:themeColor="text1"/>
        </w:rPr>
        <w:t>Moreover, t</w:t>
      </w:r>
      <w:r w:rsidR="00C54008" w:rsidRPr="00FB6769">
        <w:rPr>
          <w:rFonts w:ascii="Times New Roman" w:eastAsia="Times New Roman" w:hAnsi="Times New Roman" w:cs="Times New Roman"/>
          <w:color w:val="000000" w:themeColor="text1"/>
        </w:rPr>
        <w:t>he</w:t>
      </w:r>
      <w:r w:rsidRPr="00FB6769">
        <w:rPr>
          <w:rFonts w:ascii="Times New Roman" w:eastAsia="Times New Roman" w:hAnsi="Times New Roman" w:cs="Times New Roman"/>
          <w:color w:val="000000" w:themeColor="text1"/>
        </w:rPr>
        <w:t xml:space="preserve"> desire of one man to pursue an</w:t>
      </w:r>
      <w:r w:rsidR="00C54008" w:rsidRPr="00FB6769">
        <w:rPr>
          <w:rFonts w:ascii="Times New Roman" w:eastAsia="Times New Roman" w:hAnsi="Times New Roman" w:cs="Times New Roman"/>
          <w:color w:val="000000" w:themeColor="text1"/>
        </w:rPr>
        <w:t xml:space="preserve"> impossible</w:t>
      </w:r>
      <w:r w:rsidRPr="00FB6769">
        <w:rPr>
          <w:rFonts w:ascii="Times New Roman" w:eastAsia="Times New Roman" w:hAnsi="Times New Roman" w:cs="Times New Roman"/>
          <w:color w:val="000000" w:themeColor="text1"/>
        </w:rPr>
        <w:t xml:space="preserve"> ideal of individual health—Victor’s desire to </w:t>
      </w:r>
      <w:r w:rsidRPr="00FB6769">
        <w:rPr>
          <w:rFonts w:ascii="Times New Roman" w:eastAsia="Times New Roman" w:hAnsi="Times New Roman" w:cs="Times New Roman"/>
          <w:color w:val="000000" w:themeColor="text1"/>
        </w:rPr>
        <w:lastRenderedPageBreak/>
        <w:t>create artificial life began as a quest for medical immortality—proves fatal for his social sphere.</w:t>
      </w:r>
      <w:r w:rsidR="00EE701B" w:rsidRPr="00FB6769">
        <w:rPr>
          <w:rStyle w:val="FootnoteReference"/>
          <w:rFonts w:ascii="Times New Roman" w:eastAsia="Times New Roman" w:hAnsi="Times New Roman" w:cs="Times New Roman"/>
          <w:color w:val="000000" w:themeColor="text1"/>
        </w:rPr>
        <w:footnoteReference w:id="28"/>
      </w:r>
      <w:r w:rsidR="003357E0" w:rsidRPr="00FB6769">
        <w:rPr>
          <w:rFonts w:ascii="Times New Roman" w:eastAsia="Times New Roman" w:hAnsi="Times New Roman" w:cs="Times New Roman"/>
          <w:color w:val="000000" w:themeColor="text1"/>
        </w:rPr>
        <w:t xml:space="preserve"> </w:t>
      </w:r>
    </w:p>
    <w:p w14:paraId="0623C217" w14:textId="4DDEB302" w:rsidR="003E4053" w:rsidRPr="00A26D8A" w:rsidRDefault="002E3FE9" w:rsidP="00975541">
      <w:pPr>
        <w:spacing w:line="480" w:lineRule="auto"/>
        <w:ind w:firstLine="720"/>
        <w:rPr>
          <w:rFonts w:ascii="Times New Roman" w:hAnsi="Times New Roman" w:cs="Times New Roman"/>
        </w:rPr>
      </w:pPr>
      <w:r w:rsidRPr="00FB6769">
        <w:rPr>
          <w:rFonts w:ascii="Times New Roman" w:eastAsia="Times New Roman" w:hAnsi="Times New Roman" w:cs="Times New Roman"/>
          <w:color w:val="000000" w:themeColor="text1"/>
        </w:rPr>
        <w:t>At</w:t>
      </w:r>
      <w:r w:rsidR="00C23EA8" w:rsidRPr="00FB6769">
        <w:rPr>
          <w:rFonts w:ascii="Times New Roman" w:eastAsia="Times New Roman" w:hAnsi="Times New Roman" w:cs="Times New Roman"/>
          <w:color w:val="000000" w:themeColor="text1"/>
        </w:rPr>
        <w:t xml:space="preserve"> a more </w:t>
      </w:r>
      <w:r w:rsidR="00A82147" w:rsidRPr="00FB6769">
        <w:rPr>
          <w:rFonts w:ascii="Times New Roman" w:eastAsia="Times New Roman" w:hAnsi="Times New Roman" w:cs="Times New Roman"/>
          <w:color w:val="000000" w:themeColor="text1"/>
        </w:rPr>
        <w:t>literal</w:t>
      </w:r>
      <w:r w:rsidR="00C23EA8" w:rsidRPr="00FB6769">
        <w:rPr>
          <w:rFonts w:ascii="Times New Roman" w:eastAsia="Times New Roman" w:hAnsi="Times New Roman" w:cs="Times New Roman"/>
          <w:color w:val="000000" w:themeColor="text1"/>
        </w:rPr>
        <w:t xml:space="preserve"> level, </w:t>
      </w:r>
      <w:r w:rsidR="003357E0" w:rsidRPr="00FB6769">
        <w:rPr>
          <w:rFonts w:ascii="Times New Roman" w:eastAsia="Times New Roman" w:hAnsi="Times New Roman" w:cs="Times New Roman"/>
          <w:color w:val="000000" w:themeColor="text1"/>
        </w:rPr>
        <w:t>Romantic</w:t>
      </w:r>
      <w:r w:rsidR="0096670D">
        <w:rPr>
          <w:rFonts w:ascii="Times New Roman" w:eastAsia="Times New Roman" w:hAnsi="Times New Roman" w:cs="Times New Roman"/>
          <w:color w:val="000000" w:themeColor="text1"/>
        </w:rPr>
        <w:t xml:space="preserve"> authors</w:t>
      </w:r>
      <w:r w:rsidR="008165CD" w:rsidRPr="00FB6769">
        <w:rPr>
          <w:rFonts w:ascii="Times New Roman" w:eastAsia="Times New Roman" w:hAnsi="Times New Roman" w:cs="Times New Roman"/>
          <w:color w:val="000000" w:themeColor="text1"/>
        </w:rPr>
        <w:t xml:space="preserve"> </w:t>
      </w:r>
      <w:r w:rsidR="00C23EA8" w:rsidRPr="00FB6769">
        <w:rPr>
          <w:rFonts w:ascii="Times New Roman" w:eastAsia="Times New Roman" w:hAnsi="Times New Roman" w:cs="Times New Roman"/>
          <w:color w:val="000000" w:themeColor="text1"/>
        </w:rPr>
        <w:t>drew</w:t>
      </w:r>
      <w:r w:rsidR="003357E0" w:rsidRPr="00FB6769">
        <w:rPr>
          <w:rFonts w:ascii="Times New Roman" w:eastAsia="Times New Roman" w:hAnsi="Times New Roman" w:cs="Times New Roman"/>
          <w:color w:val="000000" w:themeColor="text1"/>
        </w:rPr>
        <w:t xml:space="preserve"> </w:t>
      </w:r>
      <w:r w:rsidR="00C23EA8" w:rsidRPr="00FB6769">
        <w:rPr>
          <w:rFonts w:ascii="Times New Roman" w:eastAsia="Times New Roman" w:hAnsi="Times New Roman" w:cs="Times New Roman"/>
          <w:color w:val="000000" w:themeColor="text1"/>
        </w:rPr>
        <w:t>clear</w:t>
      </w:r>
      <w:r w:rsidR="003357E0" w:rsidRPr="00FB6769">
        <w:rPr>
          <w:rFonts w:ascii="Times New Roman" w:eastAsia="Times New Roman" w:hAnsi="Times New Roman" w:cs="Times New Roman"/>
          <w:color w:val="000000" w:themeColor="text1"/>
        </w:rPr>
        <w:t xml:space="preserve"> links between</w:t>
      </w:r>
      <w:r w:rsidR="005A21B6">
        <w:rPr>
          <w:rFonts w:ascii="Times New Roman" w:eastAsia="Times New Roman" w:hAnsi="Times New Roman" w:cs="Times New Roman"/>
          <w:color w:val="000000" w:themeColor="text1"/>
        </w:rPr>
        <w:t xml:space="preserve"> economic structures and</w:t>
      </w:r>
      <w:r w:rsidR="003357E0" w:rsidRPr="00FB6769">
        <w:rPr>
          <w:rFonts w:ascii="Times New Roman" w:eastAsia="Times New Roman" w:hAnsi="Times New Roman" w:cs="Times New Roman"/>
          <w:color w:val="000000" w:themeColor="text1"/>
        </w:rPr>
        <w:t xml:space="preserve"> individual </w:t>
      </w:r>
      <w:r w:rsidR="00C23EA8" w:rsidRPr="00FB6769">
        <w:rPr>
          <w:rFonts w:ascii="Times New Roman" w:eastAsia="Times New Roman" w:hAnsi="Times New Roman" w:cs="Times New Roman"/>
          <w:color w:val="000000" w:themeColor="text1"/>
        </w:rPr>
        <w:t>wellbeing</w:t>
      </w:r>
      <w:r w:rsidR="003357E0" w:rsidRPr="00FB6769">
        <w:rPr>
          <w:rFonts w:ascii="Times New Roman" w:eastAsia="Times New Roman" w:hAnsi="Times New Roman" w:cs="Times New Roman"/>
          <w:color w:val="000000" w:themeColor="text1"/>
        </w:rPr>
        <w:t>.</w:t>
      </w:r>
      <w:r w:rsidR="008165CD" w:rsidRPr="00FB6769">
        <w:rPr>
          <w:rFonts w:ascii="Times New Roman" w:eastAsia="Times New Roman" w:hAnsi="Times New Roman" w:cs="Times New Roman"/>
          <w:color w:val="000000" w:themeColor="text1"/>
        </w:rPr>
        <w:t xml:space="preserve"> These links </w:t>
      </w:r>
      <w:r w:rsidR="00A82147" w:rsidRPr="00FB6769">
        <w:rPr>
          <w:rFonts w:ascii="Times New Roman" w:eastAsia="Times New Roman" w:hAnsi="Times New Roman" w:cs="Times New Roman"/>
          <w:color w:val="000000" w:themeColor="text1"/>
        </w:rPr>
        <w:t>were</w:t>
      </w:r>
      <w:r w:rsidR="008165CD" w:rsidRPr="00FB6769">
        <w:rPr>
          <w:rFonts w:ascii="Times New Roman" w:eastAsia="Times New Roman" w:hAnsi="Times New Roman" w:cs="Times New Roman"/>
          <w:color w:val="000000" w:themeColor="text1"/>
        </w:rPr>
        <w:t xml:space="preserve"> complex</w:t>
      </w:r>
      <w:r w:rsidR="00027E94" w:rsidRPr="00FB6769">
        <w:rPr>
          <w:rFonts w:ascii="Times New Roman" w:eastAsia="Times New Roman" w:hAnsi="Times New Roman" w:cs="Times New Roman"/>
          <w:color w:val="000000" w:themeColor="text1"/>
        </w:rPr>
        <w:t xml:space="preserve">, </w:t>
      </w:r>
      <w:r w:rsidR="00A34EAA" w:rsidRPr="00FB6769">
        <w:rPr>
          <w:rFonts w:ascii="Times New Roman" w:eastAsia="Times New Roman" w:hAnsi="Times New Roman" w:cs="Times New Roman"/>
          <w:color w:val="000000" w:themeColor="text1"/>
        </w:rPr>
        <w:t xml:space="preserve">and </w:t>
      </w:r>
      <w:r w:rsidR="00027E94" w:rsidRPr="00FB6769">
        <w:rPr>
          <w:rFonts w:ascii="Times New Roman" w:eastAsia="Times New Roman" w:hAnsi="Times New Roman" w:cs="Times New Roman"/>
          <w:color w:val="000000" w:themeColor="text1"/>
        </w:rPr>
        <w:t>sometimes contradictory</w:t>
      </w:r>
      <w:r w:rsidR="008165CD" w:rsidRPr="00FB6769">
        <w:rPr>
          <w:rFonts w:ascii="Times New Roman" w:eastAsia="Times New Roman" w:hAnsi="Times New Roman" w:cs="Times New Roman"/>
          <w:color w:val="000000" w:themeColor="text1"/>
        </w:rPr>
        <w:t>.</w:t>
      </w:r>
      <w:r w:rsidR="003357E0" w:rsidRPr="00FB6769">
        <w:rPr>
          <w:rFonts w:ascii="Times New Roman" w:eastAsia="Times New Roman" w:hAnsi="Times New Roman" w:cs="Times New Roman"/>
          <w:color w:val="000000" w:themeColor="text1"/>
        </w:rPr>
        <w:t xml:space="preserve"> </w:t>
      </w:r>
      <w:r w:rsidR="00E33E93">
        <w:rPr>
          <w:rFonts w:ascii="Times New Roman" w:eastAsia="Times New Roman" w:hAnsi="Times New Roman" w:cs="Times New Roman"/>
          <w:color w:val="000000" w:themeColor="text1"/>
        </w:rPr>
        <w:t>H</w:t>
      </w:r>
      <w:r w:rsidR="003357E0" w:rsidRPr="00FB6769">
        <w:rPr>
          <w:rFonts w:ascii="Times New Roman" w:eastAsia="Times New Roman" w:hAnsi="Times New Roman" w:cs="Times New Roman"/>
          <w:color w:val="000000" w:themeColor="text1"/>
        </w:rPr>
        <w:t xml:space="preserve">ealth and wealth did not </w:t>
      </w:r>
      <w:r w:rsidR="008165CD" w:rsidRPr="00FB6769">
        <w:rPr>
          <w:rFonts w:ascii="Times New Roman" w:eastAsia="Times New Roman" w:hAnsi="Times New Roman" w:cs="Times New Roman"/>
          <w:color w:val="000000" w:themeColor="text1"/>
        </w:rPr>
        <w:t xml:space="preserve">necessarily </w:t>
      </w:r>
      <w:r w:rsidR="003357E0" w:rsidRPr="00FB6769">
        <w:rPr>
          <w:rFonts w:ascii="Times New Roman" w:eastAsia="Times New Roman" w:hAnsi="Times New Roman" w:cs="Times New Roman"/>
          <w:color w:val="000000" w:themeColor="text1"/>
        </w:rPr>
        <w:t>align for Romantic thinkers</w:t>
      </w:r>
      <w:r w:rsidRPr="00FB6769">
        <w:rPr>
          <w:rFonts w:ascii="Times New Roman" w:eastAsia="Times New Roman" w:hAnsi="Times New Roman" w:cs="Times New Roman"/>
          <w:color w:val="000000" w:themeColor="text1"/>
        </w:rPr>
        <w:t>.</w:t>
      </w:r>
      <w:r w:rsidR="00D97DC4" w:rsidRPr="00FB6769">
        <w:rPr>
          <w:rFonts w:ascii="Times New Roman" w:eastAsia="Times New Roman" w:hAnsi="Times New Roman" w:cs="Times New Roman"/>
          <w:color w:val="000000" w:themeColor="text1"/>
        </w:rPr>
        <w:t xml:space="preserve"> Diseases like gout and consumption</w:t>
      </w:r>
      <w:r w:rsidR="003357E0" w:rsidRPr="00FB6769">
        <w:rPr>
          <w:rFonts w:ascii="Times New Roman" w:eastAsia="Times New Roman" w:hAnsi="Times New Roman" w:cs="Times New Roman"/>
          <w:color w:val="000000" w:themeColor="text1"/>
        </w:rPr>
        <w:t xml:space="preserve"> </w:t>
      </w:r>
      <w:r w:rsidR="00D97DC4" w:rsidRPr="00FB6769">
        <w:rPr>
          <w:rFonts w:ascii="Times New Roman" w:eastAsia="Times New Roman" w:hAnsi="Times New Roman" w:cs="Times New Roman"/>
          <w:color w:val="000000" w:themeColor="text1"/>
        </w:rPr>
        <w:t>could be</w:t>
      </w:r>
      <w:r w:rsidR="003357E0" w:rsidRPr="00FB6769">
        <w:rPr>
          <w:rFonts w:ascii="Times New Roman" w:eastAsia="Times New Roman" w:hAnsi="Times New Roman" w:cs="Times New Roman"/>
          <w:color w:val="000000" w:themeColor="text1"/>
        </w:rPr>
        <w:t xml:space="preserve"> markers </w:t>
      </w:r>
      <w:r w:rsidR="003357E0" w:rsidRPr="007A6F45">
        <w:rPr>
          <w:rFonts w:ascii="Times New Roman" w:eastAsia="Times New Roman" w:hAnsi="Times New Roman" w:cs="Times New Roman"/>
          <w:color w:val="000000" w:themeColor="text1"/>
        </w:rPr>
        <w:t>of status</w:t>
      </w:r>
      <w:r w:rsidR="008165CD" w:rsidRPr="007A6F45">
        <w:rPr>
          <w:rFonts w:ascii="Times New Roman" w:eastAsia="Times New Roman" w:hAnsi="Times New Roman" w:cs="Times New Roman"/>
          <w:color w:val="000000" w:themeColor="text1"/>
        </w:rPr>
        <w:t>, while</w:t>
      </w:r>
      <w:r w:rsidR="008165CD" w:rsidRPr="00FB6769">
        <w:rPr>
          <w:rFonts w:ascii="Times New Roman" w:eastAsia="Times New Roman" w:hAnsi="Times New Roman" w:cs="Times New Roman"/>
          <w:color w:val="000000" w:themeColor="text1"/>
        </w:rPr>
        <w:t xml:space="preserve"> </w:t>
      </w:r>
      <w:r w:rsidR="003357E0" w:rsidRPr="00FB6769">
        <w:rPr>
          <w:rFonts w:ascii="Times New Roman" w:eastAsia="Times New Roman" w:hAnsi="Times New Roman" w:cs="Times New Roman"/>
          <w:color w:val="000000" w:themeColor="text1"/>
        </w:rPr>
        <w:t xml:space="preserve">writers like Wordsworth </w:t>
      </w:r>
      <w:r w:rsidR="00797F85" w:rsidRPr="00FB6769">
        <w:rPr>
          <w:rFonts w:ascii="Times New Roman" w:eastAsia="Times New Roman" w:hAnsi="Times New Roman" w:cs="Times New Roman"/>
          <w:color w:val="000000" w:themeColor="text1"/>
        </w:rPr>
        <w:t xml:space="preserve">idealized </w:t>
      </w:r>
      <w:r w:rsidR="003357E0" w:rsidRPr="00FB6769">
        <w:rPr>
          <w:rFonts w:ascii="Times New Roman" w:eastAsia="Times New Roman" w:hAnsi="Times New Roman" w:cs="Times New Roman"/>
          <w:color w:val="000000" w:themeColor="text1"/>
        </w:rPr>
        <w:t>the rural poor as healthier because of their presumed proximity to</w:t>
      </w:r>
      <w:r w:rsidR="00EC7EF1" w:rsidRPr="00FB6769">
        <w:rPr>
          <w:rFonts w:ascii="Times New Roman" w:eastAsia="Times New Roman" w:hAnsi="Times New Roman" w:cs="Times New Roman"/>
          <w:color w:val="000000" w:themeColor="text1"/>
        </w:rPr>
        <w:t xml:space="preserve"> </w:t>
      </w:r>
      <w:r w:rsidR="00797F85" w:rsidRPr="00FB6769">
        <w:rPr>
          <w:rFonts w:ascii="Times New Roman" w:eastAsia="Times New Roman" w:hAnsi="Times New Roman" w:cs="Times New Roman"/>
          <w:color w:val="000000" w:themeColor="text1"/>
        </w:rPr>
        <w:t>N</w:t>
      </w:r>
      <w:r w:rsidR="003357E0" w:rsidRPr="00FB6769">
        <w:rPr>
          <w:rFonts w:ascii="Times New Roman" w:eastAsia="Times New Roman" w:hAnsi="Times New Roman" w:cs="Times New Roman"/>
          <w:color w:val="000000" w:themeColor="text1"/>
        </w:rPr>
        <w:t>ature.</w:t>
      </w:r>
      <w:r w:rsidR="00E27C0B" w:rsidRPr="00FB6769">
        <w:rPr>
          <w:rStyle w:val="FootnoteReference"/>
          <w:rFonts w:ascii="Times New Roman" w:eastAsia="Times New Roman" w:hAnsi="Times New Roman" w:cs="Times New Roman"/>
          <w:color w:val="000000" w:themeColor="text1"/>
        </w:rPr>
        <w:footnoteReference w:id="29"/>
      </w:r>
      <w:r w:rsidR="003357E0" w:rsidRPr="00FB6769">
        <w:rPr>
          <w:rFonts w:ascii="Times New Roman" w:eastAsia="Times New Roman" w:hAnsi="Times New Roman" w:cs="Times New Roman"/>
          <w:color w:val="000000" w:themeColor="text1"/>
        </w:rPr>
        <w:t xml:space="preserve"> </w:t>
      </w:r>
      <w:r w:rsidR="00E33E93">
        <w:rPr>
          <w:rFonts w:ascii="Times New Roman" w:eastAsia="Times New Roman" w:hAnsi="Times New Roman" w:cs="Times New Roman"/>
          <w:color w:val="000000" w:themeColor="text1"/>
        </w:rPr>
        <w:t>As</w:t>
      </w:r>
      <w:r w:rsidR="005A21B6">
        <w:rPr>
          <w:rFonts w:ascii="Times New Roman" w:eastAsia="Times New Roman" w:hAnsi="Times New Roman" w:cs="Times New Roman"/>
          <w:color w:val="000000" w:themeColor="text1"/>
        </w:rPr>
        <w:t xml:space="preserve"> Austen and other novelists depicted</w:t>
      </w:r>
      <w:r w:rsidR="00E33E93">
        <w:rPr>
          <w:rFonts w:ascii="Times New Roman" w:eastAsia="Times New Roman" w:hAnsi="Times New Roman" w:cs="Times New Roman"/>
          <w:color w:val="000000" w:themeColor="text1"/>
        </w:rPr>
        <w:t xml:space="preserve"> </w:t>
      </w:r>
      <w:r w:rsidR="00A262D4" w:rsidRPr="00FB6769">
        <w:rPr>
          <w:rFonts w:ascii="Times New Roman" w:eastAsia="Times New Roman" w:hAnsi="Times New Roman" w:cs="Times New Roman"/>
          <w:color w:val="000000" w:themeColor="text1"/>
        </w:rPr>
        <w:t>the popularity of fashionabl</w:t>
      </w:r>
      <w:r w:rsidR="00D87FF9" w:rsidRPr="00FB6769">
        <w:rPr>
          <w:rFonts w:ascii="Times New Roman" w:eastAsia="Times New Roman" w:hAnsi="Times New Roman" w:cs="Times New Roman"/>
          <w:color w:val="000000" w:themeColor="text1"/>
        </w:rPr>
        <w:t xml:space="preserve">e </w:t>
      </w:r>
      <w:r w:rsidR="00A262D4" w:rsidRPr="00FB6769">
        <w:rPr>
          <w:rFonts w:ascii="Times New Roman" w:eastAsia="Times New Roman" w:hAnsi="Times New Roman" w:cs="Times New Roman"/>
          <w:color w:val="000000" w:themeColor="text1"/>
        </w:rPr>
        <w:t xml:space="preserve">spa towns like Bath </w:t>
      </w:r>
      <w:r w:rsidR="00D87FF9" w:rsidRPr="00FB6769">
        <w:rPr>
          <w:rFonts w:ascii="Times New Roman" w:eastAsia="Times New Roman" w:hAnsi="Times New Roman" w:cs="Times New Roman"/>
          <w:color w:val="000000" w:themeColor="text1"/>
        </w:rPr>
        <w:t xml:space="preserve">offered a rising middle-class the </w:t>
      </w:r>
      <w:r w:rsidR="00F73E6D" w:rsidRPr="00FB6769">
        <w:rPr>
          <w:rFonts w:ascii="Times New Roman" w:eastAsia="Times New Roman" w:hAnsi="Times New Roman" w:cs="Times New Roman"/>
          <w:color w:val="000000" w:themeColor="text1"/>
        </w:rPr>
        <w:t>chance</w:t>
      </w:r>
      <w:r w:rsidR="00D87FF9" w:rsidRPr="00FB6769">
        <w:rPr>
          <w:rFonts w:ascii="Times New Roman" w:eastAsia="Times New Roman" w:hAnsi="Times New Roman" w:cs="Times New Roman"/>
          <w:color w:val="000000" w:themeColor="text1"/>
        </w:rPr>
        <w:t xml:space="preserve"> to </w:t>
      </w:r>
      <w:r w:rsidR="00EC7EF1" w:rsidRPr="00FB6769">
        <w:rPr>
          <w:rFonts w:ascii="Times New Roman" w:eastAsia="Times New Roman" w:hAnsi="Times New Roman" w:cs="Times New Roman"/>
          <w:color w:val="000000" w:themeColor="text1"/>
        </w:rPr>
        <w:t>flaunt</w:t>
      </w:r>
      <w:r w:rsidR="00F73E6D" w:rsidRPr="00FB6769">
        <w:rPr>
          <w:rFonts w:ascii="Times New Roman" w:eastAsia="Times New Roman" w:hAnsi="Times New Roman" w:cs="Times New Roman"/>
          <w:color w:val="000000" w:themeColor="text1"/>
        </w:rPr>
        <w:t xml:space="preserve"> their own</w:t>
      </w:r>
      <w:r w:rsidR="00A26D8A">
        <w:rPr>
          <w:rFonts w:ascii="Times New Roman" w:eastAsia="Times New Roman" w:hAnsi="Times New Roman" w:cs="Times New Roman"/>
          <w:color w:val="000000" w:themeColor="text1"/>
        </w:rPr>
        <w:t xml:space="preserve"> illnesses and</w:t>
      </w:r>
      <w:r w:rsidR="00F73E6D" w:rsidRPr="00FB6769">
        <w:rPr>
          <w:rFonts w:ascii="Times New Roman" w:eastAsia="Times New Roman" w:hAnsi="Times New Roman" w:cs="Times New Roman"/>
          <w:color w:val="000000" w:themeColor="text1"/>
        </w:rPr>
        <w:t xml:space="preserve"> health-seeking</w:t>
      </w:r>
      <w:r w:rsidR="00D87FF9" w:rsidRPr="00FB6769">
        <w:rPr>
          <w:rFonts w:ascii="Times New Roman" w:eastAsia="Times New Roman" w:hAnsi="Times New Roman" w:cs="Times New Roman"/>
          <w:color w:val="000000" w:themeColor="text1"/>
        </w:rPr>
        <w:t xml:space="preserve">, </w:t>
      </w:r>
      <w:r w:rsidR="003027EF" w:rsidRPr="00FB6769">
        <w:rPr>
          <w:rFonts w:ascii="Times New Roman" w:eastAsia="Times New Roman" w:hAnsi="Times New Roman" w:cs="Times New Roman"/>
          <w:color w:val="000000" w:themeColor="text1"/>
        </w:rPr>
        <w:t xml:space="preserve">a forerunner of </w:t>
      </w:r>
      <w:r w:rsidR="00D87FF9" w:rsidRPr="00FB6769">
        <w:rPr>
          <w:rFonts w:ascii="Times New Roman" w:eastAsia="Times New Roman" w:hAnsi="Times New Roman" w:cs="Times New Roman"/>
          <w:color w:val="000000" w:themeColor="text1"/>
        </w:rPr>
        <w:t xml:space="preserve">today’s </w:t>
      </w:r>
      <w:r w:rsidR="00EC7EF1" w:rsidRPr="00FB6769">
        <w:rPr>
          <w:rFonts w:ascii="Times New Roman" w:eastAsia="Times New Roman" w:hAnsi="Times New Roman" w:cs="Times New Roman"/>
          <w:color w:val="000000" w:themeColor="text1"/>
        </w:rPr>
        <w:t>performative</w:t>
      </w:r>
      <w:r w:rsidR="00D87FF9" w:rsidRPr="00FB6769">
        <w:rPr>
          <w:rFonts w:ascii="Times New Roman" w:eastAsia="Times New Roman" w:hAnsi="Times New Roman" w:cs="Times New Roman"/>
          <w:color w:val="000000" w:themeColor="text1"/>
        </w:rPr>
        <w:t xml:space="preserve"> forms of wellness.</w:t>
      </w:r>
      <w:r w:rsidRPr="00FB6769">
        <w:rPr>
          <w:rFonts w:ascii="Times New Roman" w:eastAsia="Times New Roman" w:hAnsi="Times New Roman" w:cs="Times New Roman"/>
          <w:color w:val="000000" w:themeColor="text1"/>
        </w:rPr>
        <w:t xml:space="preserve"> </w:t>
      </w:r>
      <w:r w:rsidR="005A272E" w:rsidRPr="00A26D8A">
        <w:rPr>
          <w:rFonts w:ascii="Times New Roman" w:hAnsi="Times New Roman" w:cs="Times New Roman"/>
        </w:rPr>
        <w:t xml:space="preserve">The </w:t>
      </w:r>
      <w:r w:rsidR="00507AFF">
        <w:rPr>
          <w:rFonts w:ascii="Times New Roman" w:hAnsi="Times New Roman" w:cs="Times New Roman"/>
        </w:rPr>
        <w:t>British plantocracy</w:t>
      </w:r>
      <w:r w:rsidR="005A272E" w:rsidRPr="00A26D8A">
        <w:rPr>
          <w:rFonts w:ascii="Times New Roman" w:hAnsi="Times New Roman" w:cs="Times New Roman"/>
        </w:rPr>
        <w:t xml:space="preserve"> was focused on a particular form of functional health that</w:t>
      </w:r>
      <w:r w:rsidR="00507AFF">
        <w:rPr>
          <w:rFonts w:ascii="Times New Roman" w:hAnsi="Times New Roman" w:cs="Times New Roman"/>
        </w:rPr>
        <w:t xml:space="preserve"> almost</w:t>
      </w:r>
      <w:r w:rsidR="005A272E" w:rsidRPr="00A26D8A">
        <w:rPr>
          <w:rFonts w:ascii="Times New Roman" w:hAnsi="Times New Roman" w:cs="Times New Roman"/>
        </w:rPr>
        <w:t xml:space="preserve"> exclusively emphasized laboring capacity. In </w:t>
      </w:r>
      <w:r w:rsidR="005A272E" w:rsidRPr="00A26D8A">
        <w:rPr>
          <w:rFonts w:ascii="Times New Roman" w:hAnsi="Times New Roman" w:cs="Times New Roman"/>
          <w:i/>
          <w:iCs/>
        </w:rPr>
        <w:t>The History of Mary Prince,</w:t>
      </w:r>
      <w:r w:rsidR="005A272E" w:rsidRPr="00A26D8A">
        <w:rPr>
          <w:rFonts w:ascii="Times New Roman" w:hAnsi="Times New Roman" w:cs="Times New Roman"/>
        </w:rPr>
        <w:t xml:space="preserve"> for example, Prince explains “they will have work—work—work, night and day, sick or well, till we are quite done up” (38), and describes the abuse that she and other enslaved people suffered when they were unable to work because of physical disability.</w:t>
      </w:r>
      <w:r w:rsidR="006452B7" w:rsidRPr="00A26D8A">
        <w:rPr>
          <w:rStyle w:val="FootnoteReference"/>
          <w:rFonts w:ascii="Times New Roman" w:hAnsi="Times New Roman" w:cs="Times New Roman"/>
        </w:rPr>
        <w:footnoteReference w:id="30"/>
      </w:r>
      <w:r w:rsidR="00507AFF">
        <w:rPr>
          <w:rFonts w:ascii="Times New Roman" w:hAnsi="Times New Roman" w:cs="Times New Roman"/>
        </w:rPr>
        <w:t xml:space="preserve"> In the British West Indies,</w:t>
      </w:r>
      <w:r w:rsidR="00975541">
        <w:rPr>
          <w:rFonts w:ascii="Times New Roman" w:hAnsi="Times New Roman" w:cs="Times New Roman"/>
        </w:rPr>
        <w:t xml:space="preserve"> enslaved populations turned for their wellbeing to their own communities of care, as well as practices and systems of healing like those within obeah</w:t>
      </w:r>
      <w:r w:rsidR="005A272E" w:rsidRPr="00FB6769">
        <w:rPr>
          <w:rFonts w:ascii="Times New Roman" w:eastAsia="Times New Roman" w:hAnsi="Times New Roman" w:cs="Times New Roman"/>
          <w:color w:val="000000" w:themeColor="text1"/>
        </w:rPr>
        <w:t>.</w:t>
      </w:r>
    </w:p>
    <w:p w14:paraId="4CD0E38F" w14:textId="739FA765" w:rsidR="00BB5CCC" w:rsidRPr="00FB6769" w:rsidRDefault="009A1777" w:rsidP="0007775C">
      <w:pPr>
        <w:spacing w:line="480" w:lineRule="auto"/>
        <w:ind w:firstLine="720"/>
        <w:rPr>
          <w:rFonts w:ascii="Times New Roman" w:eastAsia="Times New Roman" w:hAnsi="Times New Roman" w:cs="Times New Roman"/>
          <w:color w:val="000000" w:themeColor="text1"/>
        </w:rPr>
      </w:pPr>
      <w:proofErr w:type="gramStart"/>
      <w:r w:rsidRPr="00FB6769">
        <w:rPr>
          <w:rFonts w:ascii="Times New Roman" w:eastAsia="Times New Roman" w:hAnsi="Times New Roman" w:cs="Times New Roman"/>
          <w:color w:val="000000" w:themeColor="text1"/>
        </w:rPr>
        <w:lastRenderedPageBreak/>
        <w:t>All of</w:t>
      </w:r>
      <w:proofErr w:type="gramEnd"/>
      <w:r w:rsidRPr="00FB6769">
        <w:rPr>
          <w:rFonts w:ascii="Times New Roman" w:eastAsia="Times New Roman" w:hAnsi="Times New Roman" w:cs="Times New Roman"/>
          <w:color w:val="000000" w:themeColor="text1"/>
        </w:rPr>
        <w:t xml:space="preserve"> these contexts</w:t>
      </w:r>
      <w:r w:rsidR="002E3FE9" w:rsidRPr="00FB6769">
        <w:rPr>
          <w:rFonts w:ascii="Times New Roman" w:eastAsia="Times New Roman" w:hAnsi="Times New Roman" w:cs="Times New Roman"/>
          <w:color w:val="000000" w:themeColor="text1"/>
        </w:rPr>
        <w:t xml:space="preserve"> demonstrate how labor was </w:t>
      </w:r>
      <w:r w:rsidR="00EC7EF1" w:rsidRPr="00FB6769">
        <w:rPr>
          <w:rFonts w:ascii="Times New Roman" w:eastAsia="Times New Roman" w:hAnsi="Times New Roman" w:cs="Times New Roman"/>
          <w:color w:val="000000" w:themeColor="text1"/>
        </w:rPr>
        <w:t>a key</w:t>
      </w:r>
      <w:r w:rsidR="002E3FE9" w:rsidRPr="00FB6769">
        <w:rPr>
          <w:rFonts w:ascii="Times New Roman" w:eastAsia="Times New Roman" w:hAnsi="Times New Roman" w:cs="Times New Roman"/>
          <w:color w:val="000000" w:themeColor="text1"/>
        </w:rPr>
        <w:t xml:space="preserve"> interlocutor between wealth and wellbeing. To be well-off meant having the leisure to</w:t>
      </w:r>
      <w:r w:rsidR="00A82147" w:rsidRPr="00FB6769">
        <w:rPr>
          <w:rFonts w:ascii="Times New Roman" w:eastAsia="Times New Roman" w:hAnsi="Times New Roman" w:cs="Times New Roman"/>
          <w:color w:val="000000" w:themeColor="text1"/>
        </w:rPr>
        <w:t xml:space="preserve"> either</w:t>
      </w:r>
      <w:r w:rsidR="002E3FE9" w:rsidRPr="00FB6769">
        <w:rPr>
          <w:rFonts w:ascii="Times New Roman" w:eastAsia="Times New Roman" w:hAnsi="Times New Roman" w:cs="Times New Roman"/>
          <w:color w:val="000000" w:themeColor="text1"/>
        </w:rPr>
        <w:t xml:space="preserve"> languish with consumption or afford a </w:t>
      </w:r>
      <w:r w:rsidR="00E27C0B" w:rsidRPr="00FB6769">
        <w:rPr>
          <w:rFonts w:ascii="Times New Roman" w:eastAsia="Times New Roman" w:hAnsi="Times New Roman" w:cs="Times New Roman"/>
          <w:color w:val="000000" w:themeColor="text1"/>
        </w:rPr>
        <w:t xml:space="preserve">healthful </w:t>
      </w:r>
      <w:r w:rsidR="002E3FE9" w:rsidRPr="00FB6769">
        <w:rPr>
          <w:rFonts w:ascii="Times New Roman" w:eastAsia="Times New Roman" w:hAnsi="Times New Roman" w:cs="Times New Roman"/>
          <w:color w:val="000000" w:themeColor="text1"/>
        </w:rPr>
        <w:t>walking-tour in Nature; to be poor meant working through</w:t>
      </w:r>
      <w:r w:rsidR="003027EF" w:rsidRPr="00FB6769">
        <w:rPr>
          <w:rFonts w:ascii="Times New Roman" w:eastAsia="Times New Roman" w:hAnsi="Times New Roman" w:cs="Times New Roman"/>
          <w:color w:val="000000" w:themeColor="text1"/>
        </w:rPr>
        <w:t xml:space="preserve"> consumption and physical labor undertaken in the outdoors</w:t>
      </w:r>
      <w:r w:rsidR="00374BC5" w:rsidRPr="00FB6769">
        <w:rPr>
          <w:rFonts w:ascii="Times New Roman" w:eastAsia="Times New Roman" w:hAnsi="Times New Roman" w:cs="Times New Roman"/>
          <w:color w:val="000000" w:themeColor="text1"/>
        </w:rPr>
        <w:t xml:space="preserve">. </w:t>
      </w:r>
      <w:r w:rsidR="00A82147" w:rsidRPr="00FB6769">
        <w:rPr>
          <w:rFonts w:ascii="Times New Roman" w:eastAsia="Times New Roman" w:hAnsi="Times New Roman" w:cs="Times New Roman"/>
          <w:color w:val="000000" w:themeColor="text1"/>
        </w:rPr>
        <w:t xml:space="preserve">This relationship between wellbeing and work conditions persists today, and is of particular significance for the contemporary university, </w:t>
      </w:r>
      <w:r w:rsidR="00E37C28" w:rsidRPr="00FB6769">
        <w:rPr>
          <w:rFonts w:ascii="Times New Roman" w:eastAsia="Times New Roman" w:hAnsi="Times New Roman" w:cs="Times New Roman"/>
          <w:color w:val="000000" w:themeColor="text1"/>
        </w:rPr>
        <w:t>whose reliance on an</w:t>
      </w:r>
      <w:r w:rsidR="00A82147" w:rsidRPr="00FB6769">
        <w:rPr>
          <w:rFonts w:ascii="Times New Roman" w:eastAsia="Times New Roman" w:hAnsi="Times New Roman" w:cs="Times New Roman"/>
          <w:color w:val="000000" w:themeColor="text1"/>
        </w:rPr>
        <w:t xml:space="preserve"> overworked, underpaid, and u</w:t>
      </w:r>
      <w:r w:rsidR="0064180A" w:rsidRPr="00FB6769">
        <w:rPr>
          <w:rFonts w:ascii="Times New Roman" w:eastAsia="Times New Roman" w:hAnsi="Times New Roman" w:cs="Times New Roman"/>
          <w:color w:val="000000" w:themeColor="text1"/>
        </w:rPr>
        <w:t>n</w:t>
      </w:r>
      <w:r w:rsidR="00A82147" w:rsidRPr="00FB6769">
        <w:rPr>
          <w:rFonts w:ascii="Times New Roman" w:eastAsia="Times New Roman" w:hAnsi="Times New Roman" w:cs="Times New Roman"/>
          <w:color w:val="000000" w:themeColor="text1"/>
        </w:rPr>
        <w:t>insured contingent labor pool</w:t>
      </w:r>
      <w:r w:rsidR="00E37C28" w:rsidRPr="00FB6769">
        <w:rPr>
          <w:rFonts w:ascii="Times New Roman" w:eastAsia="Times New Roman" w:hAnsi="Times New Roman" w:cs="Times New Roman"/>
          <w:color w:val="000000" w:themeColor="text1"/>
        </w:rPr>
        <w:t xml:space="preserve"> has far-reaching consequences for both workers and students.</w:t>
      </w:r>
      <w:r w:rsidR="00DA1413" w:rsidRPr="00FB6769">
        <w:rPr>
          <w:rFonts w:ascii="Times New Roman" w:eastAsia="Times New Roman" w:hAnsi="Times New Roman" w:cs="Times New Roman"/>
          <w:color w:val="000000" w:themeColor="text1"/>
        </w:rPr>
        <w:t xml:space="preserve"> The </w:t>
      </w:r>
      <w:r w:rsidR="00915825">
        <w:rPr>
          <w:rFonts w:ascii="Times New Roman" w:eastAsia="Times New Roman" w:hAnsi="Times New Roman" w:cs="Times New Roman"/>
          <w:color w:val="000000" w:themeColor="text1"/>
        </w:rPr>
        <w:t>COVID-19</w:t>
      </w:r>
      <w:r w:rsidR="00915825" w:rsidRPr="00FB6769">
        <w:rPr>
          <w:rFonts w:ascii="Times New Roman" w:eastAsia="Times New Roman" w:hAnsi="Times New Roman" w:cs="Times New Roman"/>
          <w:color w:val="000000" w:themeColor="text1"/>
        </w:rPr>
        <w:t xml:space="preserve"> </w:t>
      </w:r>
      <w:r w:rsidR="00DA1413" w:rsidRPr="00FB6769">
        <w:rPr>
          <w:rFonts w:ascii="Times New Roman" w:eastAsia="Times New Roman" w:hAnsi="Times New Roman" w:cs="Times New Roman"/>
          <w:color w:val="000000" w:themeColor="text1"/>
        </w:rPr>
        <w:t xml:space="preserve">pandemic has thrown </w:t>
      </w:r>
      <w:proofErr w:type="gramStart"/>
      <w:r w:rsidR="00DA1413" w:rsidRPr="00FB6769">
        <w:rPr>
          <w:rFonts w:ascii="Times New Roman" w:eastAsia="Times New Roman" w:hAnsi="Times New Roman" w:cs="Times New Roman"/>
          <w:color w:val="000000" w:themeColor="text1"/>
        </w:rPr>
        <w:t>all of</w:t>
      </w:r>
      <w:proofErr w:type="gramEnd"/>
      <w:r w:rsidR="00DA1413" w:rsidRPr="00FB6769">
        <w:rPr>
          <w:rFonts w:ascii="Times New Roman" w:eastAsia="Times New Roman" w:hAnsi="Times New Roman" w:cs="Times New Roman"/>
          <w:color w:val="000000" w:themeColor="text1"/>
        </w:rPr>
        <w:t xml:space="preserve"> these </w:t>
      </w:r>
      <w:r w:rsidR="005B1686" w:rsidRPr="00FB6769">
        <w:rPr>
          <w:rFonts w:ascii="Times New Roman" w:eastAsia="Times New Roman" w:hAnsi="Times New Roman" w:cs="Times New Roman"/>
          <w:color w:val="000000" w:themeColor="text1"/>
        </w:rPr>
        <w:t>relationships into even sharper relief</w:t>
      </w:r>
      <w:r w:rsidR="008837B5" w:rsidRPr="00FB6769">
        <w:rPr>
          <w:rFonts w:ascii="Times New Roman" w:eastAsia="Times New Roman" w:hAnsi="Times New Roman" w:cs="Times New Roman"/>
          <w:color w:val="000000" w:themeColor="text1"/>
        </w:rPr>
        <w:t xml:space="preserve">. </w:t>
      </w:r>
      <w:r w:rsidR="00915825">
        <w:rPr>
          <w:rFonts w:ascii="Times New Roman" w:eastAsia="Times New Roman" w:hAnsi="Times New Roman" w:cs="Times New Roman"/>
          <w:color w:val="000000" w:themeColor="text1"/>
        </w:rPr>
        <w:t>In 2021</w:t>
      </w:r>
      <w:r w:rsidR="00363E3A" w:rsidRPr="00FB6769">
        <w:rPr>
          <w:rFonts w:ascii="Times New Roman" w:eastAsia="Times New Roman" w:hAnsi="Times New Roman" w:cs="Times New Roman"/>
          <w:color w:val="000000" w:themeColor="text1"/>
        </w:rPr>
        <w:t>, as universities</w:t>
      </w:r>
      <w:r w:rsidR="00915825">
        <w:rPr>
          <w:rFonts w:ascii="Times New Roman" w:eastAsia="Times New Roman" w:hAnsi="Times New Roman" w:cs="Times New Roman"/>
          <w:color w:val="000000" w:themeColor="text1"/>
        </w:rPr>
        <w:t xml:space="preserve"> continue to make widely variable decisions about course delivery methods and health and safety protocols</w:t>
      </w:r>
      <w:r w:rsidR="00363E3A" w:rsidRPr="00FB6769">
        <w:rPr>
          <w:rFonts w:ascii="Times New Roman" w:eastAsia="Times New Roman" w:hAnsi="Times New Roman" w:cs="Times New Roman"/>
          <w:color w:val="000000" w:themeColor="text1"/>
        </w:rPr>
        <w:t xml:space="preserve">, </w:t>
      </w:r>
      <w:r w:rsidR="008837B5" w:rsidRPr="00FB6769">
        <w:rPr>
          <w:rFonts w:ascii="Times New Roman" w:eastAsia="Times New Roman" w:hAnsi="Times New Roman" w:cs="Times New Roman"/>
          <w:color w:val="000000" w:themeColor="text1"/>
        </w:rPr>
        <w:t xml:space="preserve">the </w:t>
      </w:r>
      <w:proofErr w:type="spellStart"/>
      <w:r w:rsidR="008837B5" w:rsidRPr="00FB6769">
        <w:rPr>
          <w:rFonts w:ascii="Times New Roman" w:eastAsia="Times New Roman" w:hAnsi="Times New Roman" w:cs="Times New Roman"/>
          <w:color w:val="000000" w:themeColor="text1"/>
        </w:rPr>
        <w:t>bodyminds</w:t>
      </w:r>
      <w:proofErr w:type="spellEnd"/>
      <w:r w:rsidR="008837B5" w:rsidRPr="00FB6769">
        <w:rPr>
          <w:rFonts w:ascii="Times New Roman" w:eastAsia="Times New Roman" w:hAnsi="Times New Roman" w:cs="Times New Roman"/>
          <w:color w:val="000000" w:themeColor="text1"/>
        </w:rPr>
        <w:t xml:space="preserve"> whose wellbeing is most at</w:t>
      </w:r>
      <w:r w:rsidR="00C85272" w:rsidRPr="00FB6769">
        <w:rPr>
          <w:rFonts w:ascii="Times New Roman" w:eastAsia="Times New Roman" w:hAnsi="Times New Roman" w:cs="Times New Roman"/>
          <w:color w:val="000000" w:themeColor="text1"/>
        </w:rPr>
        <w:t xml:space="preserve"> </w:t>
      </w:r>
      <w:r w:rsidR="008837B5" w:rsidRPr="00FB6769">
        <w:rPr>
          <w:rFonts w:ascii="Times New Roman" w:eastAsia="Times New Roman" w:hAnsi="Times New Roman" w:cs="Times New Roman"/>
          <w:color w:val="000000" w:themeColor="text1"/>
        </w:rPr>
        <w:t xml:space="preserve">risk are campus staff and contingent faculty, many of whom are already multiply marginalized, </w:t>
      </w:r>
      <w:r w:rsidR="00AF346C" w:rsidRPr="00FB6769">
        <w:rPr>
          <w:rFonts w:ascii="Times New Roman" w:eastAsia="Times New Roman" w:hAnsi="Times New Roman" w:cs="Times New Roman"/>
          <w:color w:val="000000" w:themeColor="text1"/>
        </w:rPr>
        <w:t xml:space="preserve">and </w:t>
      </w:r>
      <w:r w:rsidR="008837B5" w:rsidRPr="00FB6769">
        <w:rPr>
          <w:rFonts w:ascii="Times New Roman" w:eastAsia="Times New Roman" w:hAnsi="Times New Roman" w:cs="Times New Roman"/>
          <w:color w:val="000000" w:themeColor="text1"/>
        </w:rPr>
        <w:t xml:space="preserve">who now face firings, furloughs, or weighing their </w:t>
      </w:r>
      <w:r w:rsidR="00587B51" w:rsidRPr="00FB6769">
        <w:rPr>
          <w:rFonts w:ascii="Times New Roman" w:eastAsia="Times New Roman" w:hAnsi="Times New Roman" w:cs="Times New Roman"/>
          <w:color w:val="000000" w:themeColor="text1"/>
        </w:rPr>
        <w:t xml:space="preserve">financial survival </w:t>
      </w:r>
      <w:r w:rsidR="008837B5" w:rsidRPr="00FB6769">
        <w:rPr>
          <w:rFonts w:ascii="Times New Roman" w:eastAsia="Times New Roman" w:hAnsi="Times New Roman" w:cs="Times New Roman"/>
          <w:color w:val="000000" w:themeColor="text1"/>
        </w:rPr>
        <w:t>against working in risky conditions.</w:t>
      </w:r>
    </w:p>
    <w:p w14:paraId="2A279EA1" w14:textId="4CFD5623" w:rsidR="0007486D" w:rsidRPr="00FB6769" w:rsidRDefault="0007486D" w:rsidP="00BB5CCC">
      <w:pPr>
        <w:spacing w:line="480" w:lineRule="auto"/>
        <w:rPr>
          <w:rFonts w:ascii="Times New Roman" w:eastAsia="Times New Roman" w:hAnsi="Times New Roman" w:cs="Times New Roman"/>
          <w:color w:val="000000" w:themeColor="text1"/>
        </w:rPr>
      </w:pPr>
    </w:p>
    <w:p w14:paraId="04B6BD72" w14:textId="77777777" w:rsidR="00BB5CCC" w:rsidRPr="00FB6769" w:rsidRDefault="00BB5CCC" w:rsidP="00BB5CCC">
      <w:pPr>
        <w:rPr>
          <w:rFonts w:ascii="Times New Roman" w:eastAsia="Times New Roman" w:hAnsi="Times New Roman" w:cs="Times New Roman"/>
          <w:color w:val="000000" w:themeColor="text1"/>
        </w:rPr>
      </w:pPr>
    </w:p>
    <w:p w14:paraId="7DEE0971" w14:textId="5B6D7A6C" w:rsidR="00BB5CCC" w:rsidRPr="00FB6769" w:rsidRDefault="00BB5CCC" w:rsidP="00BB5CCC">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b/>
          <w:bCs/>
          <w:color w:val="000000" w:themeColor="text1"/>
        </w:rPr>
        <w:t>Wellbeing and Pedagogy</w:t>
      </w:r>
    </w:p>
    <w:p w14:paraId="1DA0E016" w14:textId="4365F519" w:rsidR="005E1738" w:rsidRPr="00FB6769" w:rsidRDefault="005E1738" w:rsidP="00832838">
      <w:pPr>
        <w:spacing w:line="480" w:lineRule="auto"/>
        <w:ind w:firstLine="720"/>
        <w:rPr>
          <w:rFonts w:ascii="Times New Roman" w:hAnsi="Times New Roman" w:cs="Times New Roman"/>
        </w:rPr>
      </w:pPr>
      <w:r w:rsidRPr="00FB6769">
        <w:rPr>
          <w:rFonts w:ascii="Times New Roman" w:hAnsi="Times New Roman" w:cs="Times New Roman"/>
          <w:color w:val="000000"/>
        </w:rPr>
        <w:t xml:space="preserve">To adopt a </w:t>
      </w:r>
      <w:proofErr w:type="gramStart"/>
      <w:r w:rsidRPr="00FB6769">
        <w:rPr>
          <w:rFonts w:ascii="Times New Roman" w:hAnsi="Times New Roman" w:cs="Times New Roman"/>
          <w:color w:val="000000"/>
        </w:rPr>
        <w:t>Romantic</w:t>
      </w:r>
      <w:proofErr w:type="gramEnd"/>
      <w:r w:rsidRPr="00FB6769">
        <w:rPr>
          <w:rFonts w:ascii="Times New Roman" w:hAnsi="Times New Roman" w:cs="Times New Roman"/>
          <w:color w:val="000000"/>
        </w:rPr>
        <w:t xml:space="preserve"> attitude towards wellbeing and learning, then, is to recognize the complexity of the relationship between those terms. Yet considerations of wellbeing in the academy often fail to acknowledge this complexity. Revisiting Romantic conceptions of wellbeing can allow us to identify and challenge simplistic approaches. While open discussions of wellbeing in the academy have increased in past years, they have largely confined themselves to conversations about what </w:t>
      </w:r>
      <w:r w:rsidR="00915825">
        <w:rPr>
          <w:rFonts w:ascii="Times New Roman" w:hAnsi="Times New Roman" w:cs="Times New Roman"/>
          <w:color w:val="000000"/>
        </w:rPr>
        <w:t xml:space="preserve">in this Introduction </w:t>
      </w:r>
      <w:r w:rsidRPr="00FB6769">
        <w:rPr>
          <w:rFonts w:ascii="Times New Roman" w:hAnsi="Times New Roman" w:cs="Times New Roman"/>
          <w:color w:val="000000"/>
        </w:rPr>
        <w:t>we interpret as issues of wellness. For example, the</w:t>
      </w:r>
      <w:hyperlink r:id="rId10" w:history="1">
        <w:r w:rsidRPr="00FB6769">
          <w:rPr>
            <w:rStyle w:val="Hyperlink"/>
            <w:rFonts w:ascii="Times New Roman" w:hAnsi="Times New Roman" w:cs="Times New Roman"/>
            <w:color w:val="000000"/>
          </w:rPr>
          <w:t xml:space="preserve"> “wellness” tag</w:t>
        </w:r>
      </w:hyperlink>
      <w:r w:rsidRPr="00FB6769">
        <w:rPr>
          <w:rFonts w:ascii="Times New Roman" w:hAnsi="Times New Roman" w:cs="Times New Roman"/>
          <w:color w:val="000000"/>
        </w:rPr>
        <w:t xml:space="preserve"> on the Chronicle of Higher Education’s </w:t>
      </w:r>
      <w:proofErr w:type="spellStart"/>
      <w:r w:rsidRPr="00FB6769">
        <w:rPr>
          <w:rFonts w:ascii="Times New Roman" w:hAnsi="Times New Roman" w:cs="Times New Roman"/>
          <w:color w:val="000000"/>
        </w:rPr>
        <w:t>ProfHacker</w:t>
      </w:r>
      <w:proofErr w:type="spellEnd"/>
      <w:r w:rsidRPr="00FB6769">
        <w:rPr>
          <w:rFonts w:ascii="Times New Roman" w:hAnsi="Times New Roman" w:cs="Times New Roman"/>
          <w:color w:val="000000"/>
        </w:rPr>
        <w:t xml:space="preserve"> blog series contains several posts on time management, perfectionism, social media, and activity-tracking technology, but few on </w:t>
      </w:r>
      <w:proofErr w:type="spellStart"/>
      <w:r w:rsidRPr="00FB6769">
        <w:rPr>
          <w:rFonts w:ascii="Times New Roman" w:hAnsi="Times New Roman" w:cs="Times New Roman"/>
          <w:color w:val="000000"/>
        </w:rPr>
        <w:t>adjunctification</w:t>
      </w:r>
      <w:proofErr w:type="spellEnd"/>
      <w:r w:rsidRPr="00FB6769">
        <w:rPr>
          <w:rFonts w:ascii="Times New Roman" w:hAnsi="Times New Roman" w:cs="Times New Roman"/>
          <w:color w:val="000000"/>
        </w:rPr>
        <w:t xml:space="preserve">, campus accessibility, or the emotional costs of systemic </w:t>
      </w:r>
      <w:r w:rsidRPr="00FB6769">
        <w:rPr>
          <w:rFonts w:ascii="Times New Roman" w:hAnsi="Times New Roman" w:cs="Times New Roman"/>
          <w:color w:val="000000"/>
        </w:rPr>
        <w:lastRenderedPageBreak/>
        <w:t>racism in the academy.</w:t>
      </w:r>
      <w:r w:rsidR="007E5B71">
        <w:rPr>
          <w:rFonts w:ascii="Times New Roman" w:hAnsi="Times New Roman" w:cs="Times New Roman"/>
          <w:color w:val="000000"/>
        </w:rPr>
        <w:t xml:space="preserve"> </w:t>
      </w:r>
      <w:r w:rsidR="00D4106B">
        <w:rPr>
          <w:rFonts w:ascii="Times New Roman" w:hAnsi="Times New Roman" w:cs="Times New Roman"/>
          <w:color w:val="000000"/>
        </w:rPr>
        <w:t>Such</w:t>
      </w:r>
      <w:r w:rsidR="007E5B71">
        <w:rPr>
          <w:rFonts w:ascii="Times New Roman" w:hAnsi="Times New Roman" w:cs="Times New Roman"/>
          <w:color w:val="000000"/>
        </w:rPr>
        <w:t xml:space="preserve"> analyses</w:t>
      </w:r>
      <w:r w:rsidRPr="00FB6769">
        <w:rPr>
          <w:rFonts w:ascii="Times New Roman" w:hAnsi="Times New Roman" w:cs="Times New Roman"/>
          <w:color w:val="000000"/>
        </w:rPr>
        <w:t xml:space="preserve"> explore individual experiences of wellbeing but downplay their wider social and political contexts—contexts that were </w:t>
      </w:r>
      <w:r w:rsidR="00951DAD">
        <w:rPr>
          <w:rFonts w:ascii="Times New Roman" w:hAnsi="Times New Roman" w:cs="Times New Roman"/>
          <w:color w:val="000000"/>
        </w:rPr>
        <w:t>central to</w:t>
      </w:r>
      <w:r w:rsidRPr="00FB6769">
        <w:rPr>
          <w:rFonts w:ascii="Times New Roman" w:hAnsi="Times New Roman" w:cs="Times New Roman"/>
          <w:color w:val="000000"/>
        </w:rPr>
        <w:t xml:space="preserve"> conceptions of wellbeing for Romantic thinkers. As a result, </w:t>
      </w:r>
      <w:r w:rsidR="00D4106B">
        <w:rPr>
          <w:rFonts w:ascii="Times New Roman" w:hAnsi="Times New Roman" w:cs="Times New Roman"/>
          <w:color w:val="000000"/>
        </w:rPr>
        <w:t>they</w:t>
      </w:r>
      <w:r w:rsidRPr="00FB6769">
        <w:rPr>
          <w:rFonts w:ascii="Times New Roman" w:hAnsi="Times New Roman" w:cs="Times New Roman"/>
          <w:color w:val="000000"/>
        </w:rPr>
        <w:t xml:space="preserve"> shift responsibility for being well onto the individual</w:t>
      </w:r>
      <w:r w:rsidR="00D4106B">
        <w:rPr>
          <w:rFonts w:ascii="Times New Roman" w:hAnsi="Times New Roman" w:cs="Times New Roman"/>
          <w:color w:val="000000"/>
        </w:rPr>
        <w:t xml:space="preserve"> and </w:t>
      </w:r>
      <w:r w:rsidRPr="00FB6769">
        <w:rPr>
          <w:rFonts w:ascii="Times New Roman" w:hAnsi="Times New Roman" w:cs="Times New Roman"/>
          <w:color w:val="000000"/>
        </w:rPr>
        <w:t xml:space="preserve">promote </w:t>
      </w:r>
      <w:r w:rsidR="00D26462">
        <w:rPr>
          <w:rFonts w:ascii="Times New Roman" w:hAnsi="Times New Roman" w:cs="Times New Roman"/>
          <w:color w:val="000000"/>
        </w:rPr>
        <w:t>limited</w:t>
      </w:r>
      <w:r w:rsidRPr="00FB6769">
        <w:rPr>
          <w:rFonts w:ascii="Times New Roman" w:hAnsi="Times New Roman" w:cs="Times New Roman"/>
          <w:color w:val="000000"/>
        </w:rPr>
        <w:t xml:space="preserve"> ideals of health. These ideals become exclusionary when adopted as guides for university policy. For example, some universities have responded to calls to improve the wellbeing of faculty, students, and staff by offering free fitness classes, building outdoor exercise equipment, and enrolling workers in incentive-based fitness tracking programs.</w:t>
      </w:r>
      <w:r w:rsidR="00970CDE">
        <w:rPr>
          <w:rFonts w:ascii="Times New Roman" w:hAnsi="Times New Roman" w:cs="Times New Roman"/>
          <w:color w:val="000000"/>
        </w:rPr>
        <w:t xml:space="preserve"> </w:t>
      </w:r>
      <w:r w:rsidR="00042C37">
        <w:rPr>
          <w:rFonts w:ascii="Times New Roman" w:hAnsi="Times New Roman" w:cs="Times New Roman"/>
          <w:color w:val="000000"/>
        </w:rPr>
        <w:t>Regardless of intention</w:t>
      </w:r>
      <w:r w:rsidRPr="00FB6769">
        <w:rPr>
          <w:rFonts w:ascii="Times New Roman" w:hAnsi="Times New Roman" w:cs="Times New Roman"/>
          <w:color w:val="000000"/>
        </w:rPr>
        <w:t>, these initiatives fail to acknowledge how the wellness they offer is not accessible to many</w:t>
      </w:r>
      <w:r w:rsidR="00970CDE">
        <w:rPr>
          <w:rFonts w:ascii="Times New Roman" w:hAnsi="Times New Roman" w:cs="Times New Roman"/>
          <w:color w:val="000000"/>
        </w:rPr>
        <w:t xml:space="preserve"> and </w:t>
      </w:r>
      <w:r w:rsidR="002A1F28">
        <w:rPr>
          <w:rFonts w:ascii="Times New Roman" w:hAnsi="Times New Roman" w:cs="Times New Roman"/>
          <w:color w:val="000000"/>
        </w:rPr>
        <w:t xml:space="preserve">that </w:t>
      </w:r>
      <w:r w:rsidRPr="00FB6769">
        <w:rPr>
          <w:rFonts w:ascii="Times New Roman" w:hAnsi="Times New Roman" w:cs="Times New Roman"/>
          <w:color w:val="000000"/>
        </w:rPr>
        <w:t xml:space="preserve">“health” is, as Romantic authors </w:t>
      </w:r>
      <w:r w:rsidR="00CA0A77">
        <w:rPr>
          <w:rFonts w:ascii="Times New Roman" w:hAnsi="Times New Roman" w:cs="Times New Roman"/>
          <w:color w:val="000000"/>
        </w:rPr>
        <w:t>articulate</w:t>
      </w:r>
      <w:r w:rsidR="00D26462">
        <w:rPr>
          <w:rFonts w:ascii="Times New Roman" w:hAnsi="Times New Roman" w:cs="Times New Roman"/>
          <w:color w:val="000000"/>
        </w:rPr>
        <w:t>,</w:t>
      </w:r>
      <w:r w:rsidRPr="00FB6769">
        <w:rPr>
          <w:rFonts w:ascii="Times New Roman" w:hAnsi="Times New Roman" w:cs="Times New Roman"/>
          <w:color w:val="000000"/>
        </w:rPr>
        <w:t xml:space="preserve"> individual and variable. Campus initiatives based on</w:t>
      </w:r>
      <w:r w:rsidR="00E1129F">
        <w:rPr>
          <w:rFonts w:ascii="Times New Roman" w:hAnsi="Times New Roman" w:cs="Times New Roman"/>
          <w:color w:val="000000"/>
        </w:rPr>
        <w:t xml:space="preserve"> normative</w:t>
      </w:r>
      <w:r w:rsidRPr="00FB6769">
        <w:rPr>
          <w:rFonts w:ascii="Times New Roman" w:hAnsi="Times New Roman" w:cs="Times New Roman"/>
          <w:color w:val="000000"/>
        </w:rPr>
        <w:t xml:space="preserve"> ideals of wellness, like yoga classes or campus rock-climbing walls, support some at the expense of others. In doing so, they replicate </w:t>
      </w:r>
      <w:proofErr w:type="spellStart"/>
      <w:r w:rsidRPr="00FB6769">
        <w:rPr>
          <w:rFonts w:ascii="Times New Roman" w:hAnsi="Times New Roman" w:cs="Times New Roman"/>
          <w:color w:val="000000"/>
        </w:rPr>
        <w:t>marginalizations</w:t>
      </w:r>
      <w:proofErr w:type="spellEnd"/>
      <w:r w:rsidRPr="00FB6769">
        <w:rPr>
          <w:rFonts w:ascii="Times New Roman" w:hAnsi="Times New Roman" w:cs="Times New Roman"/>
          <w:color w:val="000000"/>
        </w:rPr>
        <w:t xml:space="preserve"> that already threaten the wellbeing of many faculty, staff, and</w:t>
      </w:r>
      <w:r w:rsidR="00346ABC">
        <w:rPr>
          <w:rFonts w:ascii="Times New Roman" w:hAnsi="Times New Roman" w:cs="Times New Roman"/>
          <w:color w:val="000000"/>
        </w:rPr>
        <w:t>—of special importance for this volume—</w:t>
      </w:r>
      <w:r w:rsidRPr="00FB6769">
        <w:rPr>
          <w:rFonts w:ascii="Times New Roman" w:hAnsi="Times New Roman" w:cs="Times New Roman"/>
          <w:color w:val="000000"/>
        </w:rPr>
        <w:t>students.</w:t>
      </w:r>
    </w:p>
    <w:p w14:paraId="2FED21F9" w14:textId="7515E8BF" w:rsidR="00BB5CCC" w:rsidRPr="00FB6769" w:rsidRDefault="00BB5CCC" w:rsidP="005E1738">
      <w:pPr>
        <w:spacing w:line="480" w:lineRule="auto"/>
        <w:ind w:firstLine="720"/>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 xml:space="preserve">It is a core principle of this </w:t>
      </w:r>
      <w:r w:rsidR="00344C32" w:rsidRPr="00FB6769">
        <w:rPr>
          <w:rFonts w:ascii="Times New Roman" w:eastAsia="Times New Roman" w:hAnsi="Times New Roman" w:cs="Times New Roman"/>
          <w:color w:val="000000" w:themeColor="text1"/>
        </w:rPr>
        <w:t xml:space="preserve">collection </w:t>
      </w:r>
      <w:r w:rsidRPr="00FB6769">
        <w:rPr>
          <w:rFonts w:ascii="Times New Roman" w:eastAsia="Times New Roman" w:hAnsi="Times New Roman" w:cs="Times New Roman"/>
          <w:color w:val="000000" w:themeColor="text1"/>
        </w:rPr>
        <w:t>that issues of wellbeing are issues of pedagogy, and vice versa. When our students enter our classrooms, they bring</w:t>
      </w:r>
      <w:r w:rsidR="007C7F80" w:rsidRPr="00FB6769">
        <w:rPr>
          <w:rFonts w:ascii="Times New Roman" w:eastAsia="Times New Roman" w:hAnsi="Times New Roman" w:cs="Times New Roman"/>
          <w:color w:val="000000" w:themeColor="text1"/>
        </w:rPr>
        <w:t xml:space="preserve"> with them</w:t>
      </w:r>
      <w:r w:rsidRPr="00FB6769">
        <w:rPr>
          <w:rFonts w:ascii="Times New Roman" w:eastAsia="Times New Roman" w:hAnsi="Times New Roman" w:cs="Times New Roman"/>
          <w:color w:val="000000" w:themeColor="text1"/>
        </w:rPr>
        <w:t xml:space="preserve"> their personal histories, intellectual curiosities, hopes, fears, sociocultural positionings, and more—all of which can be well, or not, in ways that matter for their learning. Our students enter our classrooms as</w:t>
      </w:r>
      <w:r w:rsidRPr="00FB6769">
        <w:rPr>
          <w:rFonts w:ascii="Times New Roman" w:eastAsia="Times New Roman" w:hAnsi="Times New Roman" w:cs="Times New Roman"/>
          <w:i/>
          <w:iCs/>
          <w:color w:val="000000" w:themeColor="text1"/>
        </w:rPr>
        <w:t xml:space="preserve"> </w:t>
      </w:r>
      <w:proofErr w:type="spellStart"/>
      <w:r w:rsidRPr="00FB6769">
        <w:rPr>
          <w:rFonts w:ascii="Times New Roman" w:eastAsia="Times New Roman" w:hAnsi="Times New Roman" w:cs="Times New Roman"/>
          <w:color w:val="000000" w:themeColor="text1"/>
        </w:rPr>
        <w:t>bodyminds</w:t>
      </w:r>
      <w:proofErr w:type="spellEnd"/>
      <w:r w:rsidRPr="00FB6769">
        <w:rPr>
          <w:rFonts w:ascii="Times New Roman" w:eastAsia="Times New Roman" w:hAnsi="Times New Roman" w:cs="Times New Roman"/>
          <w:color w:val="000000" w:themeColor="text1"/>
        </w:rPr>
        <w:t xml:space="preserve"> that have complex histories of inclusion and exclusion, illness and medical management. Considering their wellbeing as a pedagogical issue means more than thinking through our courses’ late policies, including content </w:t>
      </w:r>
      <w:r w:rsidR="00AE5F59">
        <w:rPr>
          <w:rFonts w:ascii="Times New Roman" w:eastAsia="Times New Roman" w:hAnsi="Times New Roman" w:cs="Times New Roman"/>
          <w:color w:val="000000" w:themeColor="text1"/>
        </w:rPr>
        <w:t>notes</w:t>
      </w:r>
      <w:r w:rsidRPr="00FB6769">
        <w:rPr>
          <w:rFonts w:ascii="Times New Roman" w:eastAsia="Times New Roman" w:hAnsi="Times New Roman" w:cs="Times New Roman"/>
          <w:color w:val="000000" w:themeColor="text1"/>
        </w:rPr>
        <w:t xml:space="preserve"> on readings, or setting ground</w:t>
      </w:r>
      <w:r w:rsidR="008E09F6" w:rsidRPr="00FB6769">
        <w:rPr>
          <w:rFonts w:ascii="Times New Roman" w:eastAsia="Times New Roman" w:hAnsi="Times New Roman" w:cs="Times New Roman"/>
          <w:color w:val="000000" w:themeColor="text1"/>
        </w:rPr>
        <w:t xml:space="preserve"> </w:t>
      </w:r>
      <w:r w:rsidRPr="00FB6769">
        <w:rPr>
          <w:rFonts w:ascii="Times New Roman" w:eastAsia="Times New Roman" w:hAnsi="Times New Roman" w:cs="Times New Roman"/>
          <w:color w:val="000000" w:themeColor="text1"/>
        </w:rPr>
        <w:t>rules for respectful discussion</w:t>
      </w:r>
      <w:r w:rsidR="00C64319" w:rsidRPr="00FB676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though it certainly includes all these things. It </w:t>
      </w:r>
      <w:r w:rsidR="00CA0A77">
        <w:rPr>
          <w:rFonts w:ascii="Times New Roman" w:eastAsia="Times New Roman" w:hAnsi="Times New Roman" w:cs="Times New Roman"/>
          <w:color w:val="000000" w:themeColor="text1"/>
        </w:rPr>
        <w:t xml:space="preserve">also </w:t>
      </w:r>
      <w:r w:rsidRPr="00FB6769">
        <w:rPr>
          <w:rFonts w:ascii="Times New Roman" w:eastAsia="Times New Roman" w:hAnsi="Times New Roman" w:cs="Times New Roman"/>
          <w:color w:val="000000" w:themeColor="text1"/>
        </w:rPr>
        <w:t xml:space="preserve">means seeing </w:t>
      </w:r>
      <w:r w:rsidR="003B6CEC" w:rsidRPr="00FB6769">
        <w:rPr>
          <w:rFonts w:ascii="Times New Roman" w:eastAsia="Times New Roman" w:hAnsi="Times New Roman" w:cs="Times New Roman"/>
          <w:color w:val="000000" w:themeColor="text1"/>
        </w:rPr>
        <w:t>students’</w:t>
      </w:r>
      <w:r w:rsidRPr="00FB6769">
        <w:rPr>
          <w:rFonts w:ascii="Times New Roman" w:eastAsia="Times New Roman" w:hAnsi="Times New Roman" w:cs="Times New Roman"/>
          <w:color w:val="000000" w:themeColor="text1"/>
        </w:rPr>
        <w:t xml:space="preserve"> learning as dependent on a wellbeing shaped by their environment, both</w:t>
      </w:r>
      <w:r w:rsidR="003B6CEC" w:rsidRPr="00FB6769">
        <w:rPr>
          <w:rFonts w:ascii="Times New Roman" w:eastAsia="Times New Roman" w:hAnsi="Times New Roman" w:cs="Times New Roman"/>
          <w:color w:val="000000" w:themeColor="text1"/>
        </w:rPr>
        <w:t xml:space="preserve"> within the</w:t>
      </w:r>
      <w:r w:rsidRPr="00FB6769">
        <w:rPr>
          <w:rFonts w:ascii="Times New Roman" w:eastAsia="Times New Roman" w:hAnsi="Times New Roman" w:cs="Times New Roman"/>
          <w:color w:val="000000" w:themeColor="text1"/>
        </w:rPr>
        <w:t xml:space="preserve"> university and </w:t>
      </w:r>
      <w:r w:rsidR="003B6CEC" w:rsidRPr="00FB6769">
        <w:rPr>
          <w:rFonts w:ascii="Times New Roman" w:eastAsia="Times New Roman" w:hAnsi="Times New Roman" w:cs="Times New Roman"/>
          <w:color w:val="000000" w:themeColor="text1"/>
        </w:rPr>
        <w:t>beyond</w:t>
      </w:r>
      <w:r w:rsidR="000E3278" w:rsidRPr="00FB6769">
        <w:rPr>
          <w:rFonts w:ascii="Times New Roman" w:eastAsia="Times New Roman" w:hAnsi="Times New Roman" w:cs="Times New Roman"/>
          <w:color w:val="000000" w:themeColor="text1"/>
        </w:rPr>
        <w:t xml:space="preserve"> it</w:t>
      </w:r>
      <w:r w:rsidRPr="00FB6769">
        <w:rPr>
          <w:rFonts w:ascii="Times New Roman" w:eastAsia="Times New Roman" w:hAnsi="Times New Roman" w:cs="Times New Roman"/>
          <w:color w:val="000000" w:themeColor="text1"/>
        </w:rPr>
        <w:t>.</w:t>
      </w:r>
      <w:r w:rsidR="00B046CA" w:rsidRPr="00FB6769">
        <w:rPr>
          <w:rFonts w:ascii="Times New Roman" w:eastAsia="Times New Roman" w:hAnsi="Times New Roman" w:cs="Times New Roman"/>
          <w:color w:val="000000" w:themeColor="text1"/>
        </w:rPr>
        <w:t xml:space="preserve"> A</w:t>
      </w:r>
      <w:r w:rsidRPr="00FB6769">
        <w:rPr>
          <w:rFonts w:ascii="Times New Roman" w:eastAsia="Times New Roman" w:hAnsi="Times New Roman" w:cs="Times New Roman"/>
          <w:color w:val="000000" w:themeColor="text1"/>
        </w:rPr>
        <w:t>ccess is often what’s at stake</w:t>
      </w:r>
      <w:r w:rsidR="008E09F6" w:rsidRPr="00FB6769">
        <w:rPr>
          <w:rFonts w:ascii="Times New Roman" w:eastAsia="Times New Roman" w:hAnsi="Times New Roman" w:cs="Times New Roman"/>
          <w:color w:val="000000" w:themeColor="text1"/>
        </w:rPr>
        <w:t xml:space="preserve"> in these considerations</w:t>
      </w:r>
      <w:r w:rsidR="00E37FE9">
        <w:rPr>
          <w:rFonts w:ascii="Times New Roman" w:eastAsia="Times New Roman" w:hAnsi="Times New Roman" w:cs="Times New Roman"/>
          <w:color w:val="000000" w:themeColor="text1"/>
        </w:rPr>
        <w:t>.</w:t>
      </w:r>
      <w:r w:rsidRPr="00FB6769">
        <w:rPr>
          <w:rFonts w:ascii="Times New Roman" w:eastAsia="Times New Roman" w:hAnsi="Times New Roman" w:cs="Times New Roman"/>
          <w:color w:val="000000" w:themeColor="text1"/>
        </w:rPr>
        <w:t xml:space="preserve"> </w:t>
      </w:r>
      <w:r w:rsidR="00E37FE9">
        <w:rPr>
          <w:rFonts w:ascii="Times New Roman" w:eastAsia="Times New Roman" w:hAnsi="Times New Roman" w:cs="Times New Roman"/>
          <w:color w:val="000000" w:themeColor="text1"/>
        </w:rPr>
        <w:t>M</w:t>
      </w:r>
      <w:r w:rsidRPr="00FB6769">
        <w:rPr>
          <w:rFonts w:ascii="Times New Roman" w:eastAsia="Times New Roman" w:hAnsi="Times New Roman" w:cs="Times New Roman"/>
          <w:color w:val="000000" w:themeColor="text1"/>
        </w:rPr>
        <w:t>arginalized</w:t>
      </w:r>
      <w:r w:rsidR="00741B5C" w:rsidRPr="00FB6769">
        <w:rPr>
          <w:rFonts w:ascii="Times New Roman" w:eastAsia="Times New Roman" w:hAnsi="Times New Roman" w:cs="Times New Roman"/>
          <w:color w:val="000000" w:themeColor="text1"/>
        </w:rPr>
        <w:t xml:space="preserve"> students</w:t>
      </w:r>
      <w:r w:rsidRPr="00FB6769">
        <w:rPr>
          <w:rFonts w:ascii="Times New Roman" w:eastAsia="Times New Roman" w:hAnsi="Times New Roman" w:cs="Times New Roman"/>
          <w:color w:val="000000" w:themeColor="text1"/>
        </w:rPr>
        <w:t xml:space="preserve"> </w:t>
      </w:r>
      <w:r w:rsidR="000E3278" w:rsidRPr="00FB6769">
        <w:rPr>
          <w:rFonts w:ascii="Times New Roman" w:eastAsia="Times New Roman" w:hAnsi="Times New Roman" w:cs="Times New Roman"/>
          <w:color w:val="000000" w:themeColor="text1"/>
        </w:rPr>
        <w:t xml:space="preserve">face </w:t>
      </w:r>
      <w:r w:rsidR="00611A85" w:rsidRPr="00FB6769">
        <w:rPr>
          <w:rFonts w:ascii="Times New Roman" w:eastAsia="Times New Roman" w:hAnsi="Times New Roman" w:cs="Times New Roman"/>
          <w:color w:val="000000" w:themeColor="text1"/>
        </w:rPr>
        <w:lastRenderedPageBreak/>
        <w:t>unique</w:t>
      </w:r>
      <w:r w:rsidR="000E3278" w:rsidRPr="00FB6769">
        <w:rPr>
          <w:rFonts w:ascii="Times New Roman" w:eastAsia="Times New Roman" w:hAnsi="Times New Roman" w:cs="Times New Roman"/>
          <w:color w:val="000000" w:themeColor="text1"/>
        </w:rPr>
        <w:t xml:space="preserve"> challenges to their wellbeing on c</w:t>
      </w:r>
      <w:r w:rsidR="00611A85" w:rsidRPr="00FB6769">
        <w:rPr>
          <w:rFonts w:ascii="Times New Roman" w:eastAsia="Times New Roman" w:hAnsi="Times New Roman" w:cs="Times New Roman"/>
          <w:color w:val="000000" w:themeColor="text1"/>
        </w:rPr>
        <w:t xml:space="preserve">ampuses that were not, in many cases, designed with </w:t>
      </w:r>
      <w:r w:rsidR="00F20B97" w:rsidRPr="00FB6769">
        <w:rPr>
          <w:rFonts w:ascii="Times New Roman" w:eastAsia="Times New Roman" w:hAnsi="Times New Roman" w:cs="Times New Roman"/>
          <w:color w:val="000000" w:themeColor="text1"/>
        </w:rPr>
        <w:t>them</w:t>
      </w:r>
      <w:r w:rsidR="00611A85" w:rsidRPr="00FB6769">
        <w:rPr>
          <w:rFonts w:ascii="Times New Roman" w:eastAsia="Times New Roman" w:hAnsi="Times New Roman" w:cs="Times New Roman"/>
          <w:color w:val="000000" w:themeColor="text1"/>
        </w:rPr>
        <w:t xml:space="preserve"> in mind</w:t>
      </w:r>
      <w:r w:rsidR="00C85272" w:rsidRPr="00FB6769">
        <w:rPr>
          <w:rFonts w:ascii="Times New Roman" w:eastAsia="Times New Roman" w:hAnsi="Times New Roman" w:cs="Times New Roman"/>
          <w:color w:val="000000" w:themeColor="text1"/>
        </w:rPr>
        <w:t>—</w:t>
      </w:r>
      <w:r w:rsidR="00C64319" w:rsidRPr="00FB6769">
        <w:rPr>
          <w:rFonts w:ascii="Times New Roman" w:eastAsia="Times New Roman" w:hAnsi="Times New Roman" w:cs="Times New Roman"/>
          <w:color w:val="000000" w:themeColor="text1"/>
        </w:rPr>
        <w:t>and</w:t>
      </w:r>
      <w:r w:rsidR="00C85272" w:rsidRPr="00FB6769">
        <w:rPr>
          <w:rFonts w:ascii="Times New Roman" w:eastAsia="Times New Roman" w:hAnsi="Times New Roman" w:cs="Times New Roman"/>
          <w:color w:val="000000" w:themeColor="text1"/>
        </w:rPr>
        <w:t xml:space="preserve"> that</w:t>
      </w:r>
      <w:r w:rsidR="00C64319" w:rsidRPr="00FB6769">
        <w:rPr>
          <w:rFonts w:ascii="Times New Roman" w:eastAsia="Times New Roman" w:hAnsi="Times New Roman" w:cs="Times New Roman"/>
          <w:color w:val="000000" w:themeColor="text1"/>
        </w:rPr>
        <w:t xml:space="preserve"> in some cases may originally have been designed to </w:t>
      </w:r>
      <w:r w:rsidR="00CA0A77">
        <w:rPr>
          <w:rFonts w:ascii="Times New Roman" w:eastAsia="Times New Roman" w:hAnsi="Times New Roman" w:cs="Times New Roman"/>
          <w:color w:val="000000" w:themeColor="text1"/>
        </w:rPr>
        <w:t xml:space="preserve">specifically </w:t>
      </w:r>
      <w:r w:rsidR="00C64319" w:rsidRPr="00FB6769">
        <w:rPr>
          <w:rFonts w:ascii="Times New Roman" w:eastAsia="Times New Roman" w:hAnsi="Times New Roman" w:cs="Times New Roman"/>
          <w:color w:val="000000" w:themeColor="text1"/>
        </w:rPr>
        <w:t>exclude them</w:t>
      </w:r>
      <w:r w:rsidR="00611A85" w:rsidRPr="00FB6769">
        <w:rPr>
          <w:rFonts w:ascii="Times New Roman" w:eastAsia="Times New Roman" w:hAnsi="Times New Roman" w:cs="Times New Roman"/>
          <w:color w:val="000000" w:themeColor="text1"/>
        </w:rPr>
        <w:t>.</w:t>
      </w:r>
    </w:p>
    <w:p w14:paraId="434F796E" w14:textId="77770082" w:rsidR="00630A71" w:rsidRPr="00FB6769" w:rsidRDefault="00BB5CCC" w:rsidP="00630A71">
      <w:pPr>
        <w:spacing w:line="480" w:lineRule="auto"/>
        <w:rPr>
          <w:rFonts w:ascii="Times New Roman" w:eastAsia="Times New Roman" w:hAnsi="Times New Roman" w:cs="Times New Roman"/>
          <w:color w:val="000000" w:themeColor="text1"/>
        </w:rPr>
      </w:pPr>
      <w:r w:rsidRPr="00FB6769">
        <w:rPr>
          <w:rFonts w:ascii="Times New Roman" w:eastAsia="Times New Roman" w:hAnsi="Times New Roman" w:cs="Times New Roman"/>
          <w:color w:val="000000" w:themeColor="text1"/>
        </w:rPr>
        <w:tab/>
        <w:t xml:space="preserve">Accordingly, </w:t>
      </w:r>
      <w:r w:rsidR="00D7053E" w:rsidRPr="00FB6769">
        <w:rPr>
          <w:rFonts w:ascii="Times New Roman" w:eastAsia="Times New Roman" w:hAnsi="Times New Roman" w:cs="Times New Roman"/>
          <w:color w:val="000000" w:themeColor="text1"/>
        </w:rPr>
        <w:t xml:space="preserve">the </w:t>
      </w:r>
      <w:r w:rsidR="000E3278" w:rsidRPr="00FB6769">
        <w:rPr>
          <w:rFonts w:ascii="Times New Roman" w:eastAsia="Times New Roman" w:hAnsi="Times New Roman" w:cs="Times New Roman"/>
          <w:color w:val="000000" w:themeColor="text1"/>
        </w:rPr>
        <w:t>relationship</w:t>
      </w:r>
      <w:r w:rsidRPr="00FB6769">
        <w:rPr>
          <w:rFonts w:ascii="Times New Roman" w:eastAsia="Times New Roman" w:hAnsi="Times New Roman" w:cs="Times New Roman"/>
          <w:color w:val="000000" w:themeColor="text1"/>
        </w:rPr>
        <w:t xml:space="preserve"> </w:t>
      </w:r>
      <w:r w:rsidR="000E3278" w:rsidRPr="00FB6769">
        <w:rPr>
          <w:rFonts w:ascii="Times New Roman" w:eastAsia="Times New Roman" w:hAnsi="Times New Roman" w:cs="Times New Roman"/>
          <w:color w:val="000000" w:themeColor="text1"/>
        </w:rPr>
        <w:t>between</w:t>
      </w:r>
      <w:r w:rsidRPr="00FB6769">
        <w:rPr>
          <w:rFonts w:ascii="Times New Roman" w:eastAsia="Times New Roman" w:hAnsi="Times New Roman" w:cs="Times New Roman"/>
          <w:color w:val="000000" w:themeColor="text1"/>
        </w:rPr>
        <w:t xml:space="preserve"> wellbeing </w:t>
      </w:r>
      <w:r w:rsidR="000E3278" w:rsidRPr="00FB6769">
        <w:rPr>
          <w:rFonts w:ascii="Times New Roman" w:eastAsia="Times New Roman" w:hAnsi="Times New Roman" w:cs="Times New Roman"/>
          <w:color w:val="000000" w:themeColor="text1"/>
        </w:rPr>
        <w:t>and</w:t>
      </w:r>
      <w:r w:rsidRPr="00FB6769">
        <w:rPr>
          <w:rFonts w:ascii="Times New Roman" w:eastAsia="Times New Roman" w:hAnsi="Times New Roman" w:cs="Times New Roman"/>
          <w:color w:val="000000" w:themeColor="text1"/>
        </w:rPr>
        <w:t xml:space="preserve"> pedagogy means more than what happens </w:t>
      </w:r>
      <w:r w:rsidR="00DE7518" w:rsidRPr="00FB6769">
        <w:rPr>
          <w:rFonts w:ascii="Times New Roman" w:eastAsia="Times New Roman" w:hAnsi="Times New Roman" w:cs="Times New Roman"/>
          <w:color w:val="000000" w:themeColor="text1"/>
        </w:rPr>
        <w:t>during class</w:t>
      </w:r>
      <w:r w:rsidRPr="00FB6769">
        <w:rPr>
          <w:rFonts w:ascii="Times New Roman" w:eastAsia="Times New Roman" w:hAnsi="Times New Roman" w:cs="Times New Roman"/>
          <w:color w:val="000000" w:themeColor="text1"/>
        </w:rPr>
        <w:t xml:space="preserve">. </w:t>
      </w:r>
      <w:r w:rsidR="008778A8" w:rsidRPr="00FB6769">
        <w:rPr>
          <w:rFonts w:ascii="Times New Roman" w:eastAsia="Times New Roman" w:hAnsi="Times New Roman" w:cs="Times New Roman"/>
          <w:color w:val="000000" w:themeColor="text1"/>
        </w:rPr>
        <w:t>A student’s absence can be the first indication that something is wrong</w:t>
      </w:r>
      <w:r w:rsidR="00C258A7" w:rsidRPr="00FB6769">
        <w:rPr>
          <w:rFonts w:ascii="Times New Roman" w:eastAsia="Times New Roman" w:hAnsi="Times New Roman" w:cs="Times New Roman"/>
          <w:color w:val="000000" w:themeColor="text1"/>
        </w:rPr>
        <w:t>. I</w:t>
      </w:r>
      <w:r w:rsidR="008778A8" w:rsidRPr="00FB6769">
        <w:rPr>
          <w:rFonts w:ascii="Times New Roman" w:eastAsia="Times New Roman" w:hAnsi="Times New Roman" w:cs="Times New Roman"/>
          <w:color w:val="000000" w:themeColor="text1"/>
        </w:rPr>
        <w:t>nstructors are often the first to recommend campus counselling, or help a student report a sexual assault</w:t>
      </w:r>
      <w:r w:rsidR="00CA0A77">
        <w:rPr>
          <w:rFonts w:ascii="Times New Roman" w:eastAsia="Times New Roman" w:hAnsi="Times New Roman" w:cs="Times New Roman"/>
          <w:color w:val="000000" w:themeColor="text1"/>
        </w:rPr>
        <w:t>. F</w:t>
      </w:r>
      <w:r w:rsidR="00C258A7" w:rsidRPr="00FB6769">
        <w:rPr>
          <w:rFonts w:ascii="Times New Roman" w:eastAsia="Times New Roman" w:hAnsi="Times New Roman" w:cs="Times New Roman"/>
          <w:color w:val="000000" w:themeColor="text1"/>
        </w:rPr>
        <w:t>irst</w:t>
      </w:r>
      <w:r w:rsidR="00E74307">
        <w:rPr>
          <w:rFonts w:ascii="Times New Roman" w:eastAsia="Times New Roman" w:hAnsi="Times New Roman" w:cs="Times New Roman"/>
          <w:color w:val="000000" w:themeColor="text1"/>
        </w:rPr>
        <w:t>-</w:t>
      </w:r>
      <w:r w:rsidR="00C258A7" w:rsidRPr="00FB6769">
        <w:rPr>
          <w:rFonts w:ascii="Times New Roman" w:eastAsia="Times New Roman" w:hAnsi="Times New Roman" w:cs="Times New Roman"/>
          <w:color w:val="000000" w:themeColor="text1"/>
        </w:rPr>
        <w:t>generation students, as well as students who are immigrants or undocumented, face threats not necessarily visible during class</w:t>
      </w:r>
      <w:r w:rsidR="00CA0A77">
        <w:rPr>
          <w:rFonts w:ascii="Times New Roman" w:eastAsia="Times New Roman" w:hAnsi="Times New Roman" w:cs="Times New Roman"/>
          <w:color w:val="000000" w:themeColor="text1"/>
        </w:rPr>
        <w:t xml:space="preserve"> </w:t>
      </w:r>
      <w:r w:rsidR="00C258A7" w:rsidRPr="00FB6769">
        <w:rPr>
          <w:rFonts w:ascii="Times New Roman" w:eastAsia="Times New Roman" w:hAnsi="Times New Roman" w:cs="Times New Roman"/>
          <w:color w:val="000000" w:themeColor="text1"/>
        </w:rPr>
        <w:t>time.</w:t>
      </w:r>
      <w:r w:rsidR="008778A8" w:rsidRPr="00FB6769">
        <w:rPr>
          <w:rFonts w:ascii="Times New Roman" w:eastAsia="Times New Roman" w:hAnsi="Times New Roman" w:cs="Times New Roman"/>
          <w:color w:val="000000" w:themeColor="text1"/>
        </w:rPr>
        <w:t xml:space="preserve"> </w:t>
      </w:r>
      <w:r w:rsidR="00DE7518" w:rsidRPr="00FB6769">
        <w:rPr>
          <w:rFonts w:ascii="Times New Roman" w:eastAsia="Times New Roman" w:hAnsi="Times New Roman" w:cs="Times New Roman"/>
          <w:color w:val="000000" w:themeColor="text1"/>
        </w:rPr>
        <w:t xml:space="preserve">Several essays in this volume address the question of what pedagogies of wellbeing look like once we step outside the classroom. </w:t>
      </w:r>
      <w:r w:rsidR="00C834D0">
        <w:rPr>
          <w:rFonts w:ascii="Times New Roman" w:eastAsia="Times New Roman" w:hAnsi="Times New Roman" w:cs="Times New Roman"/>
          <w:color w:val="000000" w:themeColor="text1"/>
        </w:rPr>
        <w:t xml:space="preserve">Corey </w:t>
      </w:r>
      <w:proofErr w:type="spellStart"/>
      <w:r w:rsidR="00C834D0">
        <w:rPr>
          <w:rFonts w:ascii="Times New Roman" w:eastAsia="Times New Roman" w:hAnsi="Times New Roman" w:cs="Times New Roman"/>
          <w:color w:val="000000" w:themeColor="text1"/>
        </w:rPr>
        <w:t>Goergen</w:t>
      </w:r>
      <w:proofErr w:type="spellEnd"/>
      <w:r w:rsidRPr="00FB6769">
        <w:rPr>
          <w:rFonts w:ascii="Times New Roman" w:eastAsia="Times New Roman" w:hAnsi="Times New Roman" w:cs="Times New Roman"/>
          <w:color w:val="000000" w:themeColor="text1"/>
        </w:rPr>
        <w:t xml:space="preserve"> asks students in his Romanticism courses to map barriers to accessibility on their campuses, while </w:t>
      </w:r>
      <w:r w:rsidR="00362E4D">
        <w:rPr>
          <w:rFonts w:ascii="Times New Roman" w:eastAsia="Times New Roman" w:hAnsi="Times New Roman" w:cs="Times New Roman"/>
          <w:color w:val="000000" w:themeColor="text1"/>
        </w:rPr>
        <w:t>Elizabeth Effinger</w:t>
      </w:r>
      <w:r w:rsidRPr="00FB6769">
        <w:rPr>
          <w:rFonts w:ascii="Times New Roman" w:eastAsia="Times New Roman" w:hAnsi="Times New Roman" w:cs="Times New Roman"/>
          <w:color w:val="000000" w:themeColor="text1"/>
        </w:rPr>
        <w:t xml:space="preserve"> teaches Romantic poetry to women inmates, a population whose wellbeing is often overlooked and who some would claim have relinquished their right to pursue </w:t>
      </w:r>
      <w:r w:rsidRPr="00CA0A77">
        <w:rPr>
          <w:rFonts w:ascii="Times New Roman" w:eastAsia="Times New Roman" w:hAnsi="Times New Roman" w:cs="Times New Roman"/>
          <w:color w:val="000000" w:themeColor="text1"/>
        </w:rPr>
        <w:t>it</w:t>
      </w:r>
      <w:r w:rsidR="00A11B5D" w:rsidRPr="00E74307">
        <w:rPr>
          <w:rFonts w:ascii="Times New Roman" w:eastAsia="Times New Roman" w:hAnsi="Times New Roman" w:cs="Times New Roman"/>
          <w:color w:val="000000" w:themeColor="text1"/>
        </w:rPr>
        <w:t>.</w:t>
      </w:r>
      <w:r w:rsidR="0079265C" w:rsidRPr="00E74307">
        <w:rPr>
          <w:rFonts w:ascii="Times New Roman" w:eastAsia="Times New Roman" w:hAnsi="Times New Roman" w:cs="Times New Roman"/>
          <w:color w:val="000000" w:themeColor="text1"/>
        </w:rPr>
        <w:t xml:space="preserve"> </w:t>
      </w:r>
      <w:r w:rsidR="00C834D0" w:rsidRPr="00E74307">
        <w:rPr>
          <w:rFonts w:ascii="Times New Roman" w:hAnsi="Times New Roman" w:cs="Times New Roman"/>
        </w:rPr>
        <w:t xml:space="preserve">Emily B. Stanback and </w:t>
      </w:r>
      <w:r w:rsidR="00221F32" w:rsidRPr="00E74307">
        <w:rPr>
          <w:rFonts w:ascii="Times New Roman" w:hAnsi="Times New Roman" w:cs="Times New Roman"/>
        </w:rPr>
        <w:t xml:space="preserve">Ashley </w:t>
      </w:r>
      <w:r w:rsidR="00CA0A77" w:rsidRPr="00CA0A77">
        <w:rPr>
          <w:rFonts w:ascii="Times New Roman" w:hAnsi="Times New Roman" w:cs="Times New Roman"/>
        </w:rPr>
        <w:t>Hobson</w:t>
      </w:r>
      <w:r w:rsidR="00CA0A77" w:rsidRPr="00FB6769">
        <w:rPr>
          <w:rFonts w:ascii="Times New Roman" w:hAnsi="Times New Roman" w:cs="Times New Roman"/>
        </w:rPr>
        <w:t xml:space="preserve"> </w:t>
      </w:r>
      <w:r w:rsidR="00A11B5D" w:rsidRPr="00FB6769">
        <w:rPr>
          <w:rFonts w:ascii="Times New Roman" w:hAnsi="Times New Roman" w:cs="Times New Roman"/>
        </w:rPr>
        <w:t xml:space="preserve">think about how texts like </w:t>
      </w:r>
      <w:r w:rsidR="00A11B5D" w:rsidRPr="00FB6769">
        <w:rPr>
          <w:rFonts w:ascii="Times New Roman" w:hAnsi="Times New Roman" w:cs="Times New Roman"/>
          <w:i/>
          <w:iCs/>
        </w:rPr>
        <w:t>Frankenstein</w:t>
      </w:r>
      <w:r w:rsidR="00A11B5D" w:rsidRPr="00FB6769">
        <w:rPr>
          <w:rFonts w:ascii="Times New Roman" w:hAnsi="Times New Roman" w:cs="Times New Roman"/>
        </w:rPr>
        <w:t xml:space="preserve"> invite students to confront normative assumptions about disability and race, a </w:t>
      </w:r>
      <w:proofErr w:type="gramStart"/>
      <w:r w:rsidR="00A11B5D" w:rsidRPr="00FB6769">
        <w:rPr>
          <w:rFonts w:ascii="Times New Roman" w:hAnsi="Times New Roman" w:cs="Times New Roman"/>
        </w:rPr>
        <w:t>sometimes uncomfortable</w:t>
      </w:r>
      <w:proofErr w:type="gramEnd"/>
      <w:r w:rsidR="00A11B5D" w:rsidRPr="00FB6769">
        <w:rPr>
          <w:rFonts w:ascii="Times New Roman" w:hAnsi="Times New Roman" w:cs="Times New Roman"/>
        </w:rPr>
        <w:t xml:space="preserve"> process in which they may realize the basis of their own exclusion, but also ways in which they have been complicit in excluding others. </w:t>
      </w:r>
      <w:r w:rsidRPr="00FB6769">
        <w:rPr>
          <w:rFonts w:ascii="Times New Roman" w:eastAsia="Times New Roman" w:hAnsi="Times New Roman" w:cs="Times New Roman"/>
          <w:color w:val="000000" w:themeColor="text1"/>
        </w:rPr>
        <w:t xml:space="preserve">These essays demonstrate how </w:t>
      </w:r>
      <w:r w:rsidR="00C64319" w:rsidRPr="00FB6769">
        <w:rPr>
          <w:rFonts w:ascii="Times New Roman" w:eastAsia="Times New Roman" w:hAnsi="Times New Roman" w:cs="Times New Roman"/>
          <w:color w:val="000000" w:themeColor="text1"/>
        </w:rPr>
        <w:t xml:space="preserve">limiting </w:t>
      </w:r>
      <w:r w:rsidRPr="00FB6769">
        <w:rPr>
          <w:rFonts w:ascii="Times New Roman" w:eastAsia="Times New Roman" w:hAnsi="Times New Roman" w:cs="Times New Roman"/>
          <w:color w:val="000000" w:themeColor="text1"/>
        </w:rPr>
        <w:t xml:space="preserve">pedagogical questions of wellbeing to the strict space of the </w:t>
      </w:r>
      <w:proofErr w:type="gramStart"/>
      <w:r w:rsidRPr="00FB6769">
        <w:rPr>
          <w:rFonts w:ascii="Times New Roman" w:eastAsia="Times New Roman" w:hAnsi="Times New Roman" w:cs="Times New Roman"/>
          <w:color w:val="000000" w:themeColor="text1"/>
        </w:rPr>
        <w:t>classroom, or</w:t>
      </w:r>
      <w:proofErr w:type="gramEnd"/>
      <w:r w:rsidRPr="00FB6769">
        <w:rPr>
          <w:rFonts w:ascii="Times New Roman" w:eastAsia="Times New Roman" w:hAnsi="Times New Roman" w:cs="Times New Roman"/>
          <w:color w:val="000000" w:themeColor="text1"/>
        </w:rPr>
        <w:t xml:space="preserve"> locating their answers in university initiatives focused on wellness, neglects whole dimensions of experience for students and instructors. </w:t>
      </w:r>
    </w:p>
    <w:p w14:paraId="373D12EB" w14:textId="7F45CA9F" w:rsidR="00BB5CCC" w:rsidRPr="00FB6769" w:rsidRDefault="2AA0CE03">
      <w:pPr>
        <w:spacing w:line="480" w:lineRule="auto"/>
        <w:ind w:firstLine="720"/>
        <w:rPr>
          <w:rFonts w:ascii="Times New Roman" w:eastAsia="Times New Roman" w:hAnsi="Times New Roman" w:cs="Times New Roman"/>
          <w:color w:val="000000" w:themeColor="text1"/>
        </w:rPr>
      </w:pPr>
      <w:r w:rsidRPr="2AA0CE03">
        <w:rPr>
          <w:rFonts w:ascii="Times New Roman" w:eastAsia="Times New Roman" w:hAnsi="Times New Roman" w:cs="Times New Roman"/>
          <w:color w:val="000000" w:themeColor="text1"/>
        </w:rPr>
        <w:t xml:space="preserve">At the same time, acknowledging that our obligations to our students extend beyond the classroom </w:t>
      </w:r>
      <w:r w:rsidR="00E74307">
        <w:rPr>
          <w:rFonts w:ascii="Times New Roman" w:eastAsia="Times New Roman" w:hAnsi="Times New Roman" w:cs="Times New Roman"/>
          <w:color w:val="000000" w:themeColor="text1"/>
        </w:rPr>
        <w:t>reminds us</w:t>
      </w:r>
      <w:r w:rsidR="00E74307" w:rsidRPr="2AA0CE03">
        <w:rPr>
          <w:rFonts w:ascii="Times New Roman" w:eastAsia="Times New Roman" w:hAnsi="Times New Roman" w:cs="Times New Roman"/>
          <w:color w:val="000000" w:themeColor="text1"/>
        </w:rPr>
        <w:t xml:space="preserve"> </w:t>
      </w:r>
      <w:r w:rsidRPr="2AA0CE03">
        <w:rPr>
          <w:rFonts w:ascii="Times New Roman" w:eastAsia="Times New Roman" w:hAnsi="Times New Roman" w:cs="Times New Roman"/>
          <w:color w:val="000000" w:themeColor="text1"/>
        </w:rPr>
        <w:t>how instructor wellbeing is essential to good pedagogy</w:t>
      </w:r>
      <w:r w:rsidR="00E74307">
        <w:rPr>
          <w:rFonts w:ascii="Times New Roman" w:eastAsia="Times New Roman" w:hAnsi="Times New Roman" w:cs="Times New Roman"/>
          <w:color w:val="000000" w:themeColor="text1"/>
        </w:rPr>
        <w:t>. T</w:t>
      </w:r>
      <w:r w:rsidRPr="2AA0CE03">
        <w:rPr>
          <w:rFonts w:ascii="Times New Roman" w:eastAsia="Times New Roman" w:hAnsi="Times New Roman" w:cs="Times New Roman"/>
          <w:color w:val="000000" w:themeColor="text1"/>
        </w:rPr>
        <w:t xml:space="preserve">he problem of </w:t>
      </w:r>
      <w:proofErr w:type="spellStart"/>
      <w:r w:rsidRPr="2AA0CE03">
        <w:rPr>
          <w:rFonts w:ascii="Times New Roman" w:eastAsia="Times New Roman" w:hAnsi="Times New Roman" w:cs="Times New Roman"/>
          <w:color w:val="000000" w:themeColor="text1"/>
        </w:rPr>
        <w:t>adjunctification</w:t>
      </w:r>
      <w:proofErr w:type="spellEnd"/>
      <w:r w:rsidRPr="2AA0CE03">
        <w:rPr>
          <w:rFonts w:ascii="Times New Roman" w:eastAsia="Times New Roman" w:hAnsi="Times New Roman" w:cs="Times New Roman"/>
          <w:color w:val="000000" w:themeColor="text1"/>
        </w:rPr>
        <w:t xml:space="preserve"> is very much a pedagogical problem, too. How do we bear the effects of our students’ trauma and suffering? This question becomes especially fraught for contingent and </w:t>
      </w:r>
      <w:r w:rsidRPr="2AA0CE03">
        <w:rPr>
          <w:rFonts w:ascii="Times New Roman" w:eastAsia="Times New Roman" w:hAnsi="Times New Roman" w:cs="Times New Roman"/>
          <w:color w:val="000000" w:themeColor="text1"/>
        </w:rPr>
        <w:lastRenderedPageBreak/>
        <w:t xml:space="preserve">graduate student instructors. It is also pressing for instructors who are </w:t>
      </w:r>
      <w:proofErr w:type="spellStart"/>
      <w:r w:rsidRPr="2AA0CE03">
        <w:rPr>
          <w:rFonts w:ascii="Times New Roman" w:eastAsia="Times New Roman" w:hAnsi="Times New Roman" w:cs="Times New Roman"/>
          <w:color w:val="000000" w:themeColor="text1"/>
        </w:rPr>
        <w:t>BIPoC</w:t>
      </w:r>
      <w:proofErr w:type="spellEnd"/>
      <w:r w:rsidRPr="2AA0CE03">
        <w:rPr>
          <w:rFonts w:ascii="Times New Roman" w:eastAsia="Times New Roman" w:hAnsi="Times New Roman" w:cs="Times New Roman"/>
          <w:color w:val="000000" w:themeColor="text1"/>
        </w:rPr>
        <w:t>, neurodivergent, queer, trans, religious minorities, or part of other regionally, nationally, and academically marginalized groups. These instructors are often expected to take on extra emotional labor in mentoring marginalized students as they move through institutions fraught with systemic racism, ableism, homophobia, classism, and transphobia—all while navigating these same spaces themselves. In this volume, Travis Chi Wing Lau’s essay takes up some of these issues, meditating on what it means to teach disability as a disabled instructor whose pedagogical goals include helping his students advocate for themselves. Similarly, Jason S. Farr’s concept of “improvisational accessibility” shows how pedagogies of flexibility, creativity, and responsiveness can promote instructor and student wellbeing beyond institutional constraints.</w:t>
      </w:r>
    </w:p>
    <w:p w14:paraId="78AC2360" w14:textId="46D87B14" w:rsidR="00BB5CCC" w:rsidRDefault="5686E792" w:rsidP="000A621A">
      <w:pPr>
        <w:spacing w:line="480" w:lineRule="auto"/>
        <w:rPr>
          <w:rFonts w:ascii="Times New Roman" w:eastAsia="Times New Roman" w:hAnsi="Times New Roman" w:cs="Times New Roman"/>
          <w:color w:val="000000" w:themeColor="text1"/>
        </w:rPr>
      </w:pPr>
      <w:r w:rsidRPr="5686E792">
        <w:rPr>
          <w:rFonts w:ascii="Times New Roman" w:eastAsia="Times New Roman" w:hAnsi="Times New Roman" w:cs="Times New Roman"/>
          <w:color w:val="000000" w:themeColor="text1"/>
        </w:rPr>
        <w:t> </w:t>
      </w:r>
      <w:r w:rsidR="00BB5CCC">
        <w:tab/>
      </w:r>
      <w:r w:rsidRPr="5686E792">
        <w:rPr>
          <w:rFonts w:ascii="Times New Roman" w:eastAsia="Times New Roman" w:hAnsi="Times New Roman" w:cs="Times New Roman"/>
          <w:color w:val="000000" w:themeColor="text1"/>
        </w:rPr>
        <w:t xml:space="preserve">As the essays in this volume demonstrate, “wellbeing” is a capacious category. It touches everything that matters to our lives, and everything affects it. This Romantic Circles Pedagogies volume is inspired by the Romantic recognition that all learning, whether it happens in a </w:t>
      </w:r>
      <w:r w:rsidR="00E74307">
        <w:rPr>
          <w:rFonts w:ascii="Times New Roman" w:eastAsia="Times New Roman" w:hAnsi="Times New Roman" w:cs="Times New Roman"/>
          <w:color w:val="000000" w:themeColor="text1"/>
        </w:rPr>
        <w:t>“</w:t>
      </w:r>
      <w:r w:rsidRPr="5686E792">
        <w:rPr>
          <w:rFonts w:ascii="Times New Roman" w:eastAsia="Times New Roman" w:hAnsi="Times New Roman" w:cs="Times New Roman"/>
          <w:color w:val="000000" w:themeColor="text1"/>
        </w:rPr>
        <w:t>vale of Soul-making</w:t>
      </w:r>
      <w:r w:rsidR="00E74307">
        <w:rPr>
          <w:rFonts w:ascii="Times New Roman" w:eastAsia="Times New Roman" w:hAnsi="Times New Roman" w:cs="Times New Roman"/>
          <w:color w:val="000000" w:themeColor="text1"/>
        </w:rPr>
        <w:t>”</w:t>
      </w:r>
      <w:r w:rsidRPr="5686E792">
        <w:rPr>
          <w:rFonts w:ascii="Times New Roman" w:eastAsia="Times New Roman" w:hAnsi="Times New Roman" w:cs="Times New Roman"/>
          <w:color w:val="000000" w:themeColor="text1"/>
        </w:rPr>
        <w:t xml:space="preserve"> or through “spontaneous wisdom breathed by health,” invites us to be in the world differently. It is an urgent invitation. We are currently facing a transformation of the humanities—and academia—as we’ve known them. The university looks very different than it did thirty years ago</w:t>
      </w:r>
      <w:r w:rsidR="00E74307">
        <w:rPr>
          <w:rFonts w:ascii="Times New Roman" w:eastAsia="Times New Roman" w:hAnsi="Times New Roman" w:cs="Times New Roman"/>
          <w:color w:val="000000" w:themeColor="text1"/>
        </w:rPr>
        <w:t>. T</w:t>
      </w:r>
      <w:r w:rsidRPr="5686E792">
        <w:rPr>
          <w:rFonts w:ascii="Times New Roman" w:eastAsia="Times New Roman" w:hAnsi="Times New Roman" w:cs="Times New Roman"/>
          <w:color w:val="000000" w:themeColor="text1"/>
        </w:rPr>
        <w:t xml:space="preserve">he COVID-19 pandemic will alter it even further in ways that are difficult to predict. So too, the ways we teach and conduct research have changed, and will continue changing. </w:t>
      </w:r>
      <w:r w:rsidR="002C40EF">
        <w:rPr>
          <w:rFonts w:ascii="Times New Roman" w:eastAsia="Times New Roman" w:hAnsi="Times New Roman" w:cs="Times New Roman"/>
          <w:color w:val="000000" w:themeColor="text1"/>
        </w:rPr>
        <w:t xml:space="preserve">In Twitter threads and articles in major news outlets, scholars are </w:t>
      </w:r>
      <w:r w:rsidRPr="5686E792">
        <w:rPr>
          <w:rFonts w:ascii="Times New Roman" w:eastAsia="Times New Roman" w:hAnsi="Times New Roman" w:cs="Times New Roman"/>
          <w:color w:val="000000" w:themeColor="text1"/>
        </w:rPr>
        <w:t xml:space="preserve">protesting the </w:t>
      </w:r>
      <w:r w:rsidR="00F25A82">
        <w:rPr>
          <w:rFonts w:ascii="Times New Roman" w:eastAsia="Times New Roman" w:hAnsi="Times New Roman" w:cs="Times New Roman"/>
          <w:color w:val="000000" w:themeColor="text1"/>
        </w:rPr>
        <w:t>commodification</w:t>
      </w:r>
      <w:r w:rsidRPr="5686E792">
        <w:rPr>
          <w:rFonts w:ascii="Times New Roman" w:eastAsia="Times New Roman" w:hAnsi="Times New Roman" w:cs="Times New Roman"/>
          <w:color w:val="000000" w:themeColor="text1"/>
        </w:rPr>
        <w:t xml:space="preserve"> of </w:t>
      </w:r>
      <w:r w:rsidR="00F25A82">
        <w:rPr>
          <w:rFonts w:ascii="Times New Roman" w:eastAsia="Times New Roman" w:hAnsi="Times New Roman" w:cs="Times New Roman"/>
          <w:color w:val="000000" w:themeColor="text1"/>
        </w:rPr>
        <w:t>higher education</w:t>
      </w:r>
      <w:r w:rsidRPr="5686E792">
        <w:rPr>
          <w:rFonts w:ascii="Times New Roman" w:eastAsia="Times New Roman" w:hAnsi="Times New Roman" w:cs="Times New Roman"/>
          <w:color w:val="000000" w:themeColor="text1"/>
        </w:rPr>
        <w:t xml:space="preserve">, and mourning the generation of young </w:t>
      </w:r>
      <w:r w:rsidR="002C40EF">
        <w:rPr>
          <w:rFonts w:ascii="Times New Roman" w:eastAsia="Times New Roman" w:hAnsi="Times New Roman" w:cs="Times New Roman"/>
          <w:color w:val="000000" w:themeColor="text1"/>
        </w:rPr>
        <w:t>academics</w:t>
      </w:r>
      <w:r w:rsidR="002C40EF" w:rsidRPr="5686E792">
        <w:rPr>
          <w:rFonts w:ascii="Times New Roman" w:eastAsia="Times New Roman" w:hAnsi="Times New Roman" w:cs="Times New Roman"/>
          <w:color w:val="000000" w:themeColor="text1"/>
        </w:rPr>
        <w:t xml:space="preserve"> </w:t>
      </w:r>
      <w:r w:rsidRPr="5686E792">
        <w:rPr>
          <w:rFonts w:ascii="Times New Roman" w:eastAsia="Times New Roman" w:hAnsi="Times New Roman" w:cs="Times New Roman"/>
          <w:color w:val="000000" w:themeColor="text1"/>
        </w:rPr>
        <w:t>who have not been able to secure tenure-track employment</w:t>
      </w:r>
      <w:r w:rsidR="002C40EF">
        <w:rPr>
          <w:rFonts w:ascii="Times New Roman" w:eastAsia="Times New Roman" w:hAnsi="Times New Roman" w:cs="Times New Roman"/>
          <w:color w:val="000000" w:themeColor="text1"/>
        </w:rPr>
        <w:t>. There is now a much broader</w:t>
      </w:r>
      <w:r w:rsidRPr="5686E792">
        <w:rPr>
          <w:rFonts w:ascii="Times New Roman" w:eastAsia="Times New Roman" w:hAnsi="Times New Roman" w:cs="Times New Roman"/>
          <w:color w:val="000000" w:themeColor="text1"/>
        </w:rPr>
        <w:t xml:space="preserve"> </w:t>
      </w:r>
      <w:r w:rsidR="002C40EF">
        <w:rPr>
          <w:rFonts w:ascii="Times New Roman" w:eastAsia="Times New Roman" w:hAnsi="Times New Roman" w:cs="Times New Roman"/>
          <w:color w:val="000000" w:themeColor="text1"/>
        </w:rPr>
        <w:t xml:space="preserve">recognition </w:t>
      </w:r>
      <w:r w:rsidRPr="5686E792">
        <w:rPr>
          <w:rFonts w:ascii="Times New Roman" w:eastAsia="Times New Roman" w:hAnsi="Times New Roman" w:cs="Times New Roman"/>
          <w:color w:val="000000" w:themeColor="text1"/>
        </w:rPr>
        <w:t xml:space="preserve">that scholarship is not the sole province of university professors, and that public humanities work is just as vital as traditional research. The values of the humanities should remind us that </w:t>
      </w:r>
      <w:r w:rsidRPr="5686E792">
        <w:rPr>
          <w:rFonts w:ascii="Times New Roman" w:eastAsia="Times New Roman" w:hAnsi="Times New Roman" w:cs="Times New Roman"/>
          <w:color w:val="000000" w:themeColor="text1"/>
        </w:rPr>
        <w:lastRenderedPageBreak/>
        <w:t xml:space="preserve">publications are not more important than people—both within and beyond the academy. Thinking about the connections between Romanticism, pedagogy, and wellbeing can center the care that we must take of ourselves, our colleagues, and our students. It can also be a way to understand and assert our value as humanists. And perhaps at this time of upheaval, revisiting Romantic approaches to wellbeing can allow us to </w:t>
      </w:r>
      <w:r w:rsidR="00F25A82">
        <w:rPr>
          <w:rFonts w:ascii="Times New Roman" w:eastAsia="Times New Roman" w:hAnsi="Times New Roman" w:cs="Times New Roman"/>
          <w:color w:val="000000" w:themeColor="text1"/>
        </w:rPr>
        <w:t>reimagine</w:t>
      </w:r>
      <w:r w:rsidR="00F25A82" w:rsidRPr="5686E792">
        <w:rPr>
          <w:rFonts w:ascii="Times New Roman" w:eastAsia="Times New Roman" w:hAnsi="Times New Roman" w:cs="Times New Roman"/>
          <w:color w:val="000000" w:themeColor="text1"/>
        </w:rPr>
        <w:t xml:space="preserve"> </w:t>
      </w:r>
      <w:r w:rsidRPr="5686E792">
        <w:rPr>
          <w:rFonts w:ascii="Times New Roman" w:eastAsia="Times New Roman" w:hAnsi="Times New Roman" w:cs="Times New Roman"/>
          <w:color w:val="000000" w:themeColor="text1"/>
        </w:rPr>
        <w:t xml:space="preserve">what kinds of spaces we </w:t>
      </w:r>
      <w:r w:rsidR="002C40EF">
        <w:rPr>
          <w:rFonts w:ascii="Times New Roman" w:eastAsia="Times New Roman" w:hAnsi="Times New Roman" w:cs="Times New Roman"/>
          <w:color w:val="000000" w:themeColor="text1"/>
        </w:rPr>
        <w:t>can</w:t>
      </w:r>
      <w:r w:rsidRPr="5686E792">
        <w:rPr>
          <w:rFonts w:ascii="Times New Roman" w:eastAsia="Times New Roman" w:hAnsi="Times New Roman" w:cs="Times New Roman"/>
          <w:color w:val="000000" w:themeColor="text1"/>
        </w:rPr>
        <w:t xml:space="preserve"> create in our classrooms and universities, in whatever follows this time of uncertainty.</w:t>
      </w:r>
    </w:p>
    <w:p w14:paraId="3C9DE3AE" w14:textId="77777777" w:rsidR="00F25A82" w:rsidRPr="00FB6769" w:rsidRDefault="00F25A82" w:rsidP="000A621A">
      <w:pPr>
        <w:spacing w:line="480" w:lineRule="auto"/>
        <w:rPr>
          <w:rFonts w:ascii="Times New Roman" w:eastAsia="Times New Roman" w:hAnsi="Times New Roman" w:cs="Times New Roman"/>
          <w:color w:val="000000" w:themeColor="text1"/>
        </w:rPr>
      </w:pPr>
    </w:p>
    <w:p w14:paraId="541010CF" w14:textId="0761A826" w:rsidR="0087717C" w:rsidRDefault="0087717C" w:rsidP="0087717C"/>
    <w:p w14:paraId="487C7034" w14:textId="0F96B469" w:rsidR="0087717C" w:rsidRPr="00450135" w:rsidRDefault="0087717C" w:rsidP="0087717C">
      <w:pPr>
        <w:jc w:val="center"/>
        <w:rPr>
          <w:rFonts w:ascii="Times New Roman" w:hAnsi="Times New Roman" w:cs="Times New Roman"/>
        </w:rPr>
      </w:pPr>
      <w:r w:rsidRPr="00450135">
        <w:rPr>
          <w:rFonts w:ascii="Times New Roman" w:hAnsi="Times New Roman" w:cs="Times New Roman"/>
        </w:rPr>
        <w:t>Works Cited</w:t>
      </w:r>
    </w:p>
    <w:p w14:paraId="0DF341C3" w14:textId="77777777" w:rsidR="0087717C" w:rsidRDefault="0087717C" w:rsidP="0087717C"/>
    <w:p w14:paraId="482E9275" w14:textId="116AF6CA" w:rsidR="0087717C" w:rsidRPr="005D7B29" w:rsidRDefault="0087717C" w:rsidP="0087717C">
      <w:pPr>
        <w:rPr>
          <w:rFonts w:ascii="Times New Roman" w:hAnsi="Times New Roman" w:cs="Times New Roman"/>
          <w:color w:val="000000" w:themeColor="text1"/>
        </w:rPr>
      </w:pPr>
      <w:r w:rsidRPr="005D7B29">
        <w:rPr>
          <w:rFonts w:ascii="Times New Roman" w:hAnsi="Times New Roman" w:cs="Times New Roman"/>
          <w:color w:val="000000" w:themeColor="text1"/>
        </w:rPr>
        <w:t>Anderson</w:t>
      </w:r>
      <w:r w:rsidR="005D7B29" w:rsidRPr="005D7B29">
        <w:rPr>
          <w:rFonts w:ascii="Times New Roman" w:hAnsi="Times New Roman" w:cs="Times New Roman"/>
          <w:color w:val="000000" w:themeColor="text1"/>
        </w:rPr>
        <w:t>,</w:t>
      </w:r>
      <w:r w:rsidR="00B250A5">
        <w:rPr>
          <w:rFonts w:ascii="Times New Roman" w:hAnsi="Times New Roman" w:cs="Times New Roman"/>
          <w:color w:val="000000" w:themeColor="text1"/>
        </w:rPr>
        <w:t xml:space="preserve"> David S.</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Wellness Issues for Higher Education</w:t>
      </w:r>
      <w:r w:rsidR="005D7B29" w:rsidRPr="005D7B29">
        <w:rPr>
          <w:rFonts w:ascii="Times New Roman" w:hAnsi="Times New Roman" w:cs="Times New Roman"/>
          <w:i/>
          <w:iCs/>
          <w:color w:val="000000" w:themeColor="text1"/>
        </w:rPr>
        <w:t xml:space="preserve">. </w:t>
      </w:r>
      <w:r w:rsidRPr="005D7B29">
        <w:rPr>
          <w:rFonts w:ascii="Times New Roman" w:hAnsi="Times New Roman" w:cs="Times New Roman"/>
          <w:color w:val="000000" w:themeColor="text1"/>
        </w:rPr>
        <w:t>New York: Routledge, 2015.</w:t>
      </w:r>
    </w:p>
    <w:p w14:paraId="7C882B4B" w14:textId="77777777" w:rsidR="005D7B29" w:rsidRPr="005D7B29" w:rsidRDefault="0087717C" w:rsidP="0087717C">
      <w:pPr>
        <w:rPr>
          <w:rFonts w:ascii="Times New Roman" w:hAnsi="Times New Roman" w:cs="Times New Roman"/>
          <w:i/>
          <w:iCs/>
          <w:color w:val="000000" w:themeColor="text1"/>
        </w:rPr>
      </w:pPr>
      <w:r w:rsidRPr="005D7B29">
        <w:rPr>
          <w:rFonts w:ascii="Times New Roman" w:hAnsi="Times New Roman" w:cs="Times New Roman"/>
          <w:color w:val="000000" w:themeColor="text1"/>
        </w:rPr>
        <w:t>Babington</w:t>
      </w:r>
      <w:r w:rsidR="005D7B29" w:rsidRPr="005D7B29">
        <w:rPr>
          <w:rFonts w:ascii="Times New Roman" w:hAnsi="Times New Roman" w:cs="Times New Roman"/>
          <w:color w:val="000000" w:themeColor="text1"/>
        </w:rPr>
        <w:t>, William,</w:t>
      </w:r>
      <w:r w:rsidRPr="005D7B29">
        <w:rPr>
          <w:rFonts w:ascii="Times New Roman" w:hAnsi="Times New Roman" w:cs="Times New Roman"/>
          <w:color w:val="000000" w:themeColor="text1"/>
        </w:rPr>
        <w:t xml:space="preserve"> and James Curry</w:t>
      </w:r>
      <w:r w:rsidR="005D7B29" w:rsidRPr="005D7B29">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Outlines of a Course of Lectures on the Practice of</w:t>
      </w:r>
    </w:p>
    <w:p w14:paraId="3DB56A52" w14:textId="1325C95F" w:rsidR="0087717C" w:rsidRDefault="0087717C" w:rsidP="005D7B29">
      <w:pPr>
        <w:ind w:left="720"/>
        <w:rPr>
          <w:rFonts w:ascii="Times New Roman" w:hAnsi="Times New Roman" w:cs="Times New Roman"/>
          <w:color w:val="000000" w:themeColor="text1"/>
        </w:rPr>
      </w:pPr>
      <w:r w:rsidRPr="005D7B29">
        <w:rPr>
          <w:rFonts w:ascii="Times New Roman" w:hAnsi="Times New Roman" w:cs="Times New Roman"/>
          <w:i/>
          <w:iCs/>
          <w:color w:val="000000" w:themeColor="text1"/>
        </w:rPr>
        <w:t>Medicine: As Delivered in the Medical School of Guy’s Hospital</w:t>
      </w:r>
      <w:r w:rsidR="005D7B29" w:rsidRPr="005D7B29">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 xml:space="preserve">London: J. </w:t>
      </w:r>
      <w:proofErr w:type="spellStart"/>
      <w:r w:rsidRPr="005D7B29">
        <w:rPr>
          <w:rFonts w:ascii="Times New Roman" w:hAnsi="Times New Roman" w:cs="Times New Roman"/>
          <w:color w:val="000000" w:themeColor="text1"/>
        </w:rPr>
        <w:t>M’Creery</w:t>
      </w:r>
      <w:proofErr w:type="spellEnd"/>
      <w:r w:rsidRPr="005D7B29">
        <w:rPr>
          <w:rFonts w:ascii="Times New Roman" w:hAnsi="Times New Roman" w:cs="Times New Roman"/>
          <w:color w:val="000000" w:themeColor="text1"/>
        </w:rPr>
        <w:t>, 1811</w:t>
      </w:r>
      <w:r w:rsidR="005D7B29" w:rsidRPr="005D7B29">
        <w:rPr>
          <w:rFonts w:ascii="Times New Roman" w:hAnsi="Times New Roman" w:cs="Times New Roman"/>
          <w:color w:val="000000" w:themeColor="text1"/>
        </w:rPr>
        <w:t>.</w:t>
      </w:r>
    </w:p>
    <w:p w14:paraId="2BAAEFE5" w14:textId="6B7295A4" w:rsidR="00113358" w:rsidRPr="00592FF8" w:rsidRDefault="00113358" w:rsidP="002C40EF">
      <w:pPr>
        <w:autoSpaceDE w:val="0"/>
        <w:autoSpaceDN w:val="0"/>
        <w:adjustRightInd w:val="0"/>
        <w:ind w:left="720" w:hanging="720"/>
        <w:rPr>
          <w:rFonts w:ascii="Times New Roman" w:hAnsi="Times New Roman" w:cs="Times New Roman"/>
        </w:rPr>
      </w:pPr>
      <w:r w:rsidRPr="00592FF8">
        <w:rPr>
          <w:rFonts w:ascii="Times New Roman" w:hAnsi="Times New Roman" w:cs="Times New Roman"/>
          <w:i/>
          <w:iCs/>
          <w:color w:val="000000" w:themeColor="text1"/>
        </w:rPr>
        <w:t>Beddoes, Thomas</w:t>
      </w:r>
      <w:r w:rsidRPr="00592FF8">
        <w:rPr>
          <w:rFonts w:ascii="Times New Roman" w:hAnsi="Times New Roman" w:cs="Times New Roman"/>
          <w:color w:val="000000" w:themeColor="text1"/>
        </w:rPr>
        <w:t xml:space="preserve">. </w:t>
      </w:r>
      <w:r w:rsidR="00592FF8" w:rsidRPr="002C40EF">
        <w:rPr>
          <w:rFonts w:ascii="Times New Roman" w:hAnsi="Times New Roman" w:cs="Times New Roman"/>
          <w:i/>
          <w:iCs/>
        </w:rPr>
        <w:t xml:space="preserve">Hygëia: Essays Moral </w:t>
      </w:r>
      <w:proofErr w:type="gramStart"/>
      <w:r w:rsidR="00592FF8" w:rsidRPr="002C40EF">
        <w:rPr>
          <w:rFonts w:ascii="Times New Roman" w:hAnsi="Times New Roman" w:cs="Times New Roman"/>
          <w:i/>
          <w:iCs/>
        </w:rPr>
        <w:t>And</w:t>
      </w:r>
      <w:proofErr w:type="gramEnd"/>
      <w:r w:rsidR="00592FF8" w:rsidRPr="002C40EF">
        <w:rPr>
          <w:rFonts w:ascii="Times New Roman" w:hAnsi="Times New Roman" w:cs="Times New Roman"/>
          <w:i/>
          <w:iCs/>
        </w:rPr>
        <w:t xml:space="preserve"> Medical, on the Causes Affecting the Personal State of Our Middling and Affluent Classes</w:t>
      </w:r>
      <w:r w:rsidR="00592FF8" w:rsidRPr="002C40EF">
        <w:rPr>
          <w:rFonts w:ascii="Times New Roman" w:hAnsi="Times New Roman" w:cs="Times New Roman"/>
        </w:rPr>
        <w:t xml:space="preserve"> (1802–3). Ed. Robert Mitchell.</w:t>
      </w:r>
      <w:r w:rsidR="00592FF8">
        <w:rPr>
          <w:rFonts w:ascii="Times New Roman" w:hAnsi="Times New Roman" w:cs="Times New Roman"/>
        </w:rPr>
        <w:t xml:space="preserve"> </w:t>
      </w:r>
      <w:r w:rsidR="00592FF8" w:rsidRPr="002C40EF">
        <w:rPr>
          <w:rFonts w:ascii="Times New Roman" w:hAnsi="Times New Roman" w:cs="Times New Roman"/>
        </w:rPr>
        <w:t>3 vols. Bristol: Thoemmes Continuum, 2004.</w:t>
      </w:r>
    </w:p>
    <w:p w14:paraId="256C044A" w14:textId="7BB4C91E" w:rsidR="005D7B29" w:rsidRPr="005D7B29" w:rsidRDefault="0087717C" w:rsidP="0087717C">
      <w:pPr>
        <w:rPr>
          <w:rFonts w:ascii="Times New Roman" w:hAnsi="Times New Roman" w:cs="Times New Roman"/>
        </w:rPr>
      </w:pPr>
      <w:proofErr w:type="spellStart"/>
      <w:r w:rsidRPr="005D7B29">
        <w:rPr>
          <w:rFonts w:ascii="Times New Roman" w:hAnsi="Times New Roman" w:cs="Times New Roman"/>
        </w:rPr>
        <w:t>Billington</w:t>
      </w:r>
      <w:proofErr w:type="spellEnd"/>
      <w:r w:rsidRPr="005D7B29">
        <w:rPr>
          <w:rFonts w:ascii="Times New Roman" w:hAnsi="Times New Roman" w:cs="Times New Roman"/>
        </w:rPr>
        <w:t xml:space="preserve">, </w:t>
      </w:r>
      <w:r w:rsidR="002270E0">
        <w:rPr>
          <w:rFonts w:ascii="Times New Roman" w:hAnsi="Times New Roman" w:cs="Times New Roman"/>
        </w:rPr>
        <w:t xml:space="preserve">Josie. </w:t>
      </w:r>
      <w:r w:rsidRPr="005D7B29">
        <w:rPr>
          <w:rFonts w:ascii="Times New Roman" w:hAnsi="Times New Roman" w:cs="Times New Roman"/>
          <w:i/>
          <w:iCs/>
        </w:rPr>
        <w:t>Is Literature Healthy? The Literary Agenda</w:t>
      </w:r>
      <w:r w:rsidR="005D7B29" w:rsidRPr="005D7B29">
        <w:rPr>
          <w:rFonts w:ascii="Times New Roman" w:hAnsi="Times New Roman" w:cs="Times New Roman"/>
          <w:i/>
          <w:iCs/>
        </w:rPr>
        <w:t xml:space="preserve">. </w:t>
      </w:r>
      <w:r w:rsidRPr="005D7B29">
        <w:rPr>
          <w:rFonts w:ascii="Times New Roman" w:hAnsi="Times New Roman" w:cs="Times New Roman"/>
        </w:rPr>
        <w:t>Oxford: Oxford University Press,</w:t>
      </w:r>
    </w:p>
    <w:p w14:paraId="56773A15" w14:textId="77777777" w:rsidR="002270E0" w:rsidRDefault="0087717C" w:rsidP="002270E0">
      <w:pPr>
        <w:ind w:firstLine="720"/>
        <w:rPr>
          <w:rFonts w:ascii="Times New Roman" w:hAnsi="Times New Roman" w:cs="Times New Roman"/>
        </w:rPr>
      </w:pPr>
      <w:r w:rsidRPr="005D7B29">
        <w:rPr>
          <w:rFonts w:ascii="Times New Roman" w:hAnsi="Times New Roman" w:cs="Times New Roman"/>
        </w:rPr>
        <w:t>2016</w:t>
      </w:r>
      <w:r w:rsidR="005D7B29" w:rsidRPr="005D7B29">
        <w:rPr>
          <w:rFonts w:ascii="Times New Roman" w:hAnsi="Times New Roman" w:cs="Times New Roman"/>
        </w:rPr>
        <w:t>.</w:t>
      </w:r>
    </w:p>
    <w:p w14:paraId="7AAF67A9" w14:textId="118D5829" w:rsidR="002270E0" w:rsidRDefault="002270E0" w:rsidP="002270E0">
      <w:pPr>
        <w:rPr>
          <w:rFonts w:ascii="Times New Roman" w:hAnsi="Times New Roman" w:cs="Times New Roman"/>
          <w:color w:val="000000" w:themeColor="text1"/>
        </w:rPr>
      </w:pPr>
      <w:r>
        <w:rPr>
          <w:rFonts w:ascii="Times New Roman" w:hAnsi="Times New Roman" w:cs="Times New Roman"/>
          <w:color w:val="000000" w:themeColor="text1"/>
        </w:rPr>
        <w:t xml:space="preserve">Coleridge, </w:t>
      </w:r>
      <w:r w:rsidR="0087717C" w:rsidRPr="005D7B29">
        <w:rPr>
          <w:rFonts w:ascii="Times New Roman" w:hAnsi="Times New Roman" w:cs="Times New Roman"/>
          <w:color w:val="000000" w:themeColor="text1"/>
        </w:rPr>
        <w:t>Samuel Taylor</w:t>
      </w:r>
      <w:r>
        <w:rPr>
          <w:rFonts w:ascii="Times New Roman" w:hAnsi="Times New Roman" w:cs="Times New Roman"/>
          <w:color w:val="000000" w:themeColor="text1"/>
        </w:rPr>
        <w:t>.</w:t>
      </w:r>
      <w:r w:rsidR="0087717C" w:rsidRPr="005D7B29">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 xml:space="preserve">Collected Letters of Samuel Taylor Coleridge, </w:t>
      </w:r>
      <w:r w:rsidR="0087717C" w:rsidRPr="005D7B29">
        <w:rPr>
          <w:rFonts w:ascii="Times New Roman" w:hAnsi="Times New Roman" w:cs="Times New Roman"/>
          <w:color w:val="000000" w:themeColor="text1"/>
        </w:rPr>
        <w:t xml:space="preserve">vol. 2, </w:t>
      </w:r>
      <w:r w:rsidR="0087717C" w:rsidRPr="005D7B29">
        <w:rPr>
          <w:rFonts w:ascii="Times New Roman" w:hAnsi="Times New Roman" w:cs="Times New Roman"/>
          <w:i/>
          <w:iCs/>
          <w:color w:val="000000" w:themeColor="text1"/>
        </w:rPr>
        <w:t>1801–1806</w:t>
      </w:r>
      <w:r w:rsidR="005074CC">
        <w:rPr>
          <w:rFonts w:ascii="Times New Roman" w:hAnsi="Times New Roman" w:cs="Times New Roman"/>
          <w:color w:val="000000" w:themeColor="text1"/>
        </w:rPr>
        <w:t>. E</w:t>
      </w:r>
      <w:r w:rsidR="0087717C" w:rsidRPr="005D7B29">
        <w:rPr>
          <w:rFonts w:ascii="Times New Roman" w:hAnsi="Times New Roman" w:cs="Times New Roman"/>
          <w:color w:val="000000" w:themeColor="text1"/>
        </w:rPr>
        <w:t>d.</w:t>
      </w:r>
    </w:p>
    <w:p w14:paraId="267E6AEC" w14:textId="3AF8F23A" w:rsidR="0087717C" w:rsidRPr="002270E0" w:rsidRDefault="0087717C" w:rsidP="002270E0">
      <w:pPr>
        <w:ind w:firstLine="720"/>
        <w:rPr>
          <w:rFonts w:ascii="Times New Roman" w:hAnsi="Times New Roman" w:cs="Times New Roman"/>
        </w:rPr>
      </w:pPr>
      <w:r w:rsidRPr="005D7B29">
        <w:rPr>
          <w:rFonts w:ascii="Times New Roman" w:hAnsi="Times New Roman" w:cs="Times New Roman"/>
          <w:color w:val="000000" w:themeColor="text1"/>
        </w:rPr>
        <w:t>Earl Leslie Griggs</w:t>
      </w:r>
      <w:r w:rsidR="002270E0">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Oxford: Clarendon Press, 1956</w:t>
      </w:r>
      <w:r w:rsidR="002270E0">
        <w:rPr>
          <w:rFonts w:ascii="Times New Roman" w:hAnsi="Times New Roman" w:cs="Times New Roman"/>
          <w:color w:val="000000" w:themeColor="text1"/>
        </w:rPr>
        <w:t>.</w:t>
      </w:r>
    </w:p>
    <w:p w14:paraId="587FCF9D" w14:textId="3437866A" w:rsidR="002270E0" w:rsidRDefault="002270E0" w:rsidP="0087717C">
      <w:pPr>
        <w:rPr>
          <w:rFonts w:ascii="Times New Roman" w:hAnsi="Times New Roman" w:cs="Times New Roman"/>
          <w:color w:val="000000" w:themeColor="text1"/>
        </w:rPr>
      </w:pPr>
      <w:r>
        <w:rPr>
          <w:rFonts w:ascii="Times New Roman" w:hAnsi="Times New Roman" w:cs="Times New Roman"/>
          <w:color w:val="000000" w:themeColor="text1"/>
        </w:rPr>
        <w:t xml:space="preserve">Coleridge, </w:t>
      </w:r>
      <w:r w:rsidR="0087717C" w:rsidRPr="005D7B29">
        <w:rPr>
          <w:rFonts w:ascii="Times New Roman" w:hAnsi="Times New Roman" w:cs="Times New Roman"/>
          <w:color w:val="000000" w:themeColor="text1"/>
        </w:rPr>
        <w:t>Samuel Taylor</w:t>
      </w:r>
      <w:r>
        <w:rPr>
          <w:rFonts w:ascii="Times New Roman" w:hAnsi="Times New Roman" w:cs="Times New Roman"/>
          <w:color w:val="000000" w:themeColor="text1"/>
        </w:rPr>
        <w:t>.</w:t>
      </w:r>
      <w:r w:rsidR="0087717C" w:rsidRPr="005D7B29">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 xml:space="preserve">Collected Letters of Samuel Taylor Coleridge, </w:t>
      </w:r>
      <w:r w:rsidR="0087717C" w:rsidRPr="005D7B29">
        <w:rPr>
          <w:rFonts w:ascii="Times New Roman" w:hAnsi="Times New Roman" w:cs="Times New Roman"/>
          <w:color w:val="000000" w:themeColor="text1"/>
        </w:rPr>
        <w:t xml:space="preserve">vol. 5, </w:t>
      </w:r>
      <w:r w:rsidR="0087717C" w:rsidRPr="005D7B29">
        <w:rPr>
          <w:rFonts w:ascii="Times New Roman" w:hAnsi="Times New Roman" w:cs="Times New Roman"/>
          <w:i/>
          <w:iCs/>
          <w:color w:val="000000" w:themeColor="text1"/>
        </w:rPr>
        <w:t>1820–1825</w:t>
      </w:r>
      <w:r w:rsidR="005074CC">
        <w:rPr>
          <w:rFonts w:ascii="Times New Roman" w:hAnsi="Times New Roman" w:cs="Times New Roman"/>
          <w:color w:val="000000" w:themeColor="text1"/>
        </w:rPr>
        <w:t>. E</w:t>
      </w:r>
      <w:r w:rsidR="0087717C" w:rsidRPr="005D7B29">
        <w:rPr>
          <w:rFonts w:ascii="Times New Roman" w:hAnsi="Times New Roman" w:cs="Times New Roman"/>
          <w:color w:val="000000" w:themeColor="text1"/>
        </w:rPr>
        <w:t xml:space="preserve">d. </w:t>
      </w:r>
    </w:p>
    <w:p w14:paraId="5AD8A3FE" w14:textId="2F16AB2B" w:rsidR="0087717C" w:rsidRPr="005D7B29" w:rsidRDefault="0087717C" w:rsidP="002270E0">
      <w:pPr>
        <w:ind w:firstLine="720"/>
        <w:rPr>
          <w:rFonts w:ascii="Times New Roman" w:hAnsi="Times New Roman" w:cs="Times New Roman"/>
        </w:rPr>
      </w:pPr>
      <w:r w:rsidRPr="005D7B29">
        <w:rPr>
          <w:rFonts w:ascii="Times New Roman" w:hAnsi="Times New Roman" w:cs="Times New Roman"/>
          <w:color w:val="000000" w:themeColor="text1"/>
        </w:rPr>
        <w:t>Earl Leslie Griggs</w:t>
      </w:r>
      <w:r w:rsidR="002270E0">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Oxford: Clarendon Press, 1971</w:t>
      </w:r>
      <w:r w:rsidR="002270E0">
        <w:rPr>
          <w:rFonts w:ascii="Times New Roman" w:hAnsi="Times New Roman" w:cs="Times New Roman"/>
          <w:color w:val="000000" w:themeColor="text1"/>
        </w:rPr>
        <w:t>.</w:t>
      </w:r>
    </w:p>
    <w:p w14:paraId="6C73BD85" w14:textId="70251B35" w:rsidR="002270E0" w:rsidRDefault="002270E0" w:rsidP="0087717C">
      <w:pPr>
        <w:rPr>
          <w:rFonts w:ascii="Times New Roman" w:hAnsi="Times New Roman" w:cs="Times New Roman"/>
          <w:color w:val="000000" w:themeColor="text1"/>
        </w:rPr>
      </w:pPr>
      <w:proofErr w:type="spellStart"/>
      <w:r>
        <w:rPr>
          <w:rFonts w:ascii="Times New Roman" w:hAnsi="Times New Roman" w:cs="Times New Roman"/>
          <w:color w:val="000000" w:themeColor="text1"/>
        </w:rPr>
        <w:t>Currid-Halkett</w:t>
      </w:r>
      <w:proofErr w:type="spellEnd"/>
      <w:r>
        <w:rPr>
          <w:rFonts w:ascii="Times New Roman" w:hAnsi="Times New Roman" w:cs="Times New Roman"/>
          <w:color w:val="000000" w:themeColor="text1"/>
        </w:rPr>
        <w:t xml:space="preserve">, </w:t>
      </w:r>
      <w:r w:rsidR="0087717C" w:rsidRPr="005D7B29">
        <w:rPr>
          <w:rFonts w:ascii="Times New Roman" w:hAnsi="Times New Roman" w:cs="Times New Roman"/>
          <w:color w:val="000000" w:themeColor="text1"/>
        </w:rPr>
        <w:t>Elizabeth</w:t>
      </w:r>
      <w:r>
        <w:rPr>
          <w:rFonts w:ascii="Times New Roman" w:hAnsi="Times New Roman" w:cs="Times New Roman"/>
          <w:color w:val="000000" w:themeColor="text1"/>
        </w:rPr>
        <w:t>.</w:t>
      </w:r>
      <w:r w:rsidR="0087717C" w:rsidRPr="005D7B29">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The Sum of Small Things: A Theory of the Aspirational Class</w:t>
      </w:r>
      <w:r>
        <w:rPr>
          <w:rFonts w:ascii="Times New Roman" w:hAnsi="Times New Roman" w:cs="Times New Roman"/>
          <w:color w:val="000000" w:themeColor="text1"/>
        </w:rPr>
        <w:t>.</w:t>
      </w:r>
    </w:p>
    <w:p w14:paraId="44183352" w14:textId="4EE04493" w:rsidR="0087717C" w:rsidRPr="005D7B29" w:rsidRDefault="0087717C" w:rsidP="002270E0">
      <w:pPr>
        <w:ind w:firstLine="720"/>
        <w:rPr>
          <w:rFonts w:ascii="Times New Roman" w:hAnsi="Times New Roman" w:cs="Times New Roman"/>
          <w:color w:val="000000" w:themeColor="text1"/>
        </w:rPr>
      </w:pPr>
      <w:r w:rsidRPr="005D7B29">
        <w:rPr>
          <w:rFonts w:ascii="Times New Roman" w:hAnsi="Times New Roman" w:cs="Times New Roman"/>
          <w:color w:val="000000" w:themeColor="text1"/>
        </w:rPr>
        <w:t>Princeton: Princeton University Press, 2019</w:t>
      </w:r>
      <w:r w:rsidR="002270E0">
        <w:rPr>
          <w:rFonts w:ascii="Times New Roman" w:hAnsi="Times New Roman" w:cs="Times New Roman"/>
          <w:color w:val="000000" w:themeColor="text1"/>
        </w:rPr>
        <w:t>.</w:t>
      </w:r>
    </w:p>
    <w:p w14:paraId="1C0CAD65" w14:textId="77777777" w:rsidR="005074CC" w:rsidRDefault="0087717C" w:rsidP="0087717C">
      <w:pPr>
        <w:rPr>
          <w:rFonts w:ascii="Times New Roman" w:hAnsi="Times New Roman" w:cs="Times New Roman"/>
          <w:i/>
          <w:iCs/>
          <w:color w:val="000000" w:themeColor="text1"/>
        </w:rPr>
      </w:pPr>
      <w:r w:rsidRPr="005D7B29">
        <w:rPr>
          <w:rFonts w:ascii="Times New Roman" w:hAnsi="Times New Roman" w:cs="Times New Roman"/>
          <w:color w:val="000000" w:themeColor="text1"/>
        </w:rPr>
        <w:t>Digby,</w:t>
      </w:r>
      <w:r w:rsidR="002270E0">
        <w:rPr>
          <w:rFonts w:ascii="Times New Roman" w:hAnsi="Times New Roman" w:cs="Times New Roman"/>
          <w:color w:val="000000" w:themeColor="text1"/>
        </w:rPr>
        <w:t xml:space="preserve"> Anne.</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 xml:space="preserve">Making a Medical Living: Doctors and Patients in the English Market for </w:t>
      </w:r>
    </w:p>
    <w:p w14:paraId="6F75A7C7" w14:textId="07E94BC6" w:rsidR="0087717C" w:rsidRPr="005D7B29" w:rsidRDefault="0087717C" w:rsidP="005074CC">
      <w:pPr>
        <w:ind w:firstLine="720"/>
        <w:rPr>
          <w:rFonts w:ascii="Times New Roman" w:hAnsi="Times New Roman" w:cs="Times New Roman"/>
          <w:color w:val="000000" w:themeColor="text1"/>
        </w:rPr>
      </w:pPr>
      <w:r w:rsidRPr="005D7B29">
        <w:rPr>
          <w:rFonts w:ascii="Times New Roman" w:hAnsi="Times New Roman" w:cs="Times New Roman"/>
          <w:i/>
          <w:iCs/>
          <w:color w:val="000000" w:themeColor="text1"/>
        </w:rPr>
        <w:t>Medicine, 1720-1911</w:t>
      </w:r>
      <w:r w:rsidR="002270E0">
        <w:rPr>
          <w:rFonts w:ascii="Times New Roman" w:hAnsi="Times New Roman" w:cs="Times New Roman"/>
          <w:i/>
          <w:iCs/>
          <w:color w:val="000000" w:themeColor="text1"/>
        </w:rPr>
        <w:t xml:space="preserve">. </w:t>
      </w:r>
      <w:r w:rsidRPr="005D7B29">
        <w:rPr>
          <w:rFonts w:ascii="Times New Roman" w:hAnsi="Times New Roman" w:cs="Times New Roman"/>
          <w:color w:val="000000" w:themeColor="text1"/>
        </w:rPr>
        <w:t>Cambridge: Cambridge University Press, 1994</w:t>
      </w:r>
      <w:r w:rsidR="002270E0">
        <w:rPr>
          <w:rFonts w:ascii="Times New Roman" w:hAnsi="Times New Roman" w:cs="Times New Roman"/>
          <w:color w:val="000000" w:themeColor="text1"/>
        </w:rPr>
        <w:t>.</w:t>
      </w:r>
    </w:p>
    <w:p w14:paraId="03B13899" w14:textId="77777777" w:rsidR="005074CC" w:rsidRDefault="0087717C" w:rsidP="0087717C">
      <w:pPr>
        <w:rPr>
          <w:rFonts w:ascii="Times New Roman" w:hAnsi="Times New Roman" w:cs="Times New Roman"/>
        </w:rPr>
      </w:pPr>
      <w:r w:rsidRPr="005D7B29">
        <w:rPr>
          <w:rFonts w:ascii="Times New Roman" w:hAnsi="Times New Roman" w:cs="Times New Roman"/>
        </w:rPr>
        <w:t>Earle</w:t>
      </w:r>
      <w:r w:rsidR="002270E0">
        <w:rPr>
          <w:rFonts w:ascii="Times New Roman" w:hAnsi="Times New Roman" w:cs="Times New Roman"/>
        </w:rPr>
        <w:t>, William.</w:t>
      </w:r>
      <w:r w:rsidRPr="005D7B29">
        <w:rPr>
          <w:rFonts w:ascii="Times New Roman" w:hAnsi="Times New Roman" w:cs="Times New Roman"/>
        </w:rPr>
        <w:t xml:space="preserve"> </w:t>
      </w:r>
      <w:r w:rsidRPr="005D7B29">
        <w:rPr>
          <w:rFonts w:ascii="Times New Roman" w:hAnsi="Times New Roman" w:cs="Times New Roman"/>
          <w:i/>
          <w:iCs/>
        </w:rPr>
        <w:t xml:space="preserve">Obi; </w:t>
      </w:r>
      <w:proofErr w:type="gramStart"/>
      <w:r w:rsidRPr="005D7B29">
        <w:rPr>
          <w:rFonts w:ascii="Times New Roman" w:hAnsi="Times New Roman" w:cs="Times New Roman"/>
          <w:i/>
          <w:iCs/>
        </w:rPr>
        <w:t>or,</w:t>
      </w:r>
      <w:proofErr w:type="gramEnd"/>
      <w:r w:rsidRPr="005D7B29">
        <w:rPr>
          <w:rFonts w:ascii="Times New Roman" w:hAnsi="Times New Roman" w:cs="Times New Roman"/>
          <w:i/>
          <w:iCs/>
        </w:rPr>
        <w:t xml:space="preserve"> the History of Three-Fingered Jack</w:t>
      </w:r>
      <w:r w:rsidR="00C74D6B">
        <w:rPr>
          <w:rFonts w:ascii="Times New Roman" w:hAnsi="Times New Roman" w:cs="Times New Roman"/>
        </w:rPr>
        <w:t xml:space="preserve">. </w:t>
      </w:r>
      <w:r w:rsidR="005074CC">
        <w:rPr>
          <w:rFonts w:ascii="Times New Roman" w:hAnsi="Times New Roman" w:cs="Times New Roman"/>
        </w:rPr>
        <w:t xml:space="preserve">Ed. Srinivas </w:t>
      </w:r>
      <w:proofErr w:type="spellStart"/>
      <w:r w:rsidR="005074CC">
        <w:rPr>
          <w:rFonts w:ascii="Times New Roman" w:hAnsi="Times New Roman" w:cs="Times New Roman"/>
        </w:rPr>
        <w:t>Aravamudan</w:t>
      </w:r>
      <w:proofErr w:type="spellEnd"/>
      <w:r w:rsidR="005074CC">
        <w:rPr>
          <w:rFonts w:ascii="Times New Roman" w:hAnsi="Times New Roman" w:cs="Times New Roman"/>
        </w:rPr>
        <w:t xml:space="preserve">. </w:t>
      </w:r>
    </w:p>
    <w:p w14:paraId="0FB27914" w14:textId="365BB91C" w:rsidR="0087717C" w:rsidRDefault="00C74D6B" w:rsidP="005074CC">
      <w:pPr>
        <w:ind w:firstLine="720"/>
        <w:rPr>
          <w:rFonts w:ascii="Times New Roman" w:hAnsi="Times New Roman" w:cs="Times New Roman"/>
        </w:rPr>
      </w:pPr>
      <w:r>
        <w:rPr>
          <w:rFonts w:ascii="Times New Roman" w:hAnsi="Times New Roman" w:cs="Times New Roman"/>
        </w:rPr>
        <w:t>Peterboro</w:t>
      </w:r>
      <w:r w:rsidR="0059396C">
        <w:rPr>
          <w:rFonts w:ascii="Times New Roman" w:hAnsi="Times New Roman" w:cs="Times New Roman"/>
        </w:rPr>
        <w:t>u</w:t>
      </w:r>
      <w:r>
        <w:rPr>
          <w:rFonts w:ascii="Times New Roman" w:hAnsi="Times New Roman" w:cs="Times New Roman"/>
        </w:rPr>
        <w:t xml:space="preserve">gh: </w:t>
      </w:r>
      <w:r w:rsidR="0087717C" w:rsidRPr="005D7B29">
        <w:rPr>
          <w:rFonts w:ascii="Times New Roman" w:hAnsi="Times New Roman" w:cs="Times New Roman"/>
        </w:rPr>
        <w:t>Broadview, 2005</w:t>
      </w:r>
      <w:r>
        <w:rPr>
          <w:rFonts w:ascii="Times New Roman" w:hAnsi="Times New Roman" w:cs="Times New Roman"/>
        </w:rPr>
        <w:t>.</w:t>
      </w:r>
    </w:p>
    <w:p w14:paraId="5FBE3DAB" w14:textId="77777777" w:rsidR="000B78BB" w:rsidRDefault="000B78BB" w:rsidP="000B78BB">
      <w:pPr>
        <w:rPr>
          <w:rFonts w:ascii="Times New Roman" w:hAnsi="Times New Roman" w:cs="Times New Roman"/>
          <w:i/>
          <w:iCs/>
          <w:color w:val="000000" w:themeColor="text1"/>
        </w:rPr>
      </w:pPr>
      <w:r w:rsidRPr="005E3169">
        <w:rPr>
          <w:rFonts w:ascii="Times New Roman" w:hAnsi="Times New Roman" w:cs="Times New Roman"/>
          <w:color w:val="000000" w:themeColor="text1"/>
        </w:rPr>
        <w:t>Fulford,</w:t>
      </w:r>
      <w:r>
        <w:rPr>
          <w:rFonts w:ascii="Times New Roman" w:hAnsi="Times New Roman" w:cs="Times New Roman"/>
          <w:color w:val="000000" w:themeColor="text1"/>
        </w:rPr>
        <w:t xml:space="preserve"> Tim,</w:t>
      </w:r>
      <w:r w:rsidRPr="005E3169">
        <w:rPr>
          <w:rFonts w:ascii="Times New Roman" w:hAnsi="Times New Roman" w:cs="Times New Roman"/>
          <w:color w:val="000000" w:themeColor="text1"/>
        </w:rPr>
        <w:t xml:space="preserve"> Debbie Lee, and Peter J. </w:t>
      </w:r>
      <w:proofErr w:type="spellStart"/>
      <w:r w:rsidRPr="005E3169">
        <w:rPr>
          <w:rFonts w:ascii="Times New Roman" w:hAnsi="Times New Roman" w:cs="Times New Roman"/>
          <w:color w:val="000000" w:themeColor="text1"/>
        </w:rPr>
        <w:t>Kitson</w:t>
      </w:r>
      <w:proofErr w:type="spellEnd"/>
      <w:r w:rsidRPr="005E31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eds. </w:t>
      </w:r>
      <w:r w:rsidRPr="005E3169">
        <w:rPr>
          <w:rFonts w:ascii="Times New Roman" w:hAnsi="Times New Roman" w:cs="Times New Roman"/>
          <w:i/>
          <w:iCs/>
          <w:color w:val="000000" w:themeColor="text1"/>
        </w:rPr>
        <w:t xml:space="preserve">Literature, Science, and Exploration in the </w:t>
      </w:r>
    </w:p>
    <w:p w14:paraId="77D92642" w14:textId="03F185AD" w:rsidR="000B78BB" w:rsidRPr="005D7B29" w:rsidRDefault="000B78BB" w:rsidP="000B78BB">
      <w:pPr>
        <w:ind w:firstLine="720"/>
        <w:rPr>
          <w:rFonts w:ascii="Times New Roman" w:hAnsi="Times New Roman" w:cs="Times New Roman"/>
          <w:color w:val="000000" w:themeColor="text1"/>
        </w:rPr>
      </w:pPr>
      <w:r w:rsidRPr="005E3169">
        <w:rPr>
          <w:rFonts w:ascii="Times New Roman" w:hAnsi="Times New Roman" w:cs="Times New Roman"/>
          <w:i/>
          <w:iCs/>
          <w:color w:val="000000" w:themeColor="text1"/>
        </w:rPr>
        <w:t>Romantic Era: Bodies of Knowledge</w:t>
      </w:r>
      <w:r>
        <w:rPr>
          <w:rFonts w:ascii="Times New Roman" w:hAnsi="Times New Roman" w:cs="Times New Roman"/>
          <w:i/>
          <w:iCs/>
          <w:color w:val="000000" w:themeColor="text1"/>
        </w:rPr>
        <w:t xml:space="preserve">. </w:t>
      </w:r>
      <w:r w:rsidRPr="005E3169">
        <w:rPr>
          <w:rFonts w:ascii="Times New Roman" w:hAnsi="Times New Roman" w:cs="Times New Roman"/>
          <w:color w:val="000000" w:themeColor="text1"/>
        </w:rPr>
        <w:t>Cambridge: Cambridge University Press, 2004</w:t>
      </w:r>
      <w:r>
        <w:rPr>
          <w:rFonts w:ascii="Times New Roman" w:hAnsi="Times New Roman" w:cs="Times New Roman"/>
          <w:color w:val="000000" w:themeColor="text1"/>
        </w:rPr>
        <w:t>.</w:t>
      </w:r>
    </w:p>
    <w:p w14:paraId="1B17B95D" w14:textId="75E4EF54" w:rsidR="00E7407B" w:rsidRDefault="0087717C" w:rsidP="0087717C">
      <w:pPr>
        <w:rPr>
          <w:rFonts w:ascii="Times New Roman" w:hAnsi="Times New Roman" w:cs="Times New Roman"/>
          <w:i/>
          <w:iCs/>
        </w:rPr>
      </w:pPr>
      <w:r w:rsidRPr="005D7B29">
        <w:rPr>
          <w:rFonts w:ascii="Times New Roman" w:hAnsi="Times New Roman" w:cs="Times New Roman"/>
        </w:rPr>
        <w:t>Garland-Thomson,</w:t>
      </w:r>
      <w:r w:rsidR="00E7407B">
        <w:rPr>
          <w:rFonts w:ascii="Times New Roman" w:hAnsi="Times New Roman" w:cs="Times New Roman"/>
        </w:rPr>
        <w:t xml:space="preserve"> Rosemary.</w:t>
      </w:r>
      <w:r w:rsidRPr="005D7B29">
        <w:rPr>
          <w:rFonts w:ascii="Times New Roman" w:hAnsi="Times New Roman" w:cs="Times New Roman"/>
        </w:rPr>
        <w:t xml:space="preserve"> “Integrating Disability, Transforming Feminist Theory</w:t>
      </w:r>
      <w:r w:rsidR="00E7407B">
        <w:rPr>
          <w:rFonts w:ascii="Times New Roman" w:hAnsi="Times New Roman" w:cs="Times New Roman"/>
        </w:rPr>
        <w:t>.</w:t>
      </w:r>
      <w:r w:rsidRPr="005D7B29">
        <w:rPr>
          <w:rFonts w:ascii="Times New Roman" w:hAnsi="Times New Roman" w:cs="Times New Roman"/>
        </w:rPr>
        <w:t xml:space="preserve">” </w:t>
      </w:r>
      <w:r w:rsidRPr="005D7B29">
        <w:rPr>
          <w:rFonts w:ascii="Times New Roman" w:hAnsi="Times New Roman" w:cs="Times New Roman"/>
          <w:i/>
          <w:iCs/>
        </w:rPr>
        <w:t xml:space="preserve">NWSA </w:t>
      </w:r>
    </w:p>
    <w:p w14:paraId="4CDBAA70" w14:textId="6536C814" w:rsidR="0087717C" w:rsidRPr="005D7B29" w:rsidRDefault="0087717C" w:rsidP="00E7407B">
      <w:pPr>
        <w:ind w:firstLine="720"/>
        <w:rPr>
          <w:rFonts w:ascii="Times New Roman" w:hAnsi="Times New Roman" w:cs="Times New Roman"/>
        </w:rPr>
      </w:pPr>
      <w:r w:rsidRPr="005D7B29">
        <w:rPr>
          <w:rFonts w:ascii="Times New Roman" w:hAnsi="Times New Roman" w:cs="Times New Roman"/>
          <w:i/>
          <w:iCs/>
        </w:rPr>
        <w:t xml:space="preserve">Journal </w:t>
      </w:r>
      <w:r w:rsidRPr="005D7B29">
        <w:rPr>
          <w:rFonts w:ascii="Times New Roman" w:hAnsi="Times New Roman" w:cs="Times New Roman"/>
        </w:rPr>
        <w:t>14.3 (2002)</w:t>
      </w:r>
      <w:r w:rsidR="00E7407B">
        <w:rPr>
          <w:rFonts w:ascii="Times New Roman" w:hAnsi="Times New Roman" w:cs="Times New Roman"/>
        </w:rPr>
        <w:t xml:space="preserve">. </w:t>
      </w:r>
      <w:r w:rsidRPr="005D7B29">
        <w:rPr>
          <w:rFonts w:ascii="Times New Roman" w:hAnsi="Times New Roman" w:cs="Times New Roman"/>
        </w:rPr>
        <w:t>pp. 1-32.</w:t>
      </w:r>
    </w:p>
    <w:p w14:paraId="6D9C647E" w14:textId="47E544B6" w:rsidR="00E7407B" w:rsidRPr="002C40EF" w:rsidRDefault="00E7407B" w:rsidP="0087717C">
      <w:pPr>
        <w:rPr>
          <w:rFonts w:ascii="Times New Roman" w:hAnsi="Times New Roman" w:cs="Times New Roman"/>
          <w:color w:val="000000" w:themeColor="text1"/>
        </w:rPr>
      </w:pPr>
      <w:r w:rsidRPr="002C40EF">
        <w:rPr>
          <w:rFonts w:ascii="Times New Roman" w:hAnsi="Times New Roman" w:cs="Times New Roman"/>
          <w:color w:val="000000" w:themeColor="text1"/>
        </w:rPr>
        <w:t xml:space="preserve">Grinnell, </w:t>
      </w:r>
      <w:r w:rsidR="0087717C" w:rsidRPr="002C40EF">
        <w:rPr>
          <w:rFonts w:ascii="Times New Roman" w:hAnsi="Times New Roman" w:cs="Times New Roman"/>
          <w:color w:val="000000" w:themeColor="text1"/>
        </w:rPr>
        <w:t xml:space="preserve">George C. </w:t>
      </w:r>
      <w:r w:rsidR="0087717C" w:rsidRPr="002C40EF">
        <w:rPr>
          <w:rFonts w:ascii="Times New Roman" w:hAnsi="Times New Roman" w:cs="Times New Roman"/>
          <w:i/>
          <w:iCs/>
          <w:color w:val="000000" w:themeColor="text1"/>
        </w:rPr>
        <w:t xml:space="preserve">The Age of Hypochondria: Interpreting Romantic Health and Illness </w:t>
      </w:r>
      <w:r w:rsidR="0087717C" w:rsidRPr="002C40EF">
        <w:rPr>
          <w:rFonts w:ascii="Times New Roman" w:hAnsi="Times New Roman" w:cs="Times New Roman"/>
          <w:color w:val="000000" w:themeColor="text1"/>
        </w:rPr>
        <w:t xml:space="preserve">(New </w:t>
      </w:r>
    </w:p>
    <w:p w14:paraId="2226710B" w14:textId="535D2F12" w:rsidR="0087717C" w:rsidRPr="002C40EF" w:rsidRDefault="0087717C" w:rsidP="00E7407B">
      <w:pPr>
        <w:ind w:firstLine="720"/>
        <w:rPr>
          <w:rFonts w:ascii="Times New Roman" w:hAnsi="Times New Roman" w:cs="Times New Roman"/>
        </w:rPr>
      </w:pPr>
      <w:r w:rsidRPr="002C40EF">
        <w:rPr>
          <w:rFonts w:ascii="Times New Roman" w:hAnsi="Times New Roman" w:cs="Times New Roman"/>
          <w:color w:val="000000" w:themeColor="text1"/>
        </w:rPr>
        <w:t>York: Palgrave</w:t>
      </w:r>
      <w:r w:rsidR="00E7407B" w:rsidRPr="002C40EF">
        <w:rPr>
          <w:rFonts w:ascii="Times New Roman" w:hAnsi="Times New Roman" w:cs="Times New Roman"/>
          <w:color w:val="000000" w:themeColor="text1"/>
        </w:rPr>
        <w:t xml:space="preserve"> Macmillan</w:t>
      </w:r>
      <w:r w:rsidRPr="002C40EF">
        <w:rPr>
          <w:rFonts w:ascii="Times New Roman" w:hAnsi="Times New Roman" w:cs="Times New Roman"/>
          <w:color w:val="000000" w:themeColor="text1"/>
        </w:rPr>
        <w:t>, 2010</w:t>
      </w:r>
      <w:r w:rsidR="00E7407B" w:rsidRPr="002C40EF">
        <w:rPr>
          <w:rFonts w:ascii="Times New Roman" w:hAnsi="Times New Roman" w:cs="Times New Roman"/>
          <w:color w:val="000000" w:themeColor="text1"/>
        </w:rPr>
        <w:t>.</w:t>
      </w:r>
    </w:p>
    <w:p w14:paraId="0916CECF" w14:textId="77777777" w:rsidR="002C40EF" w:rsidRPr="002C40EF" w:rsidRDefault="002C40EF" w:rsidP="002C40EF">
      <w:pPr>
        <w:ind w:left="720" w:hanging="720"/>
        <w:rPr>
          <w:rFonts w:ascii="Times New Roman" w:hAnsi="Times New Roman" w:cs="Times New Roman"/>
        </w:rPr>
      </w:pPr>
      <w:r w:rsidRPr="002C40EF">
        <w:rPr>
          <w:rFonts w:ascii="Times New Roman" w:hAnsi="Times New Roman" w:cs="Times New Roman"/>
        </w:rPr>
        <w:t xml:space="preserve">Hunt-Kennedy, Stephanie, “‘Had his nose </w:t>
      </w:r>
      <w:proofErr w:type="spellStart"/>
      <w:r w:rsidRPr="002C40EF">
        <w:rPr>
          <w:rFonts w:ascii="Times New Roman" w:hAnsi="Times New Roman" w:cs="Times New Roman"/>
        </w:rPr>
        <w:t>cropt</w:t>
      </w:r>
      <w:proofErr w:type="spellEnd"/>
      <w:r w:rsidRPr="002C40EF">
        <w:rPr>
          <w:rFonts w:ascii="Times New Roman" w:hAnsi="Times New Roman" w:cs="Times New Roman"/>
        </w:rPr>
        <w:t xml:space="preserve"> for being formerly runaway’: disability and the bodies of fugitive slaves in the British Caribbean.” </w:t>
      </w:r>
      <w:r w:rsidRPr="002C40EF">
        <w:rPr>
          <w:rFonts w:ascii="Times New Roman" w:hAnsi="Times New Roman" w:cs="Times New Roman"/>
          <w:i/>
          <w:iCs/>
        </w:rPr>
        <w:t>Slavery &amp; Abolition</w:t>
      </w:r>
      <w:r w:rsidRPr="002C40EF">
        <w:rPr>
          <w:rFonts w:ascii="Times New Roman" w:hAnsi="Times New Roman" w:cs="Times New Roman"/>
        </w:rPr>
        <w:t>, Vol. 41, No. 2 (2020), pp 212 – 233.</w:t>
      </w:r>
    </w:p>
    <w:p w14:paraId="49143D9B" w14:textId="06A87ED8" w:rsidR="002A3DCC" w:rsidRPr="002C40EF" w:rsidRDefault="0087717C" w:rsidP="0087717C">
      <w:pPr>
        <w:rPr>
          <w:rFonts w:ascii="Times New Roman" w:hAnsi="Times New Roman" w:cs="Times New Roman"/>
          <w:color w:val="000000" w:themeColor="text1"/>
        </w:rPr>
      </w:pPr>
      <w:r w:rsidRPr="002C40EF">
        <w:rPr>
          <w:rFonts w:ascii="Times New Roman" w:hAnsi="Times New Roman" w:cs="Times New Roman"/>
          <w:color w:val="000000" w:themeColor="text1"/>
        </w:rPr>
        <w:t>Keats,</w:t>
      </w:r>
      <w:r w:rsidR="002A3DCC" w:rsidRPr="002C40EF">
        <w:rPr>
          <w:rFonts w:ascii="Times New Roman" w:hAnsi="Times New Roman" w:cs="Times New Roman"/>
          <w:color w:val="000000" w:themeColor="text1"/>
        </w:rPr>
        <w:t xml:space="preserve"> John.</w:t>
      </w:r>
      <w:r w:rsidRPr="002C40EF">
        <w:rPr>
          <w:rFonts w:ascii="Times New Roman" w:hAnsi="Times New Roman" w:cs="Times New Roman"/>
          <w:color w:val="000000" w:themeColor="text1"/>
        </w:rPr>
        <w:t xml:space="preserve"> </w:t>
      </w:r>
      <w:r w:rsidRPr="002C40EF">
        <w:rPr>
          <w:rFonts w:ascii="Times New Roman" w:hAnsi="Times New Roman" w:cs="Times New Roman"/>
          <w:i/>
          <w:iCs/>
          <w:color w:val="000000" w:themeColor="text1"/>
        </w:rPr>
        <w:t>The Letters of John Keats</w:t>
      </w:r>
      <w:r w:rsidR="002A3DCC" w:rsidRPr="002C40EF">
        <w:rPr>
          <w:rFonts w:ascii="Times New Roman" w:hAnsi="Times New Roman" w:cs="Times New Roman"/>
          <w:i/>
          <w:iCs/>
          <w:color w:val="000000" w:themeColor="text1"/>
        </w:rPr>
        <w:t xml:space="preserve">. </w:t>
      </w:r>
      <w:r w:rsidR="002A3DCC" w:rsidRPr="002C40EF">
        <w:rPr>
          <w:rFonts w:ascii="Times New Roman" w:hAnsi="Times New Roman" w:cs="Times New Roman"/>
          <w:color w:val="000000" w:themeColor="text1"/>
        </w:rPr>
        <w:t>E</w:t>
      </w:r>
      <w:r w:rsidRPr="002C40EF">
        <w:rPr>
          <w:rFonts w:ascii="Times New Roman" w:hAnsi="Times New Roman" w:cs="Times New Roman"/>
          <w:color w:val="000000" w:themeColor="text1"/>
        </w:rPr>
        <w:t xml:space="preserve">d. </w:t>
      </w:r>
      <w:proofErr w:type="spellStart"/>
      <w:r w:rsidRPr="002C40EF">
        <w:rPr>
          <w:rFonts w:ascii="Times New Roman" w:hAnsi="Times New Roman" w:cs="Times New Roman"/>
          <w:color w:val="000000" w:themeColor="text1"/>
        </w:rPr>
        <w:t>Hyder</w:t>
      </w:r>
      <w:proofErr w:type="spellEnd"/>
      <w:r w:rsidRPr="002C40EF">
        <w:rPr>
          <w:rFonts w:ascii="Times New Roman" w:hAnsi="Times New Roman" w:cs="Times New Roman"/>
          <w:color w:val="000000" w:themeColor="text1"/>
        </w:rPr>
        <w:t xml:space="preserve"> Edward Rollins</w:t>
      </w:r>
      <w:r w:rsidR="002A3DCC" w:rsidRPr="002C40EF">
        <w:rPr>
          <w:rFonts w:ascii="Times New Roman" w:hAnsi="Times New Roman" w:cs="Times New Roman"/>
          <w:color w:val="000000" w:themeColor="text1"/>
        </w:rPr>
        <w:t>.</w:t>
      </w:r>
      <w:r w:rsidRPr="002C40EF">
        <w:rPr>
          <w:rFonts w:ascii="Times New Roman" w:hAnsi="Times New Roman" w:cs="Times New Roman"/>
          <w:color w:val="000000" w:themeColor="text1"/>
        </w:rPr>
        <w:t xml:space="preserve"> vol. 2</w:t>
      </w:r>
      <w:r w:rsidR="002A3DCC" w:rsidRPr="002C40EF">
        <w:rPr>
          <w:rFonts w:ascii="Times New Roman" w:hAnsi="Times New Roman" w:cs="Times New Roman"/>
          <w:color w:val="000000" w:themeColor="text1"/>
        </w:rPr>
        <w:t xml:space="preserve">. </w:t>
      </w:r>
      <w:r w:rsidRPr="002C40EF">
        <w:rPr>
          <w:rFonts w:ascii="Times New Roman" w:hAnsi="Times New Roman" w:cs="Times New Roman"/>
          <w:color w:val="000000" w:themeColor="text1"/>
        </w:rPr>
        <w:t>Cambridge, MA:</w:t>
      </w:r>
    </w:p>
    <w:p w14:paraId="37CB6B1E" w14:textId="24D6A637" w:rsidR="0087717C" w:rsidRPr="005D7B29" w:rsidRDefault="0087717C" w:rsidP="002A3DCC">
      <w:pPr>
        <w:ind w:firstLine="720"/>
        <w:rPr>
          <w:rFonts w:ascii="Times New Roman" w:hAnsi="Times New Roman" w:cs="Times New Roman"/>
          <w:color w:val="000000" w:themeColor="text1"/>
        </w:rPr>
      </w:pPr>
      <w:r w:rsidRPr="002C40EF">
        <w:rPr>
          <w:rFonts w:ascii="Times New Roman" w:hAnsi="Times New Roman" w:cs="Times New Roman"/>
          <w:color w:val="000000" w:themeColor="text1"/>
        </w:rPr>
        <w:lastRenderedPageBreak/>
        <w:t>Harvard University</w:t>
      </w:r>
      <w:r w:rsidRPr="005D7B29">
        <w:rPr>
          <w:rFonts w:ascii="Times New Roman" w:hAnsi="Times New Roman" w:cs="Times New Roman"/>
          <w:color w:val="000000" w:themeColor="text1"/>
        </w:rPr>
        <w:t xml:space="preserve"> Press, 1958</w:t>
      </w:r>
      <w:r w:rsidR="002A3DCC">
        <w:rPr>
          <w:rFonts w:ascii="Times New Roman" w:hAnsi="Times New Roman" w:cs="Times New Roman"/>
          <w:color w:val="000000" w:themeColor="text1"/>
        </w:rPr>
        <w:t>.</w:t>
      </w:r>
    </w:p>
    <w:p w14:paraId="431E0D07" w14:textId="77777777" w:rsidR="00D55DE5" w:rsidRDefault="00D55DE5" w:rsidP="0087717C">
      <w:pPr>
        <w:rPr>
          <w:rFonts w:ascii="Times New Roman" w:hAnsi="Times New Roman" w:cs="Times New Roman"/>
        </w:rPr>
      </w:pPr>
      <w:proofErr w:type="spellStart"/>
      <w:r>
        <w:rPr>
          <w:rFonts w:ascii="Times New Roman" w:hAnsi="Times New Roman" w:cs="Times New Roman"/>
        </w:rPr>
        <w:t>Kitson</w:t>
      </w:r>
      <w:proofErr w:type="spellEnd"/>
      <w:r>
        <w:rPr>
          <w:rFonts w:ascii="Times New Roman" w:hAnsi="Times New Roman" w:cs="Times New Roman"/>
        </w:rPr>
        <w:t xml:space="preserve">, </w:t>
      </w:r>
      <w:r w:rsidR="0087717C" w:rsidRPr="005D7B29">
        <w:rPr>
          <w:rFonts w:ascii="Times New Roman" w:hAnsi="Times New Roman" w:cs="Times New Roman"/>
        </w:rPr>
        <w:t xml:space="preserve">Peter J. </w:t>
      </w:r>
      <w:r w:rsidR="0087717C" w:rsidRPr="005D7B29">
        <w:rPr>
          <w:rFonts w:ascii="Times New Roman" w:hAnsi="Times New Roman" w:cs="Times New Roman"/>
          <w:i/>
          <w:iCs/>
        </w:rPr>
        <w:t>Romantic Literature, Race, and Colonial Encounter</w:t>
      </w:r>
      <w:r>
        <w:rPr>
          <w:rFonts w:ascii="Times New Roman" w:hAnsi="Times New Roman" w:cs="Times New Roman"/>
        </w:rPr>
        <w:t xml:space="preserve">. </w:t>
      </w:r>
      <w:r w:rsidR="0087717C" w:rsidRPr="005D7B29">
        <w:rPr>
          <w:rFonts w:ascii="Times New Roman" w:hAnsi="Times New Roman" w:cs="Times New Roman"/>
        </w:rPr>
        <w:t>New York: Palgrave</w:t>
      </w:r>
      <w:r>
        <w:rPr>
          <w:rFonts w:ascii="Times New Roman" w:hAnsi="Times New Roman" w:cs="Times New Roman"/>
        </w:rPr>
        <w:t xml:space="preserve"> </w:t>
      </w:r>
    </w:p>
    <w:p w14:paraId="11D9399D" w14:textId="0101F4EE" w:rsidR="0087717C" w:rsidRPr="005D7B29" w:rsidRDefault="00D55DE5" w:rsidP="00D55DE5">
      <w:pPr>
        <w:ind w:firstLine="720"/>
        <w:rPr>
          <w:rFonts w:ascii="Times New Roman" w:hAnsi="Times New Roman" w:cs="Times New Roman"/>
          <w:color w:val="000000" w:themeColor="text1"/>
        </w:rPr>
      </w:pPr>
      <w:r>
        <w:rPr>
          <w:rFonts w:ascii="Times New Roman" w:hAnsi="Times New Roman" w:cs="Times New Roman"/>
        </w:rPr>
        <w:t>Macmillan, 2007.</w:t>
      </w:r>
    </w:p>
    <w:p w14:paraId="5CA612EB" w14:textId="77777777" w:rsidR="00D55DE5" w:rsidRDefault="00D55DE5" w:rsidP="0087717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Lawrence, </w:t>
      </w:r>
      <w:r w:rsidR="0087717C" w:rsidRPr="005D7B29">
        <w:rPr>
          <w:rFonts w:ascii="Times New Roman" w:eastAsia="Times New Roman" w:hAnsi="Times New Roman" w:cs="Times New Roman"/>
          <w:color w:val="000000" w:themeColor="text1"/>
        </w:rPr>
        <w:t>Christopher</w:t>
      </w:r>
      <w:r>
        <w:rPr>
          <w:rFonts w:ascii="Times New Roman" w:eastAsia="Times New Roman" w:hAnsi="Times New Roman" w:cs="Times New Roman"/>
          <w:color w:val="000000" w:themeColor="text1"/>
        </w:rPr>
        <w:t>.</w:t>
      </w:r>
      <w:r w:rsidR="0087717C" w:rsidRPr="005D7B29">
        <w:rPr>
          <w:rFonts w:ascii="Times New Roman" w:eastAsia="Times New Roman" w:hAnsi="Times New Roman" w:cs="Times New Roman"/>
          <w:color w:val="000000" w:themeColor="text1"/>
        </w:rPr>
        <w:t xml:space="preserve"> </w:t>
      </w:r>
      <w:r w:rsidR="0087717C" w:rsidRPr="005D7B29">
        <w:rPr>
          <w:rFonts w:ascii="Times New Roman" w:eastAsia="Times New Roman" w:hAnsi="Times New Roman" w:cs="Times New Roman"/>
          <w:i/>
          <w:iCs/>
          <w:color w:val="000000" w:themeColor="text1"/>
        </w:rPr>
        <w:t>Medicine in the Making of Modern Britain, 1700-1900</w:t>
      </w:r>
      <w:r>
        <w:rPr>
          <w:rFonts w:ascii="Times New Roman" w:eastAsia="Times New Roman" w:hAnsi="Times New Roman" w:cs="Times New Roman"/>
          <w:i/>
          <w:iCs/>
          <w:color w:val="000000" w:themeColor="text1"/>
        </w:rPr>
        <w:t xml:space="preserve">. </w:t>
      </w:r>
      <w:r w:rsidR="0087717C" w:rsidRPr="005D7B29">
        <w:rPr>
          <w:rFonts w:ascii="Times New Roman" w:eastAsia="Times New Roman" w:hAnsi="Times New Roman" w:cs="Times New Roman"/>
          <w:color w:val="000000" w:themeColor="text1"/>
        </w:rPr>
        <w:t xml:space="preserve">New York: </w:t>
      </w:r>
    </w:p>
    <w:p w14:paraId="3440F4EB" w14:textId="77777777" w:rsidR="00DE6742" w:rsidRDefault="0087717C" w:rsidP="00DE6742">
      <w:pPr>
        <w:ind w:firstLine="720"/>
        <w:rPr>
          <w:rFonts w:ascii="Times New Roman" w:hAnsi="Times New Roman" w:cs="Times New Roman"/>
          <w:color w:val="000000" w:themeColor="text1"/>
        </w:rPr>
      </w:pPr>
      <w:r w:rsidRPr="005D7B29">
        <w:rPr>
          <w:rFonts w:ascii="Times New Roman" w:eastAsia="Times New Roman" w:hAnsi="Times New Roman" w:cs="Times New Roman"/>
          <w:color w:val="000000" w:themeColor="text1"/>
        </w:rPr>
        <w:t>Routledge, 1994</w:t>
      </w:r>
      <w:r w:rsidR="00D55DE5">
        <w:rPr>
          <w:rFonts w:ascii="Times New Roman" w:eastAsia="Times New Roman" w:hAnsi="Times New Roman" w:cs="Times New Roman"/>
          <w:color w:val="000000" w:themeColor="text1"/>
        </w:rPr>
        <w:t>.</w:t>
      </w:r>
    </w:p>
    <w:p w14:paraId="1628D563" w14:textId="0B3C74CD" w:rsidR="00DE6742" w:rsidRDefault="0087717C" w:rsidP="00DE6742">
      <w:pPr>
        <w:rPr>
          <w:rFonts w:ascii="Times New Roman" w:hAnsi="Times New Roman" w:cs="Times New Roman"/>
          <w:i/>
          <w:iCs/>
          <w:color w:val="000000" w:themeColor="text1"/>
        </w:rPr>
      </w:pPr>
      <w:r w:rsidRPr="005D7B29">
        <w:rPr>
          <w:rFonts w:ascii="Times New Roman" w:hAnsi="Times New Roman" w:cs="Times New Roman"/>
          <w:color w:val="000000" w:themeColor="text1"/>
        </w:rPr>
        <w:t>Mansfield</w:t>
      </w:r>
      <w:r w:rsidR="00DE6742">
        <w:rPr>
          <w:rFonts w:ascii="Times New Roman" w:hAnsi="Times New Roman" w:cs="Times New Roman"/>
          <w:color w:val="000000" w:themeColor="text1"/>
        </w:rPr>
        <w:t>, Katherine</w:t>
      </w:r>
      <w:r w:rsidR="00391DF8">
        <w:rPr>
          <w:rFonts w:ascii="Times New Roman" w:hAnsi="Times New Roman" w:cs="Times New Roman"/>
          <w:color w:val="000000" w:themeColor="text1"/>
        </w:rPr>
        <w:t xml:space="preserve"> </w:t>
      </w:r>
      <w:proofErr w:type="spellStart"/>
      <w:r w:rsidR="00391DF8">
        <w:rPr>
          <w:rFonts w:ascii="Times New Roman" w:hAnsi="Times New Roman" w:cs="Times New Roman"/>
          <w:color w:val="000000" w:themeColor="text1"/>
        </w:rPr>
        <w:t>Cumings</w:t>
      </w:r>
      <w:proofErr w:type="spellEnd"/>
      <w:r w:rsidRPr="005D7B29">
        <w:rPr>
          <w:rFonts w:ascii="Times New Roman" w:hAnsi="Times New Roman" w:cs="Times New Roman"/>
          <w:color w:val="000000" w:themeColor="text1"/>
        </w:rPr>
        <w:t xml:space="preserve">, </w:t>
      </w:r>
      <w:proofErr w:type="spellStart"/>
      <w:r w:rsidRPr="005D7B29">
        <w:rPr>
          <w:rFonts w:ascii="Times New Roman" w:hAnsi="Times New Roman" w:cs="Times New Roman"/>
          <w:color w:val="000000" w:themeColor="text1"/>
        </w:rPr>
        <w:t>Anjalé</w:t>
      </w:r>
      <w:proofErr w:type="spellEnd"/>
      <w:r w:rsidRPr="005D7B29">
        <w:rPr>
          <w:rFonts w:ascii="Times New Roman" w:hAnsi="Times New Roman" w:cs="Times New Roman"/>
          <w:color w:val="000000" w:themeColor="text1"/>
        </w:rPr>
        <w:t xml:space="preserve"> D. Welton, and Pei-Ling Lee</w:t>
      </w:r>
      <w:r w:rsidR="00DE6742">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 xml:space="preserve">Identity </w:t>
      </w:r>
      <w:proofErr w:type="spellStart"/>
      <w:r w:rsidRPr="005D7B29">
        <w:rPr>
          <w:rFonts w:ascii="Times New Roman" w:hAnsi="Times New Roman" w:cs="Times New Roman"/>
          <w:i/>
          <w:iCs/>
          <w:color w:val="000000" w:themeColor="text1"/>
        </w:rPr>
        <w:t>Intersectionalities</w:t>
      </w:r>
      <w:proofErr w:type="spellEnd"/>
      <w:r w:rsidRPr="005D7B29">
        <w:rPr>
          <w:rFonts w:ascii="Times New Roman" w:hAnsi="Times New Roman" w:cs="Times New Roman"/>
          <w:i/>
          <w:iCs/>
          <w:color w:val="000000" w:themeColor="text1"/>
        </w:rPr>
        <w:t xml:space="preserve">, </w:t>
      </w:r>
    </w:p>
    <w:p w14:paraId="436B3089" w14:textId="7201C98D" w:rsidR="0087717C" w:rsidRPr="005D7B29" w:rsidRDefault="0087717C" w:rsidP="00DE6742">
      <w:pPr>
        <w:ind w:left="720"/>
        <w:rPr>
          <w:rFonts w:ascii="Times New Roman" w:hAnsi="Times New Roman" w:cs="Times New Roman"/>
          <w:color w:val="000000" w:themeColor="text1"/>
        </w:rPr>
      </w:pPr>
      <w:r w:rsidRPr="005D7B29">
        <w:rPr>
          <w:rFonts w:ascii="Times New Roman" w:hAnsi="Times New Roman" w:cs="Times New Roman"/>
          <w:i/>
          <w:iCs/>
          <w:color w:val="000000" w:themeColor="text1"/>
        </w:rPr>
        <w:t>Mentoring, and Work-Life (</w:t>
      </w:r>
      <w:proofErr w:type="spellStart"/>
      <w:r w:rsidRPr="005D7B29">
        <w:rPr>
          <w:rFonts w:ascii="Times New Roman" w:hAnsi="Times New Roman" w:cs="Times New Roman"/>
          <w:i/>
          <w:iCs/>
          <w:color w:val="000000" w:themeColor="text1"/>
        </w:rPr>
        <w:t>Im</w:t>
      </w:r>
      <w:proofErr w:type="spellEnd"/>
      <w:r w:rsidRPr="005D7B29">
        <w:rPr>
          <w:rFonts w:ascii="Times New Roman" w:hAnsi="Times New Roman" w:cs="Times New Roman"/>
          <w:i/>
          <w:iCs/>
          <w:color w:val="000000" w:themeColor="text1"/>
        </w:rPr>
        <w:t>)Balance: Educators (Re)negotiate the Personal, Professional and Political</w:t>
      </w:r>
      <w:r w:rsidR="00DE6742">
        <w:rPr>
          <w:rFonts w:ascii="Times New Roman" w:hAnsi="Times New Roman" w:cs="Times New Roman"/>
          <w:i/>
          <w:iCs/>
          <w:color w:val="000000" w:themeColor="text1"/>
        </w:rPr>
        <w:t xml:space="preserve">. </w:t>
      </w:r>
      <w:r w:rsidRPr="005D7B29">
        <w:rPr>
          <w:rFonts w:ascii="Times New Roman" w:hAnsi="Times New Roman" w:cs="Times New Roman"/>
          <w:color w:val="000000" w:themeColor="text1"/>
        </w:rPr>
        <w:t>Charlotte, NC: IAP Information Age Publishing, 2016.</w:t>
      </w:r>
    </w:p>
    <w:p w14:paraId="0231CF5D" w14:textId="0225AB55" w:rsidR="0087717C" w:rsidRPr="005D7B29" w:rsidRDefault="0087717C" w:rsidP="0087717C">
      <w:pPr>
        <w:rPr>
          <w:rFonts w:ascii="Times New Roman" w:hAnsi="Times New Roman" w:cs="Times New Roman"/>
        </w:rPr>
      </w:pPr>
      <w:r w:rsidRPr="005D7B29">
        <w:rPr>
          <w:rFonts w:ascii="Times New Roman" w:hAnsi="Times New Roman" w:cs="Times New Roman"/>
          <w:color w:val="000000" w:themeColor="text1"/>
        </w:rPr>
        <w:t>McGann,</w:t>
      </w:r>
      <w:r w:rsidR="00796E6B">
        <w:rPr>
          <w:rFonts w:ascii="Times New Roman" w:hAnsi="Times New Roman" w:cs="Times New Roman"/>
          <w:color w:val="000000" w:themeColor="text1"/>
        </w:rPr>
        <w:t xml:space="preserve"> Jerome.</w:t>
      </w:r>
      <w:r w:rsidRPr="005D7B29">
        <w:rPr>
          <w:rFonts w:ascii="Times New Roman" w:hAnsi="Times New Roman" w:cs="Times New Roman"/>
          <w:color w:val="000000" w:themeColor="text1"/>
        </w:rPr>
        <w:t xml:space="preserve"> </w:t>
      </w:r>
      <w:r w:rsidRPr="005D7B29">
        <w:rPr>
          <w:rFonts w:ascii="Times New Roman" w:hAnsi="Times New Roman" w:cs="Times New Roman"/>
          <w:i/>
          <w:iCs/>
        </w:rPr>
        <w:t>The Romantic Ideology</w:t>
      </w:r>
      <w:r w:rsidR="00796E6B">
        <w:rPr>
          <w:rFonts w:ascii="Times New Roman" w:hAnsi="Times New Roman" w:cs="Times New Roman"/>
          <w:i/>
          <w:iCs/>
        </w:rPr>
        <w:t xml:space="preserve">. </w:t>
      </w:r>
      <w:r w:rsidRPr="005D7B29">
        <w:rPr>
          <w:rFonts w:ascii="Times New Roman" w:hAnsi="Times New Roman" w:cs="Times New Roman"/>
        </w:rPr>
        <w:t>Chicago: University of Chicago Press, 1983</w:t>
      </w:r>
      <w:r w:rsidR="00796E6B">
        <w:rPr>
          <w:rFonts w:ascii="Times New Roman" w:hAnsi="Times New Roman" w:cs="Times New Roman"/>
        </w:rPr>
        <w:t>.</w:t>
      </w:r>
    </w:p>
    <w:p w14:paraId="2268B6CC" w14:textId="77777777" w:rsidR="00796E6B" w:rsidRDefault="00796E6B" w:rsidP="0087717C">
      <w:pPr>
        <w:rPr>
          <w:rFonts w:ascii="Times New Roman" w:hAnsi="Times New Roman" w:cs="Times New Roman"/>
          <w:color w:val="000000" w:themeColor="text1"/>
        </w:rPr>
      </w:pPr>
      <w:r>
        <w:rPr>
          <w:rFonts w:ascii="Times New Roman" w:hAnsi="Times New Roman" w:cs="Times New Roman"/>
          <w:color w:val="000000" w:themeColor="text1"/>
        </w:rPr>
        <w:t xml:space="preserve">Mitchell, </w:t>
      </w:r>
      <w:r w:rsidR="0087717C" w:rsidRPr="005D7B29">
        <w:rPr>
          <w:rFonts w:ascii="Times New Roman" w:hAnsi="Times New Roman" w:cs="Times New Roman"/>
          <w:color w:val="000000" w:themeColor="text1"/>
        </w:rPr>
        <w:t>Robert</w:t>
      </w:r>
      <w:r>
        <w:rPr>
          <w:rFonts w:ascii="Times New Roman" w:hAnsi="Times New Roman" w:cs="Times New Roman"/>
          <w:color w:val="000000" w:themeColor="text1"/>
        </w:rPr>
        <w:t>.</w:t>
      </w:r>
      <w:r w:rsidR="0087717C" w:rsidRPr="005D7B29">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Experimental Life: Vitalism in Romantic Science and Literature</w:t>
      </w:r>
      <w:r>
        <w:rPr>
          <w:rFonts w:ascii="Times New Roman" w:hAnsi="Times New Roman" w:cs="Times New Roman"/>
          <w:i/>
          <w:iCs/>
          <w:color w:val="000000" w:themeColor="text1"/>
        </w:rPr>
        <w:t xml:space="preserve">. </w:t>
      </w:r>
      <w:r w:rsidR="0087717C" w:rsidRPr="005D7B29">
        <w:rPr>
          <w:rFonts w:ascii="Times New Roman" w:hAnsi="Times New Roman" w:cs="Times New Roman"/>
          <w:color w:val="000000" w:themeColor="text1"/>
        </w:rPr>
        <w:t xml:space="preserve">Baltimore: </w:t>
      </w:r>
    </w:p>
    <w:p w14:paraId="4BECE339" w14:textId="26396696" w:rsidR="0087717C" w:rsidRPr="005D7B29" w:rsidRDefault="0087717C" w:rsidP="00796E6B">
      <w:pPr>
        <w:ind w:firstLine="720"/>
        <w:rPr>
          <w:rFonts w:ascii="Times New Roman" w:hAnsi="Times New Roman" w:cs="Times New Roman"/>
          <w:color w:val="000000" w:themeColor="text1"/>
        </w:rPr>
      </w:pPr>
      <w:r w:rsidRPr="005D7B29">
        <w:rPr>
          <w:rFonts w:ascii="Times New Roman" w:hAnsi="Times New Roman" w:cs="Times New Roman"/>
          <w:color w:val="000000" w:themeColor="text1"/>
        </w:rPr>
        <w:t>Johns Hopkins University Press, 2013</w:t>
      </w:r>
      <w:r w:rsidR="00796E6B">
        <w:rPr>
          <w:rFonts w:ascii="Times New Roman" w:hAnsi="Times New Roman" w:cs="Times New Roman"/>
          <w:color w:val="000000" w:themeColor="text1"/>
        </w:rPr>
        <w:t>.</w:t>
      </w:r>
    </w:p>
    <w:p w14:paraId="1427C392" w14:textId="09125D74" w:rsidR="00796E6B" w:rsidRPr="00975541" w:rsidRDefault="0087717C" w:rsidP="0087717C">
      <w:pPr>
        <w:rPr>
          <w:rFonts w:ascii="Times New Roman" w:hAnsi="Times New Roman" w:cs="Times New Roman"/>
        </w:rPr>
      </w:pPr>
      <w:proofErr w:type="spellStart"/>
      <w:r w:rsidRPr="005D7B29">
        <w:rPr>
          <w:rFonts w:ascii="Times New Roman" w:hAnsi="Times New Roman" w:cs="Times New Roman"/>
        </w:rPr>
        <w:t>Pladek</w:t>
      </w:r>
      <w:proofErr w:type="spellEnd"/>
      <w:r w:rsidRPr="005D7B29">
        <w:rPr>
          <w:rFonts w:ascii="Times New Roman" w:hAnsi="Times New Roman" w:cs="Times New Roman"/>
        </w:rPr>
        <w:t xml:space="preserve">, </w:t>
      </w:r>
      <w:r w:rsidR="00796E6B" w:rsidRPr="00975541">
        <w:rPr>
          <w:rFonts w:ascii="Times New Roman" w:hAnsi="Times New Roman" w:cs="Times New Roman"/>
        </w:rPr>
        <w:t xml:space="preserve">Brittany. </w:t>
      </w:r>
      <w:r w:rsidRPr="00975541">
        <w:rPr>
          <w:rFonts w:ascii="Times New Roman" w:hAnsi="Times New Roman" w:cs="Times New Roman"/>
          <w:i/>
          <w:iCs/>
        </w:rPr>
        <w:t>The Poetics of Palliation: Romantic Literary Therapy, 1790-1850</w:t>
      </w:r>
      <w:r w:rsidR="00796E6B" w:rsidRPr="00975541">
        <w:rPr>
          <w:rFonts w:ascii="Times New Roman" w:hAnsi="Times New Roman" w:cs="Times New Roman"/>
          <w:i/>
          <w:iCs/>
        </w:rPr>
        <w:t xml:space="preserve">. </w:t>
      </w:r>
      <w:r w:rsidRPr="00975541">
        <w:rPr>
          <w:rFonts w:ascii="Times New Roman" w:hAnsi="Times New Roman" w:cs="Times New Roman"/>
        </w:rPr>
        <w:t xml:space="preserve">Liverpool: </w:t>
      </w:r>
    </w:p>
    <w:p w14:paraId="59D5E3A4" w14:textId="2E30806D" w:rsidR="0087717C" w:rsidRPr="00975541" w:rsidRDefault="0087717C" w:rsidP="00796E6B">
      <w:pPr>
        <w:ind w:firstLine="720"/>
        <w:rPr>
          <w:rFonts w:ascii="Times New Roman" w:hAnsi="Times New Roman" w:cs="Times New Roman"/>
        </w:rPr>
      </w:pPr>
      <w:r w:rsidRPr="00975541">
        <w:rPr>
          <w:rFonts w:ascii="Times New Roman" w:hAnsi="Times New Roman" w:cs="Times New Roman"/>
        </w:rPr>
        <w:t>Liverpool University Press, 2019</w:t>
      </w:r>
      <w:r w:rsidR="00796E6B" w:rsidRPr="00975541">
        <w:rPr>
          <w:rFonts w:ascii="Times New Roman" w:hAnsi="Times New Roman" w:cs="Times New Roman"/>
        </w:rPr>
        <w:t>.</w:t>
      </w:r>
    </w:p>
    <w:p w14:paraId="0982F4CE" w14:textId="6A5F530C" w:rsidR="00975541" w:rsidRDefault="00975541" w:rsidP="00975541">
      <w:pPr>
        <w:pStyle w:val="FootnoteText"/>
        <w:ind w:left="720" w:hanging="720"/>
        <w:rPr>
          <w:rFonts w:ascii="Times New Roman" w:hAnsi="Times New Roman" w:cs="Times New Roman"/>
          <w:sz w:val="24"/>
          <w:szCs w:val="24"/>
        </w:rPr>
      </w:pPr>
      <w:proofErr w:type="gramStart"/>
      <w:r w:rsidRPr="00975541">
        <w:rPr>
          <w:rFonts w:ascii="Times New Roman" w:hAnsi="Times New Roman" w:cs="Times New Roman"/>
          <w:sz w:val="24"/>
          <w:szCs w:val="24"/>
        </w:rPr>
        <w:t>Prince,  Mary</w:t>
      </w:r>
      <w:proofErr w:type="gramEnd"/>
      <w:r w:rsidRPr="00975541">
        <w:rPr>
          <w:rFonts w:ascii="Times New Roman" w:hAnsi="Times New Roman" w:cs="Times New Roman"/>
          <w:sz w:val="24"/>
          <w:szCs w:val="24"/>
        </w:rPr>
        <w:t xml:space="preserve">, </w:t>
      </w:r>
      <w:r w:rsidRPr="00975541">
        <w:rPr>
          <w:rFonts w:ascii="Times New Roman" w:hAnsi="Times New Roman" w:cs="Times New Roman"/>
          <w:i/>
          <w:iCs/>
          <w:sz w:val="24"/>
          <w:szCs w:val="24"/>
        </w:rPr>
        <w:t>The History of Mary Prince, A West Indian Slave</w:t>
      </w:r>
      <w:r w:rsidRPr="00975541">
        <w:rPr>
          <w:rFonts w:ascii="Times New Roman" w:hAnsi="Times New Roman" w:cs="Times New Roman"/>
          <w:sz w:val="24"/>
          <w:szCs w:val="24"/>
        </w:rPr>
        <w:t xml:space="preserve">, ed. Sara Salih. London: Penguin, </w:t>
      </w:r>
      <w:r>
        <w:rPr>
          <w:rFonts w:ascii="Times New Roman" w:hAnsi="Times New Roman" w:cs="Times New Roman"/>
          <w:sz w:val="24"/>
          <w:szCs w:val="24"/>
        </w:rPr>
        <w:t>2004.</w:t>
      </w:r>
    </w:p>
    <w:p w14:paraId="456D3C52" w14:textId="3B460D8F" w:rsidR="001C7549" w:rsidRPr="00975541" w:rsidRDefault="001C7549" w:rsidP="00975541">
      <w:pPr>
        <w:pStyle w:val="FootnoteText"/>
        <w:ind w:left="720" w:hanging="720"/>
        <w:rPr>
          <w:rFonts w:ascii="Times New Roman" w:hAnsi="Times New Roman" w:cs="Times New Roman"/>
          <w:color w:val="000000" w:themeColor="text1"/>
          <w:sz w:val="24"/>
          <w:szCs w:val="24"/>
        </w:rPr>
      </w:pPr>
      <w:r w:rsidRPr="00975541">
        <w:rPr>
          <w:rFonts w:ascii="Times New Roman" w:hAnsi="Times New Roman" w:cs="Times New Roman"/>
          <w:color w:val="000000" w:themeColor="text1"/>
          <w:sz w:val="24"/>
          <w:szCs w:val="24"/>
        </w:rPr>
        <w:t>Price,</w:t>
      </w:r>
      <w:r w:rsidR="00975541" w:rsidRPr="00975541">
        <w:rPr>
          <w:rFonts w:ascii="Times New Roman" w:hAnsi="Times New Roman" w:cs="Times New Roman"/>
          <w:color w:val="000000" w:themeColor="text1"/>
          <w:sz w:val="24"/>
          <w:szCs w:val="24"/>
        </w:rPr>
        <w:t xml:space="preserve"> Margaret</w:t>
      </w:r>
      <w:r w:rsidRPr="00975541">
        <w:rPr>
          <w:rFonts w:ascii="Times New Roman" w:hAnsi="Times New Roman" w:cs="Times New Roman"/>
          <w:color w:val="000000" w:themeColor="text1"/>
          <w:sz w:val="24"/>
          <w:szCs w:val="24"/>
        </w:rPr>
        <w:t xml:space="preserve"> “The </w:t>
      </w:r>
      <w:proofErr w:type="spellStart"/>
      <w:r w:rsidRPr="00975541">
        <w:rPr>
          <w:rFonts w:ascii="Times New Roman" w:hAnsi="Times New Roman" w:cs="Times New Roman"/>
          <w:color w:val="000000" w:themeColor="text1"/>
          <w:sz w:val="24"/>
          <w:szCs w:val="24"/>
        </w:rPr>
        <w:t>Bodymind</w:t>
      </w:r>
      <w:proofErr w:type="spellEnd"/>
      <w:r w:rsidRPr="00975541">
        <w:rPr>
          <w:rFonts w:ascii="Times New Roman" w:hAnsi="Times New Roman" w:cs="Times New Roman"/>
          <w:color w:val="000000" w:themeColor="text1"/>
          <w:sz w:val="24"/>
          <w:szCs w:val="24"/>
        </w:rPr>
        <w:t xml:space="preserve"> Problem and the Possibilities of Pain.” </w:t>
      </w:r>
      <w:r w:rsidRPr="00975541">
        <w:rPr>
          <w:rFonts w:ascii="Times New Roman" w:hAnsi="Times New Roman" w:cs="Times New Roman"/>
          <w:i/>
          <w:iCs/>
          <w:color w:val="000000" w:themeColor="text1"/>
          <w:sz w:val="24"/>
          <w:szCs w:val="24"/>
        </w:rPr>
        <w:t>Hypatia</w:t>
      </w:r>
      <w:r w:rsidRPr="00975541">
        <w:rPr>
          <w:rFonts w:ascii="Times New Roman" w:hAnsi="Times New Roman" w:cs="Times New Roman"/>
          <w:color w:val="000000" w:themeColor="text1"/>
          <w:sz w:val="24"/>
          <w:szCs w:val="24"/>
        </w:rPr>
        <w:t>, Vol 30, No. 1 (2015), pp. 268 – 84.</w:t>
      </w:r>
    </w:p>
    <w:p w14:paraId="7D8AE490" w14:textId="7077FE35" w:rsidR="0087717C" w:rsidRPr="00975541" w:rsidRDefault="0087717C" w:rsidP="00975541">
      <w:pPr>
        <w:ind w:left="720" w:hanging="720"/>
        <w:rPr>
          <w:rFonts w:ascii="Times New Roman" w:hAnsi="Times New Roman" w:cs="Times New Roman"/>
        </w:rPr>
      </w:pPr>
      <w:r w:rsidRPr="00975541">
        <w:rPr>
          <w:rFonts w:ascii="Times New Roman" w:hAnsi="Times New Roman" w:cs="Times New Roman"/>
          <w:color w:val="000000" w:themeColor="text1"/>
        </w:rPr>
        <w:t>Richardson,</w:t>
      </w:r>
      <w:r w:rsidR="00796E6B" w:rsidRPr="00975541">
        <w:rPr>
          <w:rFonts w:ascii="Times New Roman" w:hAnsi="Times New Roman" w:cs="Times New Roman"/>
          <w:color w:val="000000" w:themeColor="text1"/>
        </w:rPr>
        <w:t xml:space="preserve"> Alan.</w:t>
      </w:r>
      <w:r w:rsidRPr="00975541">
        <w:rPr>
          <w:rFonts w:ascii="Times New Roman" w:hAnsi="Times New Roman" w:cs="Times New Roman"/>
          <w:color w:val="000000" w:themeColor="text1"/>
        </w:rPr>
        <w:t xml:space="preserve"> </w:t>
      </w:r>
      <w:r w:rsidRPr="00975541">
        <w:rPr>
          <w:rFonts w:ascii="Times New Roman" w:hAnsi="Times New Roman" w:cs="Times New Roman"/>
          <w:i/>
          <w:iCs/>
          <w:color w:val="000000" w:themeColor="text1"/>
        </w:rPr>
        <w:t>British Romanticism and the Science of the Mind</w:t>
      </w:r>
      <w:r w:rsidR="00796E6B" w:rsidRPr="00975541">
        <w:rPr>
          <w:rFonts w:ascii="Times New Roman" w:hAnsi="Times New Roman" w:cs="Times New Roman"/>
          <w:i/>
          <w:iCs/>
          <w:color w:val="000000" w:themeColor="text1"/>
        </w:rPr>
        <w:t xml:space="preserve">. </w:t>
      </w:r>
      <w:r w:rsidRPr="00975541">
        <w:rPr>
          <w:rFonts w:ascii="Times New Roman" w:hAnsi="Times New Roman" w:cs="Times New Roman"/>
          <w:color w:val="000000" w:themeColor="text1"/>
        </w:rPr>
        <w:t>Cambridge: Cambridge University Press, 2001</w:t>
      </w:r>
      <w:r w:rsidR="00796E6B" w:rsidRPr="00975541">
        <w:rPr>
          <w:rFonts w:ascii="Times New Roman" w:hAnsi="Times New Roman" w:cs="Times New Roman"/>
          <w:color w:val="000000" w:themeColor="text1"/>
        </w:rPr>
        <w:t>.</w:t>
      </w:r>
    </w:p>
    <w:p w14:paraId="75BCA05D" w14:textId="77777777" w:rsidR="00DF7285" w:rsidRDefault="00DF7285" w:rsidP="0087717C">
      <w:pPr>
        <w:rPr>
          <w:rFonts w:ascii="Times New Roman" w:hAnsi="Times New Roman" w:cs="Times New Roman"/>
          <w:i/>
          <w:iCs/>
          <w:color w:val="000000" w:themeColor="text1"/>
        </w:rPr>
      </w:pPr>
      <w:r w:rsidRPr="00975541">
        <w:rPr>
          <w:rFonts w:ascii="Times New Roman" w:hAnsi="Times New Roman" w:cs="Times New Roman"/>
          <w:color w:val="000000" w:themeColor="text1"/>
        </w:rPr>
        <w:t xml:space="preserve">Ruston, </w:t>
      </w:r>
      <w:r w:rsidR="0087717C" w:rsidRPr="00975541">
        <w:rPr>
          <w:rFonts w:ascii="Times New Roman" w:hAnsi="Times New Roman" w:cs="Times New Roman"/>
          <w:color w:val="000000" w:themeColor="text1"/>
        </w:rPr>
        <w:t>Sharon</w:t>
      </w:r>
      <w:r w:rsidRPr="00975541">
        <w:rPr>
          <w:rFonts w:ascii="Times New Roman" w:hAnsi="Times New Roman" w:cs="Times New Roman"/>
          <w:color w:val="000000" w:themeColor="text1"/>
        </w:rPr>
        <w:t>.</w:t>
      </w:r>
      <w:r w:rsidR="0087717C" w:rsidRPr="00975541">
        <w:rPr>
          <w:rFonts w:ascii="Times New Roman" w:hAnsi="Times New Roman" w:cs="Times New Roman"/>
          <w:color w:val="000000" w:themeColor="text1"/>
        </w:rPr>
        <w:t xml:space="preserve"> </w:t>
      </w:r>
      <w:r w:rsidR="0087717C" w:rsidRPr="00975541">
        <w:rPr>
          <w:rFonts w:ascii="Times New Roman" w:hAnsi="Times New Roman" w:cs="Times New Roman"/>
          <w:i/>
          <w:iCs/>
          <w:color w:val="000000" w:themeColor="text1"/>
        </w:rPr>
        <w:t>Creating Romanticism</w:t>
      </w:r>
      <w:r w:rsidR="0087717C" w:rsidRPr="005D7B29">
        <w:rPr>
          <w:rFonts w:ascii="Times New Roman" w:hAnsi="Times New Roman" w:cs="Times New Roman"/>
          <w:i/>
          <w:iCs/>
          <w:color w:val="000000" w:themeColor="text1"/>
        </w:rPr>
        <w:t xml:space="preserve">: Case Studies in the Literature, Science, and Medicine of </w:t>
      </w:r>
    </w:p>
    <w:p w14:paraId="546F6E49" w14:textId="1D61996A" w:rsidR="0087717C" w:rsidRDefault="0087717C" w:rsidP="00DF7285">
      <w:pPr>
        <w:ind w:firstLine="720"/>
        <w:rPr>
          <w:rFonts w:ascii="Times New Roman" w:hAnsi="Times New Roman" w:cs="Times New Roman"/>
          <w:color w:val="000000" w:themeColor="text1"/>
        </w:rPr>
      </w:pPr>
      <w:r w:rsidRPr="005D7B29">
        <w:rPr>
          <w:rFonts w:ascii="Times New Roman" w:hAnsi="Times New Roman" w:cs="Times New Roman"/>
          <w:i/>
          <w:iCs/>
          <w:color w:val="000000" w:themeColor="text1"/>
        </w:rPr>
        <w:t>the 1790s</w:t>
      </w:r>
      <w:r w:rsidR="00DF7285">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New York: Palgrave, 2013</w:t>
      </w:r>
      <w:r w:rsidR="00DF7285">
        <w:rPr>
          <w:rFonts w:ascii="Times New Roman" w:hAnsi="Times New Roman" w:cs="Times New Roman"/>
          <w:color w:val="000000" w:themeColor="text1"/>
        </w:rPr>
        <w:t>.</w:t>
      </w:r>
    </w:p>
    <w:p w14:paraId="4447413D" w14:textId="3B6C557B" w:rsidR="00E85E51" w:rsidRPr="00975541" w:rsidRDefault="00E85E51" w:rsidP="00975541">
      <w:pPr>
        <w:ind w:left="720" w:hanging="720"/>
        <w:rPr>
          <w:rFonts w:ascii="Times New Roman" w:hAnsi="Times New Roman" w:cs="Times New Roman"/>
        </w:rPr>
      </w:pPr>
      <w:r>
        <w:rPr>
          <w:rFonts w:ascii="Times New Roman" w:hAnsi="Times New Roman" w:cs="Times New Roman"/>
        </w:rPr>
        <w:t xml:space="preserve">Sami Schalk, </w:t>
      </w:r>
      <w:proofErr w:type="spellStart"/>
      <w:r w:rsidRPr="00975541">
        <w:rPr>
          <w:rFonts w:ascii="Times New Roman" w:hAnsi="Times New Roman" w:cs="Times New Roman"/>
        </w:rPr>
        <w:t>Bodyminds</w:t>
      </w:r>
      <w:proofErr w:type="spellEnd"/>
      <w:r w:rsidRPr="00975541">
        <w:rPr>
          <w:rFonts w:ascii="Times New Roman" w:hAnsi="Times New Roman" w:cs="Times New Roman"/>
        </w:rPr>
        <w:t xml:space="preserve"> Reimagined</w:t>
      </w:r>
      <w:r>
        <w:rPr>
          <w:rFonts w:ascii="Times New Roman" w:hAnsi="Times New Roman" w:cs="Times New Roman"/>
        </w:rPr>
        <w:t xml:space="preserve">: </w:t>
      </w:r>
      <w:r w:rsidRPr="00975541">
        <w:rPr>
          <w:rFonts w:ascii="Times New Roman" w:hAnsi="Times New Roman" w:cs="Times New Roman"/>
        </w:rPr>
        <w:t>(Dis)ability, Race, and Gender in Black Women’s Speculative Fiction</w:t>
      </w:r>
      <w:r>
        <w:rPr>
          <w:rFonts w:ascii="Times New Roman" w:hAnsi="Times New Roman" w:cs="Times New Roman"/>
        </w:rPr>
        <w:t>. Durham: Duke U P, 2018.</w:t>
      </w:r>
    </w:p>
    <w:p w14:paraId="73FE0C63" w14:textId="77777777" w:rsidR="00DF7285" w:rsidRDefault="00DF7285" w:rsidP="0087717C">
      <w:pPr>
        <w:rPr>
          <w:rFonts w:ascii="Times New Roman" w:hAnsi="Times New Roman" w:cs="Times New Roman"/>
          <w:color w:val="000000" w:themeColor="text1"/>
        </w:rPr>
      </w:pPr>
      <w:r>
        <w:rPr>
          <w:rFonts w:ascii="Times New Roman" w:hAnsi="Times New Roman" w:cs="Times New Roman"/>
          <w:color w:val="000000" w:themeColor="text1"/>
        </w:rPr>
        <w:t xml:space="preserve">Schiller, </w:t>
      </w:r>
      <w:r w:rsidR="0087717C" w:rsidRPr="005D7B29">
        <w:rPr>
          <w:rFonts w:ascii="Times New Roman" w:hAnsi="Times New Roman" w:cs="Times New Roman"/>
          <w:color w:val="000000" w:themeColor="text1"/>
        </w:rPr>
        <w:t>Friedric</w:t>
      </w:r>
      <w:r>
        <w:rPr>
          <w:rFonts w:ascii="Times New Roman" w:hAnsi="Times New Roman" w:cs="Times New Roman"/>
          <w:color w:val="000000" w:themeColor="text1"/>
        </w:rPr>
        <w:t>h.</w:t>
      </w:r>
      <w:r w:rsidR="0087717C" w:rsidRPr="005D7B29">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On the Aesthetic Education of Man in a Series of Letters</w:t>
      </w:r>
      <w:r>
        <w:rPr>
          <w:rFonts w:ascii="Times New Roman" w:hAnsi="Times New Roman" w:cs="Times New Roman"/>
          <w:color w:val="000000" w:themeColor="text1"/>
        </w:rPr>
        <w:t>. E</w:t>
      </w:r>
      <w:r w:rsidR="0087717C" w:rsidRPr="005D7B29">
        <w:rPr>
          <w:rFonts w:ascii="Times New Roman" w:hAnsi="Times New Roman" w:cs="Times New Roman"/>
          <w:color w:val="000000" w:themeColor="text1"/>
        </w:rPr>
        <w:t xml:space="preserve">d. </w:t>
      </w:r>
      <w:r>
        <w:rPr>
          <w:rFonts w:ascii="Times New Roman" w:hAnsi="Times New Roman" w:cs="Times New Roman"/>
          <w:color w:val="000000" w:themeColor="text1"/>
        </w:rPr>
        <w:t>a</w:t>
      </w:r>
      <w:r w:rsidR="0087717C" w:rsidRPr="005D7B29">
        <w:rPr>
          <w:rFonts w:ascii="Times New Roman" w:hAnsi="Times New Roman" w:cs="Times New Roman"/>
          <w:color w:val="000000" w:themeColor="text1"/>
        </w:rPr>
        <w:t xml:space="preserve">nd trans. </w:t>
      </w:r>
    </w:p>
    <w:p w14:paraId="51E6B7AB" w14:textId="41774D23" w:rsidR="0087717C" w:rsidRPr="005D7B29" w:rsidRDefault="0087717C" w:rsidP="00DF7285">
      <w:pPr>
        <w:ind w:firstLine="720"/>
        <w:rPr>
          <w:rFonts w:ascii="Times New Roman" w:hAnsi="Times New Roman" w:cs="Times New Roman"/>
          <w:color w:val="000000" w:themeColor="text1"/>
        </w:rPr>
      </w:pPr>
      <w:r w:rsidRPr="005D7B29">
        <w:rPr>
          <w:rFonts w:ascii="Times New Roman" w:hAnsi="Times New Roman" w:cs="Times New Roman"/>
          <w:color w:val="000000" w:themeColor="text1"/>
        </w:rPr>
        <w:t>Elizabeth M. Wilkinson and L. Al Willoughby</w:t>
      </w:r>
      <w:r w:rsidR="00DF7285">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Oxford: Clarendon, 1967</w:t>
      </w:r>
      <w:r w:rsidR="00DF7285">
        <w:rPr>
          <w:rFonts w:ascii="Times New Roman" w:hAnsi="Times New Roman" w:cs="Times New Roman"/>
          <w:color w:val="000000" w:themeColor="text1"/>
        </w:rPr>
        <w:t>.</w:t>
      </w:r>
    </w:p>
    <w:p w14:paraId="52F46FEC" w14:textId="6B73F1AB" w:rsidR="00365360" w:rsidRDefault="00365360" w:rsidP="0087717C">
      <w:pPr>
        <w:rPr>
          <w:rFonts w:ascii="Times New Roman" w:hAnsi="Times New Roman" w:cs="Times New Roman"/>
          <w:color w:val="000000" w:themeColor="text1"/>
        </w:rPr>
      </w:pPr>
      <w:r w:rsidRPr="005E3169">
        <w:rPr>
          <w:rFonts w:ascii="Times New Roman" w:hAnsi="Times New Roman" w:cs="Times New Roman"/>
          <w:color w:val="000000" w:themeColor="text1"/>
        </w:rPr>
        <w:t xml:space="preserve">Shelley, </w:t>
      </w:r>
      <w:r>
        <w:rPr>
          <w:rFonts w:ascii="Times New Roman" w:hAnsi="Times New Roman" w:cs="Times New Roman"/>
          <w:color w:val="000000" w:themeColor="text1"/>
        </w:rPr>
        <w:t xml:space="preserve">Mary Wollstonecraft. </w:t>
      </w:r>
      <w:r w:rsidRPr="005E3169">
        <w:rPr>
          <w:rFonts w:ascii="Times New Roman" w:hAnsi="Times New Roman" w:cs="Times New Roman"/>
          <w:i/>
          <w:iCs/>
          <w:color w:val="000000" w:themeColor="text1"/>
        </w:rPr>
        <w:t>Frankenstein, or The Modern Prometheus</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E</w:t>
      </w:r>
      <w:r w:rsidRPr="005E3169">
        <w:rPr>
          <w:rFonts w:ascii="Times New Roman" w:hAnsi="Times New Roman" w:cs="Times New Roman"/>
          <w:color w:val="000000" w:themeColor="text1"/>
        </w:rPr>
        <w:t>d. M.K. Joseph</w:t>
      </w:r>
      <w:r w:rsidR="0025208D">
        <w:rPr>
          <w:rFonts w:ascii="Times New Roman" w:hAnsi="Times New Roman" w:cs="Times New Roman"/>
          <w:color w:val="000000" w:themeColor="text1"/>
        </w:rPr>
        <w:t>.</w:t>
      </w:r>
      <w:r w:rsidRPr="005E3169">
        <w:rPr>
          <w:rFonts w:ascii="Times New Roman" w:hAnsi="Times New Roman" w:cs="Times New Roman"/>
          <w:color w:val="000000" w:themeColor="text1"/>
        </w:rPr>
        <w:t xml:space="preserve"> </w:t>
      </w:r>
    </w:p>
    <w:p w14:paraId="3DFFAF19" w14:textId="0676A27B" w:rsidR="00365360" w:rsidRDefault="00365360" w:rsidP="00365360">
      <w:pPr>
        <w:ind w:firstLine="720"/>
        <w:rPr>
          <w:rFonts w:ascii="Times New Roman" w:hAnsi="Times New Roman" w:cs="Times New Roman"/>
          <w:color w:val="000000" w:themeColor="text1"/>
        </w:rPr>
      </w:pPr>
      <w:r w:rsidRPr="005E3169">
        <w:rPr>
          <w:rFonts w:ascii="Times New Roman" w:hAnsi="Times New Roman" w:cs="Times New Roman"/>
          <w:color w:val="000000" w:themeColor="text1"/>
        </w:rPr>
        <w:t>London: Oxford University Press, 1969</w:t>
      </w:r>
      <w:r>
        <w:rPr>
          <w:rFonts w:ascii="Times New Roman" w:hAnsi="Times New Roman" w:cs="Times New Roman"/>
          <w:color w:val="000000" w:themeColor="text1"/>
        </w:rPr>
        <w:t>.</w:t>
      </w:r>
    </w:p>
    <w:p w14:paraId="213D7571" w14:textId="71EA20F8" w:rsidR="00272EB5" w:rsidRDefault="00272EB5" w:rsidP="0087717C">
      <w:pPr>
        <w:rPr>
          <w:rFonts w:ascii="Times New Roman" w:hAnsi="Times New Roman" w:cs="Times New Roman"/>
          <w:i/>
          <w:iCs/>
          <w:color w:val="000000" w:themeColor="text1"/>
        </w:rPr>
      </w:pPr>
      <w:r>
        <w:rPr>
          <w:rFonts w:ascii="Times New Roman" w:hAnsi="Times New Roman" w:cs="Times New Roman"/>
          <w:color w:val="000000" w:themeColor="text1"/>
        </w:rPr>
        <w:t>Shelley, Per</w:t>
      </w:r>
      <w:r w:rsidR="0087717C" w:rsidRPr="005D7B29">
        <w:rPr>
          <w:rFonts w:ascii="Times New Roman" w:hAnsi="Times New Roman" w:cs="Times New Roman"/>
          <w:color w:val="000000" w:themeColor="text1"/>
        </w:rPr>
        <w:t>cy Bysshe</w:t>
      </w:r>
      <w:r>
        <w:rPr>
          <w:rFonts w:ascii="Times New Roman" w:hAnsi="Times New Roman" w:cs="Times New Roman"/>
          <w:color w:val="000000" w:themeColor="text1"/>
        </w:rPr>
        <w:t>.</w:t>
      </w:r>
      <w:r w:rsidR="0087717C" w:rsidRPr="005D7B29">
        <w:rPr>
          <w:rFonts w:ascii="Times New Roman" w:hAnsi="Times New Roman" w:cs="Times New Roman"/>
          <w:color w:val="000000" w:themeColor="text1"/>
        </w:rPr>
        <w:t xml:space="preserve"> “A Vindication of Natural Diet</w:t>
      </w:r>
      <w:r>
        <w:rPr>
          <w:rFonts w:ascii="Times New Roman" w:hAnsi="Times New Roman" w:cs="Times New Roman"/>
          <w:color w:val="000000" w:themeColor="text1"/>
        </w:rPr>
        <w:t xml:space="preserve">.” </w:t>
      </w:r>
      <w:r w:rsidR="0087717C" w:rsidRPr="005D7B29">
        <w:rPr>
          <w:rFonts w:ascii="Times New Roman" w:hAnsi="Times New Roman" w:cs="Times New Roman"/>
          <w:i/>
          <w:iCs/>
          <w:color w:val="000000" w:themeColor="text1"/>
        </w:rPr>
        <w:t xml:space="preserve">The Complete Works of Percy Bysshe </w:t>
      </w:r>
    </w:p>
    <w:p w14:paraId="1B20EA19" w14:textId="054DB319" w:rsidR="0087717C" w:rsidRPr="005D7B29" w:rsidRDefault="0087717C" w:rsidP="00272EB5">
      <w:pPr>
        <w:ind w:left="720"/>
        <w:rPr>
          <w:rFonts w:ascii="Times New Roman" w:hAnsi="Times New Roman" w:cs="Times New Roman"/>
          <w:color w:val="000000" w:themeColor="text1"/>
        </w:rPr>
      </w:pPr>
      <w:r w:rsidRPr="005D7B29">
        <w:rPr>
          <w:rFonts w:ascii="Times New Roman" w:hAnsi="Times New Roman" w:cs="Times New Roman"/>
          <w:i/>
          <w:iCs/>
          <w:color w:val="000000" w:themeColor="text1"/>
        </w:rPr>
        <w:t>Shelley</w:t>
      </w:r>
      <w:r w:rsidR="00272EB5">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r w:rsidR="00272EB5">
        <w:rPr>
          <w:rFonts w:ascii="Times New Roman" w:hAnsi="Times New Roman" w:cs="Times New Roman"/>
          <w:color w:val="000000" w:themeColor="text1"/>
        </w:rPr>
        <w:t>V</w:t>
      </w:r>
      <w:r w:rsidRPr="005D7B29">
        <w:rPr>
          <w:rFonts w:ascii="Times New Roman" w:hAnsi="Times New Roman" w:cs="Times New Roman"/>
          <w:color w:val="000000" w:themeColor="text1"/>
        </w:rPr>
        <w:t xml:space="preserve">ol. 6, </w:t>
      </w:r>
      <w:r w:rsidRPr="005D7B29">
        <w:rPr>
          <w:rFonts w:ascii="Times New Roman" w:hAnsi="Times New Roman" w:cs="Times New Roman"/>
          <w:i/>
          <w:iCs/>
          <w:color w:val="000000" w:themeColor="text1"/>
        </w:rPr>
        <w:t>Prose</w:t>
      </w:r>
      <w:r w:rsidR="00272EB5">
        <w:rPr>
          <w:rFonts w:ascii="Times New Roman" w:hAnsi="Times New Roman" w:cs="Times New Roman"/>
          <w:color w:val="000000" w:themeColor="text1"/>
        </w:rPr>
        <w:t>. E</w:t>
      </w:r>
      <w:r w:rsidRPr="005D7B29">
        <w:rPr>
          <w:rFonts w:ascii="Times New Roman" w:hAnsi="Times New Roman" w:cs="Times New Roman"/>
          <w:color w:val="000000" w:themeColor="text1"/>
        </w:rPr>
        <w:t xml:space="preserve">d. Roger </w:t>
      </w:r>
      <w:proofErr w:type="spellStart"/>
      <w:r w:rsidRPr="005D7B29">
        <w:rPr>
          <w:rFonts w:ascii="Times New Roman" w:hAnsi="Times New Roman" w:cs="Times New Roman"/>
          <w:color w:val="000000" w:themeColor="text1"/>
        </w:rPr>
        <w:t>Ingpen</w:t>
      </w:r>
      <w:proofErr w:type="spellEnd"/>
      <w:r w:rsidRPr="005D7B29">
        <w:rPr>
          <w:rFonts w:ascii="Times New Roman" w:hAnsi="Times New Roman" w:cs="Times New Roman"/>
          <w:color w:val="000000" w:themeColor="text1"/>
        </w:rPr>
        <w:t xml:space="preserve"> and Walter Edwin Peck</w:t>
      </w:r>
      <w:r w:rsidR="00272EB5">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New York: Gordian Press, 1965</w:t>
      </w:r>
      <w:r w:rsidR="00272EB5">
        <w:rPr>
          <w:rFonts w:ascii="Times New Roman" w:hAnsi="Times New Roman" w:cs="Times New Roman"/>
          <w:color w:val="000000" w:themeColor="text1"/>
        </w:rPr>
        <w:t>.</w:t>
      </w:r>
    </w:p>
    <w:p w14:paraId="35E6BC26" w14:textId="77777777" w:rsidR="00272EB5" w:rsidRDefault="00272EB5" w:rsidP="0087717C">
      <w:pPr>
        <w:rPr>
          <w:rFonts w:ascii="Times New Roman" w:hAnsi="Times New Roman" w:cs="Times New Roman"/>
          <w:color w:val="000000" w:themeColor="text1"/>
        </w:rPr>
      </w:pPr>
      <w:r>
        <w:rPr>
          <w:rFonts w:ascii="Times New Roman" w:hAnsi="Times New Roman" w:cs="Times New Roman"/>
          <w:color w:val="000000" w:themeColor="text1"/>
        </w:rPr>
        <w:t xml:space="preserve">Stanback, </w:t>
      </w:r>
      <w:r w:rsidR="0087717C" w:rsidRPr="005D7B29">
        <w:rPr>
          <w:rFonts w:ascii="Times New Roman" w:hAnsi="Times New Roman" w:cs="Times New Roman"/>
          <w:color w:val="000000" w:themeColor="text1"/>
        </w:rPr>
        <w:t xml:space="preserve">Emily B. </w:t>
      </w:r>
      <w:r w:rsidR="0087717C" w:rsidRPr="005D7B29">
        <w:rPr>
          <w:rFonts w:ascii="Times New Roman" w:hAnsi="Times New Roman" w:cs="Times New Roman"/>
          <w:i/>
          <w:iCs/>
          <w:color w:val="000000" w:themeColor="text1"/>
        </w:rPr>
        <w:t>The Wordsworth-Coleridge Circle and the Aesthetics of Disability</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New </w:t>
      </w:r>
    </w:p>
    <w:p w14:paraId="58C185CA" w14:textId="1B12A8E9" w:rsidR="0087717C" w:rsidRPr="005D7B29" w:rsidRDefault="00272EB5" w:rsidP="00272EB5">
      <w:pPr>
        <w:ind w:firstLine="720"/>
        <w:rPr>
          <w:rFonts w:ascii="Times New Roman" w:hAnsi="Times New Roman" w:cs="Times New Roman"/>
        </w:rPr>
      </w:pPr>
      <w:r>
        <w:rPr>
          <w:rFonts w:ascii="Times New Roman" w:hAnsi="Times New Roman" w:cs="Times New Roman"/>
          <w:color w:val="000000" w:themeColor="text1"/>
        </w:rPr>
        <w:t xml:space="preserve">York: Palgrave Macmillan, </w:t>
      </w:r>
      <w:r w:rsidR="0087717C" w:rsidRPr="005D7B29">
        <w:rPr>
          <w:rFonts w:ascii="Times New Roman" w:hAnsi="Times New Roman" w:cs="Times New Roman"/>
          <w:color w:val="000000" w:themeColor="text1"/>
        </w:rPr>
        <w:t>2017.</w:t>
      </w:r>
    </w:p>
    <w:p w14:paraId="1644A7FE" w14:textId="77777777" w:rsidR="00272EB5" w:rsidRDefault="0087717C" w:rsidP="0087717C">
      <w:pPr>
        <w:rPr>
          <w:rFonts w:ascii="Times New Roman" w:hAnsi="Times New Roman" w:cs="Times New Roman"/>
          <w:color w:val="000000" w:themeColor="text1"/>
        </w:rPr>
      </w:pPr>
      <w:r w:rsidRPr="005D7B29">
        <w:rPr>
          <w:rFonts w:ascii="Times New Roman" w:hAnsi="Times New Roman" w:cs="Times New Roman"/>
          <w:color w:val="000000" w:themeColor="text1"/>
        </w:rPr>
        <w:t xml:space="preserve">Tolentino, </w:t>
      </w:r>
      <w:r w:rsidR="00272EB5">
        <w:rPr>
          <w:rFonts w:ascii="Times New Roman" w:hAnsi="Times New Roman" w:cs="Times New Roman"/>
          <w:color w:val="000000" w:themeColor="text1"/>
        </w:rPr>
        <w:t xml:space="preserve">Jia. </w:t>
      </w:r>
      <w:r w:rsidRPr="005D7B29">
        <w:rPr>
          <w:rFonts w:ascii="Times New Roman" w:hAnsi="Times New Roman" w:cs="Times New Roman"/>
          <w:color w:val="000000" w:themeColor="text1"/>
        </w:rPr>
        <w:t>“Athleisure, Barre, and Kale: The Tyranny of the Ideal Woman</w:t>
      </w:r>
      <w:r w:rsidR="00272EB5">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The Guardian</w:t>
      </w:r>
      <w:r w:rsidR="00272EB5">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p>
    <w:p w14:paraId="133685E1" w14:textId="092388E6" w:rsidR="0087717C" w:rsidRPr="005D7B29" w:rsidRDefault="0087717C" w:rsidP="00272EB5">
      <w:pPr>
        <w:ind w:left="720"/>
        <w:rPr>
          <w:rFonts w:ascii="Times New Roman" w:hAnsi="Times New Roman" w:cs="Times New Roman"/>
          <w:color w:val="000000" w:themeColor="text1"/>
        </w:rPr>
      </w:pPr>
      <w:r w:rsidRPr="005D7B29">
        <w:rPr>
          <w:rFonts w:ascii="Times New Roman" w:hAnsi="Times New Roman" w:cs="Times New Roman"/>
          <w:color w:val="000000" w:themeColor="text1"/>
        </w:rPr>
        <w:t>Friday, August 2, 2019</w:t>
      </w:r>
      <w:r w:rsidR="002052E7">
        <w:rPr>
          <w:rFonts w:ascii="Times New Roman" w:hAnsi="Times New Roman" w:cs="Times New Roman"/>
          <w:color w:val="000000" w:themeColor="text1"/>
        </w:rPr>
        <w:t>.</w:t>
      </w:r>
      <w:r w:rsidRPr="005D7B29">
        <w:rPr>
          <w:rFonts w:ascii="Times New Roman" w:hAnsi="Times New Roman" w:cs="Times New Roman"/>
          <w:color w:val="000000" w:themeColor="text1"/>
        </w:rPr>
        <w:t xml:space="preserve"> </w:t>
      </w:r>
      <w:hyperlink r:id="rId11" w:history="1">
        <w:r w:rsidR="002052E7" w:rsidRPr="00384EC6">
          <w:rPr>
            <w:rStyle w:val="Hyperlink"/>
            <w:rFonts w:ascii="Times New Roman" w:hAnsi="Times New Roman" w:cs="Times New Roman"/>
          </w:rPr>
          <w:t>https://www.theguardian.com/news/2019/aug/02/athleisure-barre-kale-tyranny-ideal-woman-labour</w:t>
        </w:r>
      </w:hyperlink>
    </w:p>
    <w:p w14:paraId="2DBAC701" w14:textId="5445E91D" w:rsidR="0087717C" w:rsidRPr="005D7B29" w:rsidRDefault="00573D7E" w:rsidP="0087717C">
      <w:pPr>
        <w:rPr>
          <w:rFonts w:ascii="Times New Roman" w:hAnsi="Times New Roman" w:cs="Times New Roman"/>
        </w:rPr>
      </w:pPr>
      <w:r>
        <w:rPr>
          <w:rFonts w:ascii="Times New Roman" w:hAnsi="Times New Roman" w:cs="Times New Roman"/>
        </w:rPr>
        <w:t xml:space="preserve">Washington, Harriet A. </w:t>
      </w:r>
      <w:r w:rsidR="0087717C" w:rsidRPr="005D7B29">
        <w:rPr>
          <w:rFonts w:ascii="Times New Roman" w:hAnsi="Times New Roman" w:cs="Times New Roman"/>
          <w:i/>
          <w:iCs/>
        </w:rPr>
        <w:t>Medical Apartheid</w:t>
      </w:r>
      <w:r>
        <w:rPr>
          <w:rFonts w:ascii="Times New Roman" w:hAnsi="Times New Roman" w:cs="Times New Roman"/>
          <w:i/>
          <w:iCs/>
        </w:rPr>
        <w:t xml:space="preserve">. </w:t>
      </w:r>
      <w:r w:rsidR="0087717C" w:rsidRPr="005D7B29">
        <w:rPr>
          <w:rFonts w:ascii="Times New Roman" w:hAnsi="Times New Roman" w:cs="Times New Roman"/>
        </w:rPr>
        <w:t>Toronto: Anchor Books, 2006</w:t>
      </w:r>
      <w:r>
        <w:rPr>
          <w:rFonts w:ascii="Times New Roman" w:hAnsi="Times New Roman" w:cs="Times New Roman"/>
        </w:rPr>
        <w:t>.</w:t>
      </w:r>
    </w:p>
    <w:p w14:paraId="1F5890E6" w14:textId="3CE1E816" w:rsidR="00573D7E" w:rsidRDefault="0087717C" w:rsidP="0087717C">
      <w:pPr>
        <w:rPr>
          <w:rFonts w:ascii="Times New Roman" w:hAnsi="Times New Roman" w:cs="Times New Roman"/>
        </w:rPr>
      </w:pPr>
      <w:r w:rsidRPr="005D7B29">
        <w:rPr>
          <w:rFonts w:ascii="Times New Roman" w:hAnsi="Times New Roman" w:cs="Times New Roman"/>
        </w:rPr>
        <w:t xml:space="preserve">Wollstonecraft, </w:t>
      </w:r>
      <w:r w:rsidR="003B73DD">
        <w:rPr>
          <w:rFonts w:ascii="Times New Roman" w:hAnsi="Times New Roman" w:cs="Times New Roman"/>
        </w:rPr>
        <w:t xml:space="preserve">Mary. </w:t>
      </w:r>
      <w:r w:rsidRPr="005D7B29">
        <w:rPr>
          <w:rFonts w:ascii="Times New Roman" w:hAnsi="Times New Roman" w:cs="Times New Roman"/>
          <w:i/>
          <w:iCs/>
        </w:rPr>
        <w:t>A Vindication of the Rights of Woman</w:t>
      </w:r>
      <w:r w:rsidR="00573D7E">
        <w:rPr>
          <w:rFonts w:ascii="Times New Roman" w:hAnsi="Times New Roman" w:cs="Times New Roman"/>
        </w:rPr>
        <w:t>. E</w:t>
      </w:r>
      <w:r w:rsidRPr="005D7B29">
        <w:rPr>
          <w:rFonts w:ascii="Times New Roman" w:hAnsi="Times New Roman" w:cs="Times New Roman"/>
        </w:rPr>
        <w:t>d. Deidre Shauna Lynch</w:t>
      </w:r>
      <w:r w:rsidR="00573D7E">
        <w:rPr>
          <w:rFonts w:ascii="Times New Roman" w:hAnsi="Times New Roman" w:cs="Times New Roman"/>
        </w:rPr>
        <w:t xml:space="preserve">. </w:t>
      </w:r>
      <w:r w:rsidRPr="005D7B29">
        <w:rPr>
          <w:rFonts w:ascii="Times New Roman" w:hAnsi="Times New Roman" w:cs="Times New Roman"/>
        </w:rPr>
        <w:t xml:space="preserve">New </w:t>
      </w:r>
    </w:p>
    <w:p w14:paraId="71714907" w14:textId="08DFE4E4" w:rsidR="0087717C" w:rsidRPr="005D7B29" w:rsidRDefault="0087717C" w:rsidP="00573D7E">
      <w:pPr>
        <w:ind w:firstLine="720"/>
        <w:rPr>
          <w:rFonts w:ascii="Times New Roman" w:hAnsi="Times New Roman" w:cs="Times New Roman"/>
          <w:color w:val="000000" w:themeColor="text1"/>
        </w:rPr>
      </w:pPr>
      <w:r w:rsidRPr="005D7B29">
        <w:rPr>
          <w:rFonts w:ascii="Times New Roman" w:hAnsi="Times New Roman" w:cs="Times New Roman"/>
        </w:rPr>
        <w:t>York: Norton, 2009</w:t>
      </w:r>
      <w:r w:rsidR="00573D7E">
        <w:rPr>
          <w:rFonts w:ascii="Times New Roman" w:hAnsi="Times New Roman" w:cs="Times New Roman"/>
        </w:rPr>
        <w:t>.</w:t>
      </w:r>
    </w:p>
    <w:p w14:paraId="1C41E763" w14:textId="77777777" w:rsidR="006B352A" w:rsidRDefault="0087717C" w:rsidP="0087717C">
      <w:pPr>
        <w:rPr>
          <w:rFonts w:ascii="Times New Roman" w:hAnsi="Times New Roman" w:cs="Times New Roman"/>
          <w:color w:val="000000" w:themeColor="text1"/>
        </w:rPr>
      </w:pPr>
      <w:r w:rsidRPr="005D7B29">
        <w:rPr>
          <w:rFonts w:ascii="Times New Roman" w:hAnsi="Times New Roman" w:cs="Times New Roman"/>
          <w:color w:val="000000" w:themeColor="text1"/>
        </w:rPr>
        <w:t>Wordsworth,</w:t>
      </w:r>
      <w:r w:rsidR="006B352A">
        <w:rPr>
          <w:rFonts w:ascii="Times New Roman" w:hAnsi="Times New Roman" w:cs="Times New Roman"/>
          <w:color w:val="000000" w:themeColor="text1"/>
        </w:rPr>
        <w:t xml:space="preserve"> William.</w:t>
      </w:r>
      <w:r w:rsidRPr="005D7B29">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Lyrical Ballads and Other Poems, 1797-1820</w:t>
      </w:r>
      <w:r w:rsidR="006B352A">
        <w:rPr>
          <w:rFonts w:ascii="Times New Roman" w:hAnsi="Times New Roman" w:cs="Times New Roman"/>
          <w:i/>
          <w:iCs/>
          <w:color w:val="000000" w:themeColor="text1"/>
        </w:rPr>
        <w:t xml:space="preserve">. </w:t>
      </w:r>
      <w:r w:rsidR="006B352A">
        <w:rPr>
          <w:rFonts w:ascii="Times New Roman" w:hAnsi="Times New Roman" w:cs="Times New Roman"/>
          <w:color w:val="000000" w:themeColor="text1"/>
        </w:rPr>
        <w:t>E</w:t>
      </w:r>
      <w:r w:rsidRPr="005D7B29">
        <w:rPr>
          <w:rFonts w:ascii="Times New Roman" w:hAnsi="Times New Roman" w:cs="Times New Roman"/>
          <w:color w:val="000000" w:themeColor="text1"/>
        </w:rPr>
        <w:t xml:space="preserve">d. James Butler and </w:t>
      </w:r>
    </w:p>
    <w:p w14:paraId="220B7F51" w14:textId="0766A14C" w:rsidR="0087717C" w:rsidRPr="005D7B29" w:rsidRDefault="0087717C" w:rsidP="006B352A">
      <w:pPr>
        <w:ind w:firstLine="720"/>
        <w:rPr>
          <w:rFonts w:ascii="Times New Roman" w:hAnsi="Times New Roman" w:cs="Times New Roman"/>
        </w:rPr>
      </w:pPr>
      <w:r w:rsidRPr="005D7B29">
        <w:rPr>
          <w:rFonts w:ascii="Times New Roman" w:hAnsi="Times New Roman" w:cs="Times New Roman"/>
          <w:color w:val="000000" w:themeColor="text1"/>
        </w:rPr>
        <w:t>Karen Green</w:t>
      </w:r>
      <w:r w:rsidR="006B352A">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Ithaca, NY: Cornell University Press, 1992</w:t>
      </w:r>
      <w:r w:rsidR="006B352A">
        <w:rPr>
          <w:rFonts w:ascii="Times New Roman" w:hAnsi="Times New Roman" w:cs="Times New Roman"/>
          <w:color w:val="000000" w:themeColor="text1"/>
        </w:rPr>
        <w:t>.</w:t>
      </w:r>
    </w:p>
    <w:p w14:paraId="39138885" w14:textId="27B29E84" w:rsidR="006B352A" w:rsidRDefault="0087717C" w:rsidP="0087717C">
      <w:pPr>
        <w:rPr>
          <w:rFonts w:ascii="Times New Roman" w:hAnsi="Times New Roman" w:cs="Times New Roman"/>
          <w:i/>
          <w:iCs/>
          <w:color w:val="000000" w:themeColor="text1"/>
        </w:rPr>
      </w:pPr>
      <w:r w:rsidRPr="005D7B29">
        <w:rPr>
          <w:rFonts w:ascii="Times New Roman" w:hAnsi="Times New Roman" w:cs="Times New Roman"/>
          <w:color w:val="000000" w:themeColor="text1"/>
        </w:rPr>
        <w:t>Wordsworth,</w:t>
      </w:r>
      <w:r w:rsidR="006B352A">
        <w:rPr>
          <w:rFonts w:ascii="Times New Roman" w:hAnsi="Times New Roman" w:cs="Times New Roman"/>
          <w:color w:val="000000" w:themeColor="text1"/>
        </w:rPr>
        <w:t xml:space="preserve"> William.</w:t>
      </w:r>
      <w:r w:rsidRPr="005D7B29">
        <w:rPr>
          <w:rFonts w:ascii="Times New Roman" w:hAnsi="Times New Roman" w:cs="Times New Roman"/>
          <w:color w:val="000000" w:themeColor="text1"/>
        </w:rPr>
        <w:t xml:space="preserve"> “Preface to </w:t>
      </w:r>
      <w:r w:rsidRPr="005D7B29">
        <w:rPr>
          <w:rFonts w:ascii="Times New Roman" w:hAnsi="Times New Roman" w:cs="Times New Roman"/>
          <w:i/>
          <w:iCs/>
          <w:color w:val="000000" w:themeColor="text1"/>
        </w:rPr>
        <w:t>Lyrical Ballads</w:t>
      </w:r>
      <w:r w:rsidRPr="005D7B29">
        <w:rPr>
          <w:rFonts w:ascii="Times New Roman" w:hAnsi="Times New Roman" w:cs="Times New Roman"/>
          <w:color w:val="000000" w:themeColor="text1"/>
        </w:rPr>
        <w:t xml:space="preserve"> (1802)</w:t>
      </w:r>
      <w:r w:rsidR="006B352A">
        <w:rPr>
          <w:rFonts w:ascii="Times New Roman" w:hAnsi="Times New Roman" w:cs="Times New Roman"/>
          <w:color w:val="000000" w:themeColor="text1"/>
        </w:rPr>
        <w:t xml:space="preserve">.” </w:t>
      </w:r>
      <w:r w:rsidRPr="005D7B29">
        <w:rPr>
          <w:rFonts w:ascii="Times New Roman" w:hAnsi="Times New Roman" w:cs="Times New Roman"/>
          <w:i/>
          <w:iCs/>
          <w:color w:val="000000" w:themeColor="text1"/>
        </w:rPr>
        <w:t xml:space="preserve">The Prose Works of William </w:t>
      </w:r>
    </w:p>
    <w:p w14:paraId="36749467" w14:textId="5C1EB2B9" w:rsidR="00F24150" w:rsidRPr="005D7B29" w:rsidRDefault="0087717C" w:rsidP="002C40EF">
      <w:pPr>
        <w:ind w:left="720"/>
        <w:rPr>
          <w:rFonts w:ascii="Times New Roman" w:hAnsi="Times New Roman" w:cs="Times New Roman"/>
          <w:color w:val="000000" w:themeColor="text1"/>
        </w:rPr>
      </w:pPr>
      <w:r w:rsidRPr="005D7B29">
        <w:rPr>
          <w:rFonts w:ascii="Times New Roman" w:hAnsi="Times New Roman" w:cs="Times New Roman"/>
          <w:i/>
          <w:iCs/>
          <w:color w:val="000000" w:themeColor="text1"/>
        </w:rPr>
        <w:t>Wordsworth</w:t>
      </w:r>
      <w:r w:rsidR="006B352A">
        <w:rPr>
          <w:rFonts w:ascii="Times New Roman" w:hAnsi="Times New Roman" w:cs="Times New Roman"/>
          <w:color w:val="000000" w:themeColor="text1"/>
        </w:rPr>
        <w:t>. Ed</w:t>
      </w:r>
      <w:r w:rsidRPr="005D7B29">
        <w:rPr>
          <w:rFonts w:ascii="Times New Roman" w:hAnsi="Times New Roman" w:cs="Times New Roman"/>
          <w:color w:val="000000" w:themeColor="text1"/>
        </w:rPr>
        <w:t xml:space="preserve">. W.J.B. Owen and J.W. </w:t>
      </w:r>
      <w:proofErr w:type="spellStart"/>
      <w:r w:rsidRPr="005D7B29">
        <w:rPr>
          <w:rFonts w:ascii="Times New Roman" w:hAnsi="Times New Roman" w:cs="Times New Roman"/>
          <w:color w:val="000000" w:themeColor="text1"/>
        </w:rPr>
        <w:t>Smyser</w:t>
      </w:r>
      <w:proofErr w:type="spellEnd"/>
      <w:r w:rsidR="006B352A">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2</w:t>
      </w:r>
      <w:r w:rsidRPr="005D7B29">
        <w:rPr>
          <w:rFonts w:ascii="Times New Roman" w:hAnsi="Times New Roman" w:cs="Times New Roman"/>
          <w:color w:val="000000" w:themeColor="text1"/>
          <w:vertAlign w:val="superscript"/>
        </w:rPr>
        <w:t>nd</w:t>
      </w:r>
      <w:r w:rsidRPr="005D7B29">
        <w:rPr>
          <w:rFonts w:ascii="Times New Roman" w:hAnsi="Times New Roman" w:cs="Times New Roman"/>
          <w:color w:val="000000" w:themeColor="text1"/>
        </w:rPr>
        <w:t xml:space="preserve"> </w:t>
      </w:r>
      <w:proofErr w:type="spellStart"/>
      <w:r w:rsidRPr="005D7B29">
        <w:rPr>
          <w:rFonts w:ascii="Times New Roman" w:hAnsi="Times New Roman" w:cs="Times New Roman"/>
          <w:color w:val="000000" w:themeColor="text1"/>
        </w:rPr>
        <w:t>ed</w:t>
      </w:r>
      <w:r w:rsidR="006B352A">
        <w:rPr>
          <w:rFonts w:ascii="Times New Roman" w:hAnsi="Times New Roman" w:cs="Times New Roman"/>
          <w:color w:val="000000" w:themeColor="text1"/>
        </w:rPr>
        <w:t>n</w:t>
      </w:r>
      <w:proofErr w:type="spellEnd"/>
      <w:r w:rsidR="006B352A">
        <w:rPr>
          <w:rFonts w:ascii="Times New Roman" w:hAnsi="Times New Roman" w:cs="Times New Roman"/>
          <w:color w:val="000000" w:themeColor="text1"/>
        </w:rPr>
        <w:t xml:space="preserve">. </w:t>
      </w:r>
      <w:r w:rsidRPr="005D7B29">
        <w:rPr>
          <w:rFonts w:ascii="Times New Roman" w:hAnsi="Times New Roman" w:cs="Times New Roman"/>
          <w:color w:val="000000" w:themeColor="text1"/>
        </w:rPr>
        <w:t>Penrith: Humanities-</w:t>
      </w:r>
      <w:proofErr w:type="spellStart"/>
      <w:r w:rsidRPr="005D7B29">
        <w:rPr>
          <w:rFonts w:ascii="Times New Roman" w:hAnsi="Times New Roman" w:cs="Times New Roman"/>
          <w:color w:val="000000" w:themeColor="text1"/>
        </w:rPr>
        <w:t>Ebooks</w:t>
      </w:r>
      <w:proofErr w:type="spellEnd"/>
      <w:r w:rsidRPr="005D7B29">
        <w:rPr>
          <w:rFonts w:ascii="Times New Roman" w:hAnsi="Times New Roman" w:cs="Times New Roman"/>
          <w:color w:val="000000" w:themeColor="text1"/>
        </w:rPr>
        <w:t>, 2008</w:t>
      </w:r>
      <w:r w:rsidR="006B352A">
        <w:rPr>
          <w:rFonts w:ascii="Times New Roman" w:hAnsi="Times New Roman" w:cs="Times New Roman"/>
          <w:color w:val="000000" w:themeColor="text1"/>
        </w:rPr>
        <w:t>.</w:t>
      </w:r>
    </w:p>
    <w:sectPr w:rsidR="00F24150" w:rsidRPr="005D7B29" w:rsidSect="0099290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2866" w14:textId="77777777" w:rsidR="0099290F" w:rsidRDefault="0099290F" w:rsidP="00721BEF">
      <w:r>
        <w:separator/>
      </w:r>
    </w:p>
  </w:endnote>
  <w:endnote w:type="continuationSeparator" w:id="0">
    <w:p w14:paraId="3F888354" w14:textId="77777777" w:rsidR="0099290F" w:rsidRDefault="0099290F" w:rsidP="00721BEF">
      <w:r>
        <w:continuationSeparator/>
      </w:r>
    </w:p>
  </w:endnote>
  <w:endnote w:type="continuationNotice" w:id="1">
    <w:p w14:paraId="21232824" w14:textId="77777777" w:rsidR="0099290F" w:rsidRDefault="00992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ƒﬁ•”˛">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1853465"/>
      <w:docPartObj>
        <w:docPartGallery w:val="Page Numbers (Bottom of Page)"/>
        <w:docPartUnique/>
      </w:docPartObj>
    </w:sdtPr>
    <w:sdtContent>
      <w:p w14:paraId="7B5B9277" w14:textId="6A5131A8" w:rsidR="00E43BEB" w:rsidRDefault="00E43BEB" w:rsidP="000748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805576" w14:textId="77777777" w:rsidR="00E43BEB" w:rsidRDefault="00E43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DE7D" w14:textId="687B29E9" w:rsidR="00E43BEB" w:rsidRPr="00846F3B" w:rsidRDefault="00E43BEB" w:rsidP="0007486D">
    <w:pPr>
      <w:pStyle w:val="Footer"/>
      <w:framePr w:wrap="none" w:vAnchor="text" w:hAnchor="margin" w:xAlign="center" w:y="1"/>
      <w:rPr>
        <w:rStyle w:val="PageNumber"/>
        <w:rFonts w:ascii="Times New Roman" w:hAnsi="Times New Roman" w:cs="Times New Roman"/>
      </w:rPr>
    </w:pPr>
  </w:p>
  <w:p w14:paraId="7C776A1D" w14:textId="77777777" w:rsidR="00E43BEB" w:rsidRPr="00846F3B" w:rsidRDefault="00E43BEB">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0" w:author="Anna Wingfield" w:date="2024-04-16T22:16:00Z">
        <w:tblPr>
          <w:tblStyle w:val="TableGrid"/>
          <w:tblW w:w="0" w:type="nil"/>
          <w:tblLayout w:type="fixed"/>
          <w:tblLook w:val="06A0" w:firstRow="1" w:lastRow="0" w:firstColumn="1" w:lastColumn="0" w:noHBand="1" w:noVBand="1"/>
        </w:tblPr>
      </w:tblPrChange>
    </w:tblPr>
    <w:tblGrid>
      <w:gridCol w:w="3120"/>
      <w:gridCol w:w="3120"/>
      <w:gridCol w:w="3120"/>
      <w:tblGridChange w:id="11">
        <w:tblGrid>
          <w:gridCol w:w="3120"/>
          <w:gridCol w:w="3120"/>
          <w:gridCol w:w="3120"/>
        </w:tblGrid>
      </w:tblGridChange>
    </w:tblGrid>
    <w:tr w:rsidR="265D79A1" w14:paraId="11A5DBB3" w14:textId="77777777" w:rsidTr="265D79A1">
      <w:trPr>
        <w:trHeight w:val="300"/>
        <w:trPrChange w:id="12" w:author="Anna Wingfield" w:date="2024-04-16T22:16:00Z">
          <w:trPr>
            <w:trHeight w:val="300"/>
          </w:trPr>
        </w:trPrChange>
      </w:trPr>
      <w:tc>
        <w:tcPr>
          <w:tcW w:w="3120" w:type="dxa"/>
          <w:tcPrChange w:id="13" w:author="Anna Wingfield" w:date="2024-04-16T22:16:00Z">
            <w:tcPr>
              <w:tcW w:w="3120" w:type="dxa"/>
            </w:tcPr>
          </w:tcPrChange>
        </w:tcPr>
        <w:p w14:paraId="2DBBAFBB" w14:textId="6B1D8FAE" w:rsidR="265D79A1" w:rsidRDefault="265D79A1">
          <w:pPr>
            <w:pStyle w:val="Header"/>
            <w:ind w:left="-115"/>
            <w:pPrChange w:id="14" w:author="Anna Wingfield" w:date="2024-04-16T22:16:00Z">
              <w:pPr/>
            </w:pPrChange>
          </w:pPr>
        </w:p>
      </w:tc>
      <w:tc>
        <w:tcPr>
          <w:tcW w:w="3120" w:type="dxa"/>
          <w:tcPrChange w:id="15" w:author="Anna Wingfield" w:date="2024-04-16T22:16:00Z">
            <w:tcPr>
              <w:tcW w:w="3120" w:type="dxa"/>
            </w:tcPr>
          </w:tcPrChange>
        </w:tcPr>
        <w:p w14:paraId="55C3D28D" w14:textId="4CD94CC2" w:rsidR="265D79A1" w:rsidRDefault="265D79A1">
          <w:pPr>
            <w:pStyle w:val="Header"/>
            <w:jc w:val="center"/>
            <w:pPrChange w:id="16" w:author="Anna Wingfield" w:date="2024-04-16T22:16:00Z">
              <w:pPr/>
            </w:pPrChange>
          </w:pPr>
        </w:p>
      </w:tc>
      <w:tc>
        <w:tcPr>
          <w:tcW w:w="3120" w:type="dxa"/>
          <w:tcPrChange w:id="17" w:author="Anna Wingfield" w:date="2024-04-16T22:16:00Z">
            <w:tcPr>
              <w:tcW w:w="3120" w:type="dxa"/>
            </w:tcPr>
          </w:tcPrChange>
        </w:tcPr>
        <w:p w14:paraId="0C7FD990" w14:textId="5AA6D3A4" w:rsidR="265D79A1" w:rsidRDefault="265D79A1">
          <w:pPr>
            <w:pStyle w:val="Header"/>
            <w:ind w:right="-115"/>
            <w:jc w:val="right"/>
            <w:pPrChange w:id="18" w:author="Anna Wingfield" w:date="2024-04-16T22:16:00Z">
              <w:pPr/>
            </w:pPrChange>
          </w:pPr>
        </w:p>
      </w:tc>
    </w:tr>
  </w:tbl>
  <w:p w14:paraId="23B553FD" w14:textId="3E571B35" w:rsidR="265D79A1" w:rsidRDefault="265D79A1">
    <w:pPr>
      <w:pStyle w:val="Footer"/>
      <w:pPrChange w:id="19" w:author="Anna Wingfield" w:date="2024-04-16T22:16: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A086" w14:textId="77777777" w:rsidR="0099290F" w:rsidRDefault="0099290F" w:rsidP="00721BEF">
      <w:r>
        <w:separator/>
      </w:r>
    </w:p>
  </w:footnote>
  <w:footnote w:type="continuationSeparator" w:id="0">
    <w:p w14:paraId="32326002" w14:textId="77777777" w:rsidR="0099290F" w:rsidRDefault="0099290F" w:rsidP="00721BEF">
      <w:r>
        <w:continuationSeparator/>
      </w:r>
    </w:p>
  </w:footnote>
  <w:footnote w:type="continuationNotice" w:id="1">
    <w:p w14:paraId="18C4CAD9" w14:textId="77777777" w:rsidR="0099290F" w:rsidRDefault="0099290F"/>
  </w:footnote>
  <w:footnote w:id="2">
    <w:p w14:paraId="5BEF02A3" w14:textId="3AC59E35" w:rsidR="005B21C4" w:rsidRPr="005E3169" w:rsidRDefault="005B21C4" w:rsidP="005B21C4">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t>
      </w:r>
      <w:r w:rsidR="000353C5" w:rsidRPr="000353C5">
        <w:rPr>
          <w:rFonts w:ascii="Times New Roman" w:hAnsi="Times New Roman" w:cs="Times New Roman"/>
          <w:color w:val="000000" w:themeColor="text1"/>
        </w:rPr>
        <w:t>Wordsworth, William. The Prose Works of William Wordsworth. Edited by W.J.B. Owen and Jane Worthington Smyser. 3 vols. Oxford: Clarendon Press, 1974</w:t>
      </w:r>
      <w:r w:rsidR="001C7549">
        <w:rPr>
          <w:rFonts w:ascii="Times New Roman" w:hAnsi="Times New Roman" w:cs="Times New Roman"/>
          <w:color w:val="000000" w:themeColor="text1"/>
        </w:rPr>
        <w:t>, pp.</w:t>
      </w:r>
      <w:r w:rsidR="000353C5">
        <w:rPr>
          <w:rFonts w:ascii="Times New Roman" w:hAnsi="Times New Roman" w:cs="Times New Roman"/>
          <w:color w:val="000000" w:themeColor="text1"/>
        </w:rPr>
        <w:t xml:space="preserve"> 126. </w:t>
      </w:r>
      <w:r w:rsidRPr="005E3169">
        <w:rPr>
          <w:rFonts w:ascii="Times New Roman" w:hAnsi="Times New Roman" w:cs="Times New Roman"/>
          <w:color w:val="000000" w:themeColor="text1"/>
        </w:rPr>
        <w:t xml:space="preserve">William Wordsworth, </w:t>
      </w:r>
      <w:r w:rsidRPr="005E3169">
        <w:rPr>
          <w:rFonts w:ascii="Times New Roman" w:hAnsi="Times New Roman" w:cs="Times New Roman"/>
          <w:i/>
          <w:iCs/>
          <w:color w:val="000000" w:themeColor="text1"/>
        </w:rPr>
        <w:t xml:space="preserve">Lyrical Ballads and Other Poems, 1797-1820, </w:t>
      </w:r>
      <w:r w:rsidRPr="005E3169">
        <w:rPr>
          <w:rFonts w:ascii="Times New Roman" w:hAnsi="Times New Roman" w:cs="Times New Roman"/>
          <w:color w:val="000000" w:themeColor="text1"/>
        </w:rPr>
        <w:t>ed. James Butler and Karen Green (Ithaca, NY: Cornell University Press, 1992)</w:t>
      </w:r>
      <w:r w:rsidR="001C7549">
        <w:rPr>
          <w:rFonts w:ascii="Times New Roman" w:hAnsi="Times New Roman" w:cs="Times New Roman"/>
          <w:color w:val="000000" w:themeColor="text1"/>
        </w:rPr>
        <w:t>,</w:t>
      </w:r>
      <w:r w:rsidR="00A176D9">
        <w:rPr>
          <w:rFonts w:ascii="Times New Roman" w:hAnsi="Times New Roman" w:cs="Times New Roman"/>
          <w:color w:val="000000" w:themeColor="text1"/>
        </w:rPr>
        <w:t xml:space="preserve"> </w:t>
      </w:r>
      <w:r w:rsidRPr="0001666C">
        <w:rPr>
          <w:rFonts w:ascii="Times New Roman" w:hAnsi="Times New Roman" w:cs="Times New Roman"/>
          <w:color w:val="000000" w:themeColor="text1"/>
        </w:rPr>
        <w:t>lines 19-20.</w:t>
      </w:r>
    </w:p>
  </w:footnote>
  <w:footnote w:id="3">
    <w:p w14:paraId="05C7A6F8" w14:textId="5ADE1EA5"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John Keats, </w:t>
      </w:r>
      <w:r w:rsidRPr="005E3169">
        <w:rPr>
          <w:rFonts w:ascii="Times New Roman" w:hAnsi="Times New Roman" w:cs="Times New Roman"/>
          <w:i/>
          <w:iCs/>
          <w:color w:val="000000" w:themeColor="text1"/>
        </w:rPr>
        <w:t xml:space="preserve">The Letters of John Keats, </w:t>
      </w:r>
      <w:r w:rsidRPr="005E3169">
        <w:rPr>
          <w:rFonts w:ascii="Times New Roman" w:hAnsi="Times New Roman" w:cs="Times New Roman"/>
          <w:color w:val="000000" w:themeColor="text1"/>
        </w:rPr>
        <w:t>ed. Hyder Edward Rollins, vol. 2 (Cambridge, MA: Harvard University Press, 1958), pp. 280-2.</w:t>
      </w:r>
    </w:p>
  </w:footnote>
  <w:footnote w:id="4">
    <w:p w14:paraId="314B8AA6" w14:textId="0F942B23" w:rsidR="00E43BEB" w:rsidRPr="005E3169" w:rsidRDefault="00E43BEB" w:rsidP="00721BEF">
      <w:pPr>
        <w:rPr>
          <w:rFonts w:ascii="Times New Roman" w:eastAsia="Times New Roman" w:hAnsi="Times New Roman" w:cs="Times New Roman"/>
          <w:color w:val="000000" w:themeColor="text1"/>
          <w:sz w:val="20"/>
          <w:szCs w:val="20"/>
        </w:rPr>
      </w:pPr>
      <w:r w:rsidRPr="005E3169">
        <w:rPr>
          <w:rStyle w:val="FootnoteReference"/>
          <w:rFonts w:ascii="Times New Roman" w:hAnsi="Times New Roman" w:cs="Times New Roman"/>
          <w:color w:val="000000" w:themeColor="text1"/>
          <w:sz w:val="20"/>
          <w:szCs w:val="20"/>
        </w:rPr>
        <w:footnoteRef/>
      </w:r>
      <w:r w:rsidRPr="005E3169">
        <w:rPr>
          <w:rFonts w:ascii="Times New Roman" w:hAnsi="Times New Roman" w:cs="Times New Roman"/>
          <w:color w:val="000000" w:themeColor="text1"/>
          <w:sz w:val="20"/>
          <w:szCs w:val="20"/>
        </w:rPr>
        <w:t xml:space="preserve"> </w:t>
      </w:r>
      <w:r w:rsidRPr="005E3169">
        <w:rPr>
          <w:rFonts w:ascii="Times New Roman" w:eastAsia="Times New Roman" w:hAnsi="Times New Roman" w:cs="Times New Roman"/>
          <w:color w:val="000000" w:themeColor="text1"/>
          <w:sz w:val="20"/>
          <w:szCs w:val="20"/>
        </w:rPr>
        <w:t xml:space="preserve">Coleridge insisted on Nature as a salutary influence and prized health even as his writing (both published and unpublished) demonstrates the importance of injury, illness, and disability to his literary and philosophical output. </w:t>
      </w:r>
    </w:p>
  </w:footnote>
  <w:footnote w:id="5">
    <w:p w14:paraId="34A1D42F" w14:textId="3A1D6EFE" w:rsidR="005A526A" w:rsidRPr="005E3169" w:rsidRDefault="005A526A">
      <w:pPr>
        <w:pStyle w:val="FootnoteText"/>
        <w:rPr>
          <w:rFonts w:ascii="Times New Roman" w:hAnsi="Times New Roman" w:cs="Times New Roman"/>
        </w:rPr>
      </w:pPr>
      <w:r w:rsidRPr="005E3169">
        <w:rPr>
          <w:rStyle w:val="FootnoteReference"/>
          <w:rFonts w:ascii="Times New Roman" w:hAnsi="Times New Roman" w:cs="Times New Roman"/>
        </w:rPr>
        <w:footnoteRef/>
      </w:r>
      <w:r w:rsidRPr="005E3169">
        <w:rPr>
          <w:rFonts w:ascii="Times New Roman" w:hAnsi="Times New Roman" w:cs="Times New Roman"/>
        </w:rPr>
        <w:t xml:space="preserve"> See Josie Billington, </w:t>
      </w:r>
      <w:r w:rsidRPr="005E3169">
        <w:rPr>
          <w:rFonts w:ascii="Times New Roman" w:hAnsi="Times New Roman" w:cs="Times New Roman"/>
          <w:i/>
          <w:iCs/>
        </w:rPr>
        <w:t xml:space="preserve">Is Literature Healthy? The Literary Agenda </w:t>
      </w:r>
      <w:r w:rsidRPr="005E3169">
        <w:rPr>
          <w:rFonts w:ascii="Times New Roman" w:hAnsi="Times New Roman" w:cs="Times New Roman"/>
        </w:rPr>
        <w:t xml:space="preserve">(Oxford: Oxford University Press, 2016) and Brittany Pladek, </w:t>
      </w:r>
      <w:r w:rsidRPr="005E3169">
        <w:rPr>
          <w:rFonts w:ascii="Times New Roman" w:hAnsi="Times New Roman" w:cs="Times New Roman"/>
          <w:i/>
          <w:iCs/>
        </w:rPr>
        <w:t xml:space="preserve">The Poetics of Palliation: Romantic Literary Therapy, 1790-1850 </w:t>
      </w:r>
      <w:r w:rsidRPr="005E3169">
        <w:rPr>
          <w:rFonts w:ascii="Times New Roman" w:hAnsi="Times New Roman" w:cs="Times New Roman"/>
        </w:rPr>
        <w:t>(Liverpool: Liverpool University Press, 2019).</w:t>
      </w:r>
    </w:p>
  </w:footnote>
  <w:footnote w:id="6">
    <w:p w14:paraId="422A817A" w14:textId="12B3D5FD" w:rsidR="00A27933" w:rsidRPr="005E3169" w:rsidRDefault="00A27933">
      <w:pPr>
        <w:pStyle w:val="FootnoteText"/>
        <w:rPr>
          <w:rFonts w:ascii="Times New Roman" w:hAnsi="Times New Roman" w:cs="Times New Roman"/>
        </w:rPr>
      </w:pPr>
      <w:r w:rsidRPr="005E3169">
        <w:rPr>
          <w:rStyle w:val="FootnoteReference"/>
          <w:rFonts w:ascii="Times New Roman" w:hAnsi="Times New Roman" w:cs="Times New Roman"/>
        </w:rPr>
        <w:footnoteRef/>
      </w:r>
      <w:r w:rsidRPr="005E3169">
        <w:rPr>
          <w:rFonts w:ascii="Times New Roman" w:hAnsi="Times New Roman" w:cs="Times New Roman"/>
        </w:rPr>
        <w:t xml:space="preserve"> Faith in Romantic poetry as therapeutic was still so widespread by 1983 that it formed one of Jerome McGann’s main targets in </w:t>
      </w:r>
      <w:r w:rsidRPr="005E3169">
        <w:rPr>
          <w:rFonts w:ascii="Times New Roman" w:hAnsi="Times New Roman" w:cs="Times New Roman"/>
          <w:i/>
          <w:iCs/>
        </w:rPr>
        <w:t xml:space="preserve">The Romantic Ideology </w:t>
      </w:r>
      <w:r w:rsidRPr="005E3169">
        <w:rPr>
          <w:rFonts w:ascii="Times New Roman" w:hAnsi="Times New Roman" w:cs="Times New Roman"/>
        </w:rPr>
        <w:t>(Chicago: University of Chicago Press, 1983).</w:t>
      </w:r>
    </w:p>
  </w:footnote>
  <w:footnote w:id="7">
    <w:p w14:paraId="31E276D7" w14:textId="764B586B" w:rsidR="00E43BEB" w:rsidRPr="005E3169" w:rsidRDefault="00E43BEB" w:rsidP="00A165B2">
      <w:pPr>
        <w:pStyle w:val="FootnoteText"/>
        <w:spacing w:before="240"/>
        <w:contextualSpacing/>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Sharon Ruston, </w:t>
      </w:r>
      <w:r w:rsidRPr="005E3169">
        <w:rPr>
          <w:rFonts w:ascii="Times New Roman" w:hAnsi="Times New Roman" w:cs="Times New Roman"/>
          <w:i/>
          <w:iCs/>
          <w:color w:val="000000" w:themeColor="text1"/>
        </w:rPr>
        <w:t>Creating Romanticism: Cas</w:t>
      </w:r>
      <w:r w:rsidR="00577297" w:rsidRPr="005E3169">
        <w:rPr>
          <w:rFonts w:ascii="Times New Roman" w:hAnsi="Times New Roman" w:cs="Times New Roman"/>
          <w:i/>
          <w:iCs/>
          <w:color w:val="000000" w:themeColor="text1"/>
        </w:rPr>
        <w:t>e</w:t>
      </w:r>
      <w:r w:rsidRPr="005E3169">
        <w:rPr>
          <w:rFonts w:ascii="Times New Roman" w:hAnsi="Times New Roman" w:cs="Times New Roman"/>
          <w:i/>
          <w:iCs/>
          <w:color w:val="000000" w:themeColor="text1"/>
        </w:rPr>
        <w:t xml:space="preserve"> Studies in the Literature, Science, and Medicine of the 1790s</w:t>
      </w:r>
      <w:r w:rsidRPr="005E3169">
        <w:rPr>
          <w:rFonts w:ascii="Times New Roman" w:hAnsi="Times New Roman" w:cs="Times New Roman"/>
          <w:color w:val="000000" w:themeColor="text1"/>
        </w:rPr>
        <w:t xml:space="preserve"> (New York: Palgrave, 2013), 2.</w:t>
      </w:r>
    </w:p>
  </w:footnote>
  <w:footnote w:id="8">
    <w:p w14:paraId="32D97004" w14:textId="60BAB4FC" w:rsidR="00B670B8" w:rsidRPr="00A407EF" w:rsidRDefault="00B670B8" w:rsidP="00E85E51">
      <w:pPr>
        <w:rPr>
          <w:rFonts w:ascii="Times New Roman" w:hAnsi="Times New Roman" w:cs="Times New Roman"/>
          <w:sz w:val="20"/>
          <w:szCs w:val="20"/>
        </w:rPr>
      </w:pPr>
      <w:r w:rsidRPr="00384BD8">
        <w:rPr>
          <w:rStyle w:val="FootnoteReference"/>
          <w:rFonts w:ascii="Times New Roman" w:hAnsi="Times New Roman" w:cs="Times New Roman"/>
          <w:color w:val="000000" w:themeColor="text1"/>
          <w:sz w:val="20"/>
          <w:szCs w:val="20"/>
        </w:rPr>
        <w:footnoteRef/>
      </w:r>
      <w:r w:rsidRPr="00384BD8">
        <w:rPr>
          <w:rFonts w:ascii="Times New Roman" w:hAnsi="Times New Roman" w:cs="Times New Roman"/>
          <w:color w:val="000000" w:themeColor="text1"/>
          <w:sz w:val="20"/>
          <w:szCs w:val="20"/>
        </w:rPr>
        <w:t xml:space="preserve"> </w:t>
      </w:r>
      <w:r w:rsidRPr="00E85E51">
        <w:rPr>
          <w:rFonts w:ascii="Times New Roman" w:hAnsi="Times New Roman" w:cs="Times New Roman"/>
          <w:color w:val="000000" w:themeColor="text1"/>
          <w:sz w:val="20"/>
          <w:szCs w:val="20"/>
        </w:rPr>
        <w:t>Throughout this essay, we often use the term “bodymind</w:t>
      </w:r>
      <w:r w:rsidR="00A816BA" w:rsidRPr="00E85E51">
        <w:rPr>
          <w:rFonts w:ascii="Times New Roman" w:hAnsi="Times New Roman" w:cs="Times New Roman"/>
          <w:color w:val="000000" w:themeColor="text1"/>
          <w:sz w:val="20"/>
          <w:szCs w:val="20"/>
        </w:rPr>
        <w:t>.</w:t>
      </w:r>
      <w:r w:rsidRPr="00E85E51">
        <w:rPr>
          <w:rFonts w:ascii="Times New Roman" w:hAnsi="Times New Roman" w:cs="Times New Roman"/>
          <w:color w:val="000000" w:themeColor="text1"/>
          <w:sz w:val="20"/>
          <w:szCs w:val="20"/>
        </w:rPr>
        <w:t xml:space="preserve">” </w:t>
      </w:r>
      <w:r w:rsidR="00A816BA" w:rsidRPr="00E85E51">
        <w:rPr>
          <w:rFonts w:ascii="Times New Roman" w:hAnsi="Times New Roman" w:cs="Times New Roman"/>
          <w:color w:val="000000" w:themeColor="text1"/>
          <w:sz w:val="20"/>
          <w:szCs w:val="20"/>
        </w:rPr>
        <w:t xml:space="preserve">Following Margaret Price, many disability studies scholars have adopted </w:t>
      </w:r>
      <w:r w:rsidRPr="00E85E51">
        <w:rPr>
          <w:rFonts w:ascii="Times New Roman" w:hAnsi="Times New Roman" w:cs="Times New Roman"/>
          <w:color w:val="000000" w:themeColor="text1"/>
          <w:sz w:val="20"/>
          <w:szCs w:val="20"/>
        </w:rPr>
        <w:t>the term</w:t>
      </w:r>
      <w:r w:rsidR="00A816BA" w:rsidRPr="00E85E51">
        <w:rPr>
          <w:rFonts w:ascii="Times New Roman" w:hAnsi="Times New Roman" w:cs="Times New Roman"/>
          <w:color w:val="000000" w:themeColor="text1"/>
          <w:sz w:val="20"/>
          <w:szCs w:val="20"/>
        </w:rPr>
        <w:t xml:space="preserve"> </w:t>
      </w:r>
      <w:r w:rsidRPr="00E85E51">
        <w:rPr>
          <w:rFonts w:ascii="Times New Roman" w:hAnsi="Times New Roman" w:cs="Times New Roman"/>
          <w:color w:val="000000" w:themeColor="text1"/>
          <w:sz w:val="20"/>
          <w:szCs w:val="20"/>
        </w:rPr>
        <w:t>in recognition of</w:t>
      </w:r>
      <w:r w:rsidR="00E85E51">
        <w:rPr>
          <w:rFonts w:ascii="Times New Roman" w:hAnsi="Times New Roman" w:cs="Times New Roman"/>
          <w:color w:val="000000" w:themeColor="text1"/>
          <w:sz w:val="20"/>
          <w:szCs w:val="20"/>
        </w:rPr>
        <w:t>, in Sami Schalk’s words,</w:t>
      </w:r>
      <w:r w:rsidRPr="00E85E51">
        <w:rPr>
          <w:rFonts w:ascii="Times New Roman" w:hAnsi="Times New Roman" w:cs="Times New Roman"/>
          <w:color w:val="000000" w:themeColor="text1"/>
          <w:sz w:val="20"/>
          <w:szCs w:val="20"/>
        </w:rPr>
        <w:t xml:space="preserve"> the inextricable “enmeshment” of body and mind (</w:t>
      </w:r>
      <w:r w:rsidR="00E85E51" w:rsidRPr="00E85E51">
        <w:rPr>
          <w:rFonts w:ascii="Times New Roman" w:hAnsi="Times New Roman" w:cs="Times New Roman"/>
          <w:i/>
          <w:iCs/>
          <w:sz w:val="20"/>
          <w:szCs w:val="20"/>
        </w:rPr>
        <w:t>Bodyminds Reimagined: (Dis)ability, Race, and Gender in Black Women’s Speculative Fiction</w:t>
      </w:r>
      <w:r w:rsidR="00E85E51" w:rsidRPr="00E85E51">
        <w:rPr>
          <w:rFonts w:ascii="Times New Roman" w:hAnsi="Times New Roman" w:cs="Times New Roman"/>
          <w:sz w:val="20"/>
          <w:szCs w:val="20"/>
        </w:rPr>
        <w:t>. Durham: Duke U P, 2018</w:t>
      </w:r>
      <w:r w:rsidR="00E85E51">
        <w:rPr>
          <w:rFonts w:ascii="Times New Roman" w:hAnsi="Times New Roman" w:cs="Times New Roman"/>
          <w:sz w:val="20"/>
          <w:szCs w:val="20"/>
        </w:rPr>
        <w:t>, p 5</w:t>
      </w:r>
      <w:r w:rsidR="00E85E51" w:rsidRPr="00E85E51">
        <w:rPr>
          <w:rFonts w:ascii="Times New Roman" w:hAnsi="Times New Roman" w:cs="Times New Roman"/>
          <w:sz w:val="20"/>
          <w:szCs w:val="20"/>
        </w:rPr>
        <w:t>.</w:t>
      </w:r>
      <w:r w:rsidRPr="00E85E51">
        <w:rPr>
          <w:rFonts w:ascii="Times New Roman" w:hAnsi="Times New Roman" w:cs="Times New Roman"/>
          <w:color w:val="000000" w:themeColor="text1"/>
          <w:sz w:val="20"/>
          <w:szCs w:val="20"/>
        </w:rPr>
        <w:t>). As a concept</w:t>
      </w:r>
      <w:r w:rsidRPr="00384BD8">
        <w:rPr>
          <w:rFonts w:ascii="Times New Roman" w:hAnsi="Times New Roman" w:cs="Times New Roman"/>
          <w:color w:val="000000" w:themeColor="text1"/>
          <w:sz w:val="20"/>
          <w:szCs w:val="20"/>
        </w:rPr>
        <w:t>, bodymind resists ableist presumptions that conceive of the mind and the body as separate entities, the latter of which (the body) is and should be under the control of the former (the mind).</w:t>
      </w:r>
      <w:r w:rsidR="001C7549" w:rsidRPr="00384BD8">
        <w:rPr>
          <w:rFonts w:ascii="Times New Roman" w:hAnsi="Times New Roman" w:cs="Times New Roman"/>
          <w:color w:val="000000" w:themeColor="text1"/>
          <w:sz w:val="20"/>
          <w:szCs w:val="20"/>
        </w:rPr>
        <w:t xml:space="preserve"> See Margaret Price, “The Bodymind </w:t>
      </w:r>
      <w:r w:rsidR="001C7549" w:rsidRPr="00A407EF">
        <w:rPr>
          <w:rFonts w:ascii="Times New Roman" w:hAnsi="Times New Roman" w:cs="Times New Roman"/>
          <w:color w:val="000000" w:themeColor="text1"/>
          <w:sz w:val="20"/>
          <w:szCs w:val="20"/>
        </w:rPr>
        <w:t xml:space="preserve">Problem and the Possibilities of Pain.” </w:t>
      </w:r>
      <w:r w:rsidR="001C7549" w:rsidRPr="00A407EF">
        <w:rPr>
          <w:rFonts w:ascii="Times New Roman" w:hAnsi="Times New Roman" w:cs="Times New Roman"/>
          <w:i/>
          <w:iCs/>
          <w:color w:val="000000" w:themeColor="text1"/>
          <w:sz w:val="20"/>
          <w:szCs w:val="20"/>
        </w:rPr>
        <w:t>Hypatia</w:t>
      </w:r>
      <w:r w:rsidR="001C7549" w:rsidRPr="00A407EF">
        <w:rPr>
          <w:rFonts w:ascii="Times New Roman" w:hAnsi="Times New Roman" w:cs="Times New Roman"/>
          <w:color w:val="000000" w:themeColor="text1"/>
          <w:sz w:val="20"/>
          <w:szCs w:val="20"/>
        </w:rPr>
        <w:t>, Vol 30, No. 1 (2015), pp. 268 – 84.</w:t>
      </w:r>
    </w:p>
  </w:footnote>
  <w:footnote w:id="9">
    <w:p w14:paraId="6613BEAF" w14:textId="452E3B3B" w:rsidR="00E43BEB" w:rsidRPr="005E3169" w:rsidRDefault="00E43BEB" w:rsidP="00C64C48">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See for example Alan Richardson, </w:t>
      </w:r>
      <w:r w:rsidRPr="005E3169">
        <w:rPr>
          <w:rFonts w:ascii="Times New Roman" w:hAnsi="Times New Roman" w:cs="Times New Roman"/>
          <w:i/>
          <w:iCs/>
          <w:color w:val="000000" w:themeColor="text1"/>
        </w:rPr>
        <w:t xml:space="preserve">British Romanticism and the Science of the Mind </w:t>
      </w:r>
      <w:r w:rsidRPr="005E3169">
        <w:rPr>
          <w:rFonts w:ascii="Times New Roman" w:hAnsi="Times New Roman" w:cs="Times New Roman"/>
          <w:color w:val="000000" w:themeColor="text1"/>
        </w:rPr>
        <w:t xml:space="preserve">(Cambridge: Cambridge University Press, 2001), George C. Grinnell, </w:t>
      </w:r>
      <w:r w:rsidRPr="005E3169">
        <w:rPr>
          <w:rFonts w:ascii="Times New Roman" w:hAnsi="Times New Roman" w:cs="Times New Roman"/>
          <w:i/>
          <w:iCs/>
          <w:color w:val="000000" w:themeColor="text1"/>
        </w:rPr>
        <w:t xml:space="preserve">The Age of Hypochondria: Interpreting Romantic Health and Illness </w:t>
      </w:r>
      <w:r w:rsidRPr="005E3169">
        <w:rPr>
          <w:rFonts w:ascii="Times New Roman" w:hAnsi="Times New Roman" w:cs="Times New Roman"/>
          <w:color w:val="000000" w:themeColor="text1"/>
        </w:rPr>
        <w:t xml:space="preserve">(New York: Palgrave, 2010), Robert Mitchell, </w:t>
      </w:r>
      <w:r w:rsidRPr="005E3169">
        <w:rPr>
          <w:rFonts w:ascii="Times New Roman" w:hAnsi="Times New Roman" w:cs="Times New Roman"/>
          <w:i/>
          <w:iCs/>
          <w:color w:val="000000" w:themeColor="text1"/>
        </w:rPr>
        <w:t xml:space="preserve">Experimental Life: Vitalism in Romantic Science and Literature </w:t>
      </w:r>
      <w:r w:rsidRPr="005E3169">
        <w:rPr>
          <w:rFonts w:ascii="Times New Roman" w:hAnsi="Times New Roman" w:cs="Times New Roman"/>
          <w:color w:val="000000" w:themeColor="text1"/>
        </w:rPr>
        <w:t>(Baltimore: Johns Hopkins University Press, 2013)</w:t>
      </w:r>
      <w:r w:rsidR="00184693" w:rsidRPr="005E3169">
        <w:rPr>
          <w:rFonts w:ascii="Times New Roman" w:hAnsi="Times New Roman" w:cs="Times New Roman"/>
          <w:color w:val="000000" w:themeColor="text1"/>
        </w:rPr>
        <w:t xml:space="preserve">, </w:t>
      </w:r>
      <w:r w:rsidR="00997204" w:rsidRPr="005E3169">
        <w:rPr>
          <w:rFonts w:ascii="Times New Roman" w:hAnsi="Times New Roman" w:cs="Times New Roman"/>
          <w:color w:val="000000" w:themeColor="text1"/>
        </w:rPr>
        <w:t xml:space="preserve">and </w:t>
      </w:r>
      <w:r w:rsidR="00184693" w:rsidRPr="005E3169">
        <w:rPr>
          <w:rFonts w:ascii="Times New Roman" w:hAnsi="Times New Roman" w:cs="Times New Roman"/>
          <w:color w:val="000000" w:themeColor="text1"/>
        </w:rPr>
        <w:t xml:space="preserve">Emily B. Stanback, </w:t>
      </w:r>
      <w:r w:rsidR="00184693" w:rsidRPr="005E3169">
        <w:rPr>
          <w:rFonts w:ascii="Times New Roman" w:hAnsi="Times New Roman" w:cs="Times New Roman"/>
          <w:i/>
          <w:iCs/>
          <w:color w:val="000000" w:themeColor="text1"/>
        </w:rPr>
        <w:t xml:space="preserve">The Wordsworth-Coleridge Circle and the Aesthetics of Disability </w:t>
      </w:r>
      <w:r w:rsidR="00184693" w:rsidRPr="005E3169">
        <w:rPr>
          <w:rFonts w:ascii="Times New Roman" w:hAnsi="Times New Roman" w:cs="Times New Roman"/>
          <w:color w:val="000000" w:themeColor="text1"/>
        </w:rPr>
        <w:t>(201</w:t>
      </w:r>
      <w:r w:rsidR="00AA3BE0">
        <w:rPr>
          <w:rFonts w:ascii="Times New Roman" w:hAnsi="Times New Roman" w:cs="Times New Roman"/>
          <w:color w:val="000000" w:themeColor="text1"/>
        </w:rPr>
        <w:t>7</w:t>
      </w:r>
      <w:r w:rsidR="00184693" w:rsidRPr="005E3169">
        <w:rPr>
          <w:rFonts w:ascii="Times New Roman" w:hAnsi="Times New Roman" w:cs="Times New Roman"/>
          <w:color w:val="000000" w:themeColor="text1"/>
        </w:rPr>
        <w:t>)</w:t>
      </w:r>
      <w:r w:rsidRPr="005E3169">
        <w:rPr>
          <w:rFonts w:ascii="Times New Roman" w:hAnsi="Times New Roman" w:cs="Times New Roman"/>
          <w:color w:val="000000" w:themeColor="text1"/>
        </w:rPr>
        <w:t>.</w:t>
      </w:r>
    </w:p>
  </w:footnote>
  <w:footnote w:id="10">
    <w:p w14:paraId="2B9D6E6A" w14:textId="7695EE8B" w:rsidR="00883D1E" w:rsidRPr="005E3169" w:rsidRDefault="00883D1E">
      <w:pPr>
        <w:pStyle w:val="FootnoteText"/>
        <w:rPr>
          <w:rFonts w:ascii="Times New Roman" w:hAnsi="Times New Roman" w:cs="Times New Roman"/>
        </w:rPr>
      </w:pPr>
      <w:r w:rsidRPr="005E3169">
        <w:rPr>
          <w:rStyle w:val="FootnoteReference"/>
          <w:rFonts w:ascii="Times New Roman" w:hAnsi="Times New Roman" w:cs="Times New Roman"/>
        </w:rPr>
        <w:footnoteRef/>
      </w:r>
      <w:r w:rsidRPr="005E3169">
        <w:rPr>
          <w:rFonts w:ascii="Times New Roman" w:hAnsi="Times New Roman" w:cs="Times New Roman"/>
        </w:rPr>
        <w:t xml:space="preserve"> For </w:t>
      </w:r>
      <w:r w:rsidR="0064538C" w:rsidRPr="005E3169">
        <w:rPr>
          <w:rFonts w:ascii="Times New Roman" w:hAnsi="Times New Roman" w:cs="Times New Roman"/>
        </w:rPr>
        <w:t>the “normate,” see</w:t>
      </w:r>
      <w:r w:rsidR="00332463" w:rsidRPr="005E3169">
        <w:rPr>
          <w:rFonts w:ascii="Times New Roman" w:hAnsi="Times New Roman" w:cs="Times New Roman"/>
        </w:rPr>
        <w:t xml:space="preserve"> Rosemary Garland-Thomson, “Integrating Disability, Transforming Feminist Theory,” </w:t>
      </w:r>
      <w:r w:rsidR="00332463" w:rsidRPr="005E3169">
        <w:rPr>
          <w:rFonts w:ascii="Times New Roman" w:hAnsi="Times New Roman" w:cs="Times New Roman"/>
          <w:i/>
          <w:iCs/>
        </w:rPr>
        <w:t xml:space="preserve">NWSA Journal </w:t>
      </w:r>
      <w:r w:rsidR="00332463" w:rsidRPr="005E3169">
        <w:rPr>
          <w:rFonts w:ascii="Times New Roman" w:hAnsi="Times New Roman" w:cs="Times New Roman"/>
        </w:rPr>
        <w:t xml:space="preserve">14.3 (2002), </w:t>
      </w:r>
      <w:r w:rsidR="000110E7" w:rsidRPr="005E3169">
        <w:rPr>
          <w:rFonts w:ascii="Times New Roman" w:hAnsi="Times New Roman" w:cs="Times New Roman"/>
        </w:rPr>
        <w:t xml:space="preserve">pp. </w:t>
      </w:r>
      <w:r w:rsidR="00332463" w:rsidRPr="005E3169">
        <w:rPr>
          <w:rFonts w:ascii="Times New Roman" w:hAnsi="Times New Roman" w:cs="Times New Roman"/>
        </w:rPr>
        <w:t>1-32.</w:t>
      </w:r>
      <w:r w:rsidR="0064538C" w:rsidRPr="005E3169">
        <w:rPr>
          <w:rFonts w:ascii="Times New Roman" w:hAnsi="Times New Roman" w:cs="Times New Roman"/>
        </w:rPr>
        <w:t xml:space="preserve"> </w:t>
      </w:r>
    </w:p>
  </w:footnote>
  <w:footnote w:id="11">
    <w:p w14:paraId="04D52711" w14:textId="60848507" w:rsidR="00905742" w:rsidRPr="005505B6" w:rsidRDefault="00905742">
      <w:pPr>
        <w:pStyle w:val="FootnoteText"/>
        <w:rPr>
          <w:rFonts w:ascii="Times New Roman" w:hAnsi="Times New Roman" w:cs="Times New Roman"/>
        </w:rPr>
      </w:pPr>
      <w:r w:rsidRPr="005E3169">
        <w:rPr>
          <w:rStyle w:val="FootnoteReference"/>
          <w:rFonts w:ascii="Times New Roman" w:hAnsi="Times New Roman" w:cs="Times New Roman"/>
        </w:rPr>
        <w:footnoteRef/>
      </w:r>
      <w:r w:rsidRPr="005E3169">
        <w:rPr>
          <w:rFonts w:ascii="Times New Roman" w:hAnsi="Times New Roman" w:cs="Times New Roman"/>
        </w:rPr>
        <w:t xml:space="preserve"> For </w:t>
      </w:r>
      <w:r w:rsidR="005505B6">
        <w:rPr>
          <w:rFonts w:ascii="Times New Roman" w:hAnsi="Times New Roman" w:cs="Times New Roman"/>
        </w:rPr>
        <w:t>Beddoes and Lamb</w:t>
      </w:r>
      <w:r w:rsidRPr="005E3169">
        <w:rPr>
          <w:rFonts w:ascii="Times New Roman" w:hAnsi="Times New Roman" w:cs="Times New Roman"/>
        </w:rPr>
        <w:t xml:space="preserve">, see Emily B. Stanback, </w:t>
      </w:r>
      <w:r w:rsidR="007367B8" w:rsidRPr="005E3169">
        <w:rPr>
          <w:rFonts w:ascii="Times New Roman" w:hAnsi="Times New Roman" w:cs="Times New Roman"/>
          <w:i/>
          <w:iCs/>
        </w:rPr>
        <w:t xml:space="preserve">The Wordsworth-Coleridge Circle and the Aesthetics of Disability </w:t>
      </w:r>
      <w:r w:rsidR="007367B8" w:rsidRPr="005E3169">
        <w:rPr>
          <w:rFonts w:ascii="Times New Roman" w:hAnsi="Times New Roman" w:cs="Times New Roman"/>
        </w:rPr>
        <w:t xml:space="preserve">(New York: Palgrave </w:t>
      </w:r>
      <w:r w:rsidR="00826124">
        <w:rPr>
          <w:rFonts w:ascii="Times New Roman" w:hAnsi="Times New Roman" w:cs="Times New Roman"/>
        </w:rPr>
        <w:t>M</w:t>
      </w:r>
      <w:r w:rsidR="007367B8" w:rsidRPr="005E3169">
        <w:rPr>
          <w:rFonts w:ascii="Times New Roman" w:hAnsi="Times New Roman" w:cs="Times New Roman"/>
        </w:rPr>
        <w:t>acmillan, 2017).</w:t>
      </w:r>
      <w:r w:rsidR="005505B6">
        <w:rPr>
          <w:rFonts w:ascii="Times New Roman" w:hAnsi="Times New Roman" w:cs="Times New Roman"/>
        </w:rPr>
        <w:t xml:space="preserve"> </w:t>
      </w:r>
      <w:r w:rsidR="005505B6" w:rsidRPr="005E4D07">
        <w:rPr>
          <w:rFonts w:ascii="Times New Roman" w:hAnsi="Times New Roman" w:cs="Times New Roman"/>
        </w:rPr>
        <w:t xml:space="preserve">For Dorothy Wordsworth, see Polly Atkin’s </w:t>
      </w:r>
      <w:r w:rsidR="005505B6" w:rsidRPr="005E4D07">
        <w:rPr>
          <w:rFonts w:ascii="Times New Roman" w:hAnsi="Times New Roman" w:cs="Times New Roman"/>
          <w:i/>
          <w:iCs/>
        </w:rPr>
        <w:t>Recovering Dorothy</w:t>
      </w:r>
      <w:r w:rsidR="005E4D07" w:rsidRPr="005E4D07">
        <w:rPr>
          <w:rFonts w:ascii="Times New Roman" w:hAnsi="Times New Roman" w:cs="Times New Roman"/>
        </w:rPr>
        <w:t>: The Hidden Life of Dorothy Wordsworth</w:t>
      </w:r>
      <w:r w:rsidR="005505B6" w:rsidRPr="005E4D07">
        <w:rPr>
          <w:rFonts w:ascii="Times New Roman" w:hAnsi="Times New Roman" w:cs="Times New Roman"/>
        </w:rPr>
        <w:t>.</w:t>
      </w:r>
      <w:r w:rsidR="005E4D07">
        <w:rPr>
          <w:rFonts w:ascii="Times New Roman" w:hAnsi="Times New Roman" w:cs="Times New Roman"/>
        </w:rPr>
        <w:t xml:space="preserve"> Salford: Saraband, 2021.</w:t>
      </w:r>
    </w:p>
  </w:footnote>
  <w:footnote w:id="12">
    <w:p w14:paraId="73CDD9EB" w14:textId="78BF3153"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For example, the fall 2018 “Resistance in the Spirit of Romanticism” conference held at the University of Colorado, Boulder, hosted a pedagogy workshop to which considerations of wellbeing were central. Meanwhile, the 18</w:t>
      </w:r>
      <w:r w:rsidRPr="005E3169">
        <w:rPr>
          <w:rFonts w:ascii="Times New Roman" w:hAnsi="Times New Roman" w:cs="Times New Roman"/>
          <w:color w:val="000000" w:themeColor="text1"/>
          <w:vertAlign w:val="superscript"/>
        </w:rPr>
        <w:t>th</w:t>
      </w:r>
      <w:r w:rsidRPr="005E3169">
        <w:rPr>
          <w:rFonts w:ascii="Times New Roman" w:hAnsi="Times New Roman" w:cs="Times New Roman"/>
          <w:color w:val="000000" w:themeColor="text1"/>
        </w:rPr>
        <w:t>- and 19</w:t>
      </w:r>
      <w:r w:rsidRPr="005E3169">
        <w:rPr>
          <w:rFonts w:ascii="Times New Roman" w:hAnsi="Times New Roman" w:cs="Times New Roman"/>
          <w:color w:val="000000" w:themeColor="text1"/>
          <w:vertAlign w:val="superscript"/>
        </w:rPr>
        <w:t>th</w:t>
      </w:r>
      <w:r w:rsidRPr="005E3169">
        <w:rPr>
          <w:rFonts w:ascii="Times New Roman" w:hAnsi="Times New Roman" w:cs="Times New Roman"/>
          <w:color w:val="000000" w:themeColor="text1"/>
        </w:rPr>
        <w:t xml:space="preserve">-century twitter community has regular conversations about pedagogy, accessibility, and instructor and student wellbeing. </w:t>
      </w:r>
    </w:p>
  </w:footnote>
  <w:footnote w:id="13">
    <w:p w14:paraId="49D99A45" w14:textId="58174F37" w:rsidR="00E43BEB" w:rsidRPr="005E3169" w:rsidRDefault="00E43BEB" w:rsidP="002D2650">
      <w:pPr>
        <w:pStyle w:val="FootnoteText"/>
        <w:contextualSpacing/>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For work that uses “wellness” in the same way we use “wellbeing,” see Katherine Cumings Mansfield, Anjalé D. Welton, and Pei-Ling Lee, </w:t>
      </w:r>
      <w:r w:rsidRPr="005E3169">
        <w:rPr>
          <w:rFonts w:ascii="Times New Roman" w:hAnsi="Times New Roman" w:cs="Times New Roman"/>
          <w:i/>
          <w:iCs/>
          <w:color w:val="000000" w:themeColor="text1"/>
        </w:rPr>
        <w:t xml:space="preserve">Identity Intersectionalities, Mentoring, and Work-Life (Im)Balance: Educators (Re)negotiate the Personal, Professional and Political </w:t>
      </w:r>
      <w:r w:rsidRPr="005E3169">
        <w:rPr>
          <w:rFonts w:ascii="Times New Roman" w:hAnsi="Times New Roman" w:cs="Times New Roman"/>
          <w:color w:val="000000" w:themeColor="text1"/>
        </w:rPr>
        <w:t>(Charlotte, NC: IAP Information Age Publishing, 2016).</w:t>
      </w:r>
    </w:p>
  </w:footnote>
  <w:footnote w:id="14">
    <w:p w14:paraId="4F76FCDC" w14:textId="39030E5C" w:rsidR="00E43BEB" w:rsidRPr="005E3169" w:rsidRDefault="00E43BEB" w:rsidP="00941D4F">
      <w:pPr>
        <w:rPr>
          <w:rFonts w:ascii="Times New Roman" w:eastAsia="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t>
      </w:r>
      <w:r w:rsidRPr="005E3169">
        <w:rPr>
          <w:rFonts w:ascii="Times New Roman" w:eastAsia="Times New Roman" w:hAnsi="Times New Roman" w:cs="Times New Roman"/>
          <w:color w:val="000000" w:themeColor="text1"/>
          <w:sz w:val="20"/>
          <w:szCs w:val="20"/>
        </w:rPr>
        <w:t>“wellness, n.”. OED Online. December 2019. Oxford University Press. https://oed.com/view/Entry/227459?redirectedFrom=wellness (accessed February 07, 2020).</w:t>
      </w:r>
    </w:p>
  </w:footnote>
  <w:footnote w:id="15">
    <w:p w14:paraId="6AA32F28" w14:textId="3FE1BA33" w:rsidR="00E43BEB" w:rsidRPr="005E3169" w:rsidRDefault="00E43BEB" w:rsidP="009E75DE">
      <w:pPr>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t>
      </w:r>
      <w:r w:rsidRPr="005E3169">
        <w:rPr>
          <w:rFonts w:ascii="Times New Roman" w:hAnsi="Times New Roman" w:cs="Times New Roman"/>
          <w:color w:val="000000" w:themeColor="text1"/>
          <w:sz w:val="20"/>
          <w:szCs w:val="20"/>
        </w:rPr>
        <w:t xml:space="preserve">See Elizabeth Currid-Halkett, </w:t>
      </w:r>
      <w:r w:rsidRPr="005E3169">
        <w:rPr>
          <w:rFonts w:ascii="Times New Roman" w:hAnsi="Times New Roman" w:cs="Times New Roman"/>
          <w:i/>
          <w:iCs/>
          <w:color w:val="000000" w:themeColor="text1"/>
          <w:sz w:val="20"/>
          <w:szCs w:val="20"/>
        </w:rPr>
        <w:t>The Sum of Small Things: A Theory of the Aspirational Class</w:t>
      </w:r>
      <w:r w:rsidRPr="005E3169">
        <w:rPr>
          <w:rFonts w:ascii="Times New Roman" w:hAnsi="Times New Roman" w:cs="Times New Roman"/>
          <w:color w:val="000000" w:themeColor="text1"/>
          <w:sz w:val="20"/>
          <w:szCs w:val="20"/>
        </w:rPr>
        <w:t xml:space="preserve"> (Princeton: Princeton University Press, 2019).</w:t>
      </w:r>
    </w:p>
  </w:footnote>
  <w:footnote w:id="16">
    <w:p w14:paraId="31DF6BDB" w14:textId="7E7B99C7" w:rsidR="00E43BEB" w:rsidRPr="005E3169" w:rsidRDefault="00E43BEB" w:rsidP="009E75DE">
      <w:pPr>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sz w:val="20"/>
          <w:szCs w:val="20"/>
        </w:rPr>
        <w:footnoteRef/>
      </w:r>
      <w:r w:rsidRPr="005E3169">
        <w:rPr>
          <w:rFonts w:ascii="Times New Roman" w:hAnsi="Times New Roman" w:cs="Times New Roman"/>
          <w:color w:val="000000" w:themeColor="text1"/>
          <w:sz w:val="20"/>
          <w:szCs w:val="20"/>
        </w:rPr>
        <w:t xml:space="preserve"> See Jia Tolentino, “Athleisure, Barre, and Kale: The Tyranny of the Ideal Woman,” </w:t>
      </w:r>
      <w:r w:rsidRPr="005E3169">
        <w:rPr>
          <w:rFonts w:ascii="Times New Roman" w:hAnsi="Times New Roman" w:cs="Times New Roman"/>
          <w:i/>
          <w:iCs/>
          <w:color w:val="000000" w:themeColor="text1"/>
          <w:sz w:val="20"/>
          <w:szCs w:val="20"/>
        </w:rPr>
        <w:t>The Guardian</w:t>
      </w:r>
      <w:r w:rsidRPr="005E3169">
        <w:rPr>
          <w:rFonts w:ascii="Times New Roman" w:hAnsi="Times New Roman" w:cs="Times New Roman"/>
          <w:color w:val="000000" w:themeColor="text1"/>
          <w:sz w:val="20"/>
          <w:szCs w:val="20"/>
        </w:rPr>
        <w:t xml:space="preserve">, Friday, August 2, 2019,  </w:t>
      </w:r>
      <w:hyperlink r:id="rId1" w:history="1">
        <w:r w:rsidRPr="005E3169">
          <w:rPr>
            <w:rStyle w:val="Hyperlink"/>
            <w:rFonts w:ascii="Times New Roman" w:hAnsi="Times New Roman" w:cs="Times New Roman"/>
            <w:color w:val="000000" w:themeColor="text1"/>
            <w:sz w:val="20"/>
            <w:szCs w:val="20"/>
          </w:rPr>
          <w:t>https://www.theguardian.com/news/2019/aug/02/athleisure-barre-kale-tyranny-ideal-woman-labour</w:t>
        </w:r>
      </w:hyperlink>
      <w:r w:rsidRPr="005E3169">
        <w:rPr>
          <w:rFonts w:ascii="Times New Roman" w:hAnsi="Times New Roman" w:cs="Times New Roman"/>
          <w:color w:val="000000" w:themeColor="text1"/>
          <w:sz w:val="20"/>
          <w:szCs w:val="20"/>
        </w:rPr>
        <w:t>.</w:t>
      </w:r>
    </w:p>
  </w:footnote>
  <w:footnote w:id="17">
    <w:p w14:paraId="40431980" w14:textId="7FA93A3C"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The oppressive nature of wellness expectations came out vividly in the debate around the 2019 Peloton commercial in which an already slender woman, after being gifted a $2500 stationary bike by her partner, used her phone to document a year of her daily exercise routine, which she edited into a video to share with her partner. Critics castigated the commercial’s dangerously sexist assumption that women should undertake grueling—and possibly unchosen—exercise regimens in order uphold an ideal of femininity. To our minds, the commercial’s celebration of documenting exercise illustrates how some strains of wellness culture privilege the performance of specific visions of “health,” even possibly over health itself.</w:t>
      </w:r>
    </w:p>
  </w:footnote>
  <w:footnote w:id="18">
    <w:p w14:paraId="105D86AA" w14:textId="28E60368" w:rsidR="00E43BEB" w:rsidRPr="005E3169" w:rsidRDefault="00E43BEB" w:rsidP="009E75DE">
      <w:pPr>
        <w:rPr>
          <w:rFonts w:ascii="Times New Roman" w:eastAsia="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t>
      </w:r>
      <w:r w:rsidRPr="005E3169">
        <w:rPr>
          <w:rFonts w:ascii="Times New Roman" w:eastAsia="Times New Roman" w:hAnsi="Times New Roman" w:cs="Times New Roman"/>
          <w:color w:val="000000" w:themeColor="text1"/>
          <w:sz w:val="20"/>
          <w:szCs w:val="20"/>
        </w:rPr>
        <w:t>“well-being, n.”. OED Online. December 2019. Oxford University Press. https://oed.com/view/Entry/227050?redirectedFrom=wellbeing (accessed February 07, 2020).</w:t>
      </w:r>
    </w:p>
  </w:footnote>
  <w:footnote w:id="19">
    <w:p w14:paraId="6CC6AAEC" w14:textId="5AC526FE"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Christopher Lawrence writes, </w:t>
      </w:r>
      <w:r w:rsidRPr="005E3169">
        <w:rPr>
          <w:rFonts w:ascii="Times New Roman" w:eastAsia="Times New Roman" w:hAnsi="Times New Roman" w:cs="Times New Roman"/>
          <w:color w:val="000000" w:themeColor="text1"/>
        </w:rPr>
        <w:t xml:space="preserve">“Rational medicine in the eighteenth century had a language for constituting a person in terms of his life history and experiences. It could describe a person’s own </w:t>
      </w:r>
      <w:r w:rsidRPr="005E3169">
        <w:rPr>
          <w:rFonts w:ascii="Times New Roman" w:eastAsia="Times New Roman" w:hAnsi="Times New Roman" w:cs="Times New Roman"/>
          <w:i/>
          <w:iCs/>
          <w:color w:val="000000" w:themeColor="text1"/>
        </w:rPr>
        <w:t xml:space="preserve">natural </w:t>
      </w:r>
      <w:r w:rsidRPr="005E3169">
        <w:rPr>
          <w:rFonts w:ascii="Times New Roman" w:eastAsia="Times New Roman" w:hAnsi="Times New Roman" w:cs="Times New Roman"/>
          <w:color w:val="000000" w:themeColor="text1"/>
        </w:rPr>
        <w:t xml:space="preserve">state and (sometimes) restore him to it if he fell sick. Nineteenth-century medical men were developing a language (which we still use) for situating all people in relation to each other, for measuring their deviation from the </w:t>
      </w:r>
      <w:r w:rsidRPr="005E3169">
        <w:rPr>
          <w:rFonts w:ascii="Times New Roman" w:eastAsia="Times New Roman" w:hAnsi="Times New Roman" w:cs="Times New Roman"/>
          <w:i/>
          <w:iCs/>
          <w:color w:val="000000" w:themeColor="text1"/>
        </w:rPr>
        <w:t>normal</w:t>
      </w:r>
      <w:r w:rsidRPr="005E3169">
        <w:rPr>
          <w:rFonts w:ascii="Times New Roman" w:eastAsia="Times New Roman" w:hAnsi="Times New Roman" w:cs="Times New Roman"/>
          <w:color w:val="000000" w:themeColor="text1"/>
        </w:rPr>
        <w:t xml:space="preserve">, and, increasingly, for managing their deviations from that norm.” Christopher Lawrence, </w:t>
      </w:r>
      <w:r w:rsidRPr="005E3169">
        <w:rPr>
          <w:rFonts w:ascii="Times New Roman" w:eastAsia="Times New Roman" w:hAnsi="Times New Roman" w:cs="Times New Roman"/>
          <w:i/>
          <w:iCs/>
          <w:color w:val="000000" w:themeColor="text1"/>
        </w:rPr>
        <w:t xml:space="preserve">Medicine in the Making of Modern Britain, 1700-1900 </w:t>
      </w:r>
      <w:r w:rsidRPr="005E3169">
        <w:rPr>
          <w:rFonts w:ascii="Times New Roman" w:eastAsia="Times New Roman" w:hAnsi="Times New Roman" w:cs="Times New Roman"/>
          <w:color w:val="000000" w:themeColor="text1"/>
        </w:rPr>
        <w:t>(New York: Routledge, 1994), 45.</w:t>
      </w:r>
    </w:p>
  </w:footnote>
  <w:footnote w:id="20">
    <w:p w14:paraId="00AF4360" w14:textId="5D0FEB22" w:rsidR="00E43BEB" w:rsidRPr="005E3169" w:rsidRDefault="00E43BEB" w:rsidP="00797FE0">
      <w:pPr>
        <w:pStyle w:val="NormalWeb"/>
        <w:spacing w:before="0" w:beforeAutospacing="0" w:after="0" w:afterAutospacing="0"/>
        <w:rPr>
          <w:color w:val="000000" w:themeColor="text1"/>
          <w:sz w:val="20"/>
          <w:szCs w:val="20"/>
        </w:rPr>
      </w:pPr>
      <w:r w:rsidRPr="005E3169">
        <w:rPr>
          <w:rStyle w:val="FootnoteReference"/>
          <w:color w:val="000000" w:themeColor="text1"/>
          <w:sz w:val="20"/>
          <w:szCs w:val="20"/>
        </w:rPr>
        <w:footnoteRef/>
      </w:r>
      <w:r w:rsidRPr="005E3169">
        <w:rPr>
          <w:color w:val="000000" w:themeColor="text1"/>
          <w:sz w:val="20"/>
          <w:szCs w:val="20"/>
        </w:rPr>
        <w:t xml:space="preserve"> Samuel Taylor Coleridge, </w:t>
      </w:r>
      <w:r w:rsidRPr="005E3169">
        <w:rPr>
          <w:i/>
          <w:iCs/>
          <w:color w:val="000000" w:themeColor="text1"/>
          <w:sz w:val="20"/>
          <w:szCs w:val="20"/>
        </w:rPr>
        <w:t xml:space="preserve">Collected Letters of Samuel Taylor Coleridge, </w:t>
      </w:r>
      <w:r w:rsidRPr="005E3169">
        <w:rPr>
          <w:color w:val="000000" w:themeColor="text1"/>
          <w:sz w:val="20"/>
          <w:szCs w:val="20"/>
        </w:rPr>
        <w:t xml:space="preserve">vol. 2, </w:t>
      </w:r>
      <w:r w:rsidRPr="005E3169">
        <w:rPr>
          <w:i/>
          <w:iCs/>
          <w:color w:val="000000" w:themeColor="text1"/>
          <w:sz w:val="20"/>
          <w:szCs w:val="20"/>
        </w:rPr>
        <w:t>1801–1806</w:t>
      </w:r>
      <w:r w:rsidRPr="005E3169">
        <w:rPr>
          <w:color w:val="000000" w:themeColor="text1"/>
          <w:sz w:val="20"/>
          <w:szCs w:val="20"/>
        </w:rPr>
        <w:t>, ed. Earl Leslie Griggs (Oxford: Clarendon Press, 1956), p. 1115 (Letter #591 to Sarah Coleridge, April 1, 1804). See also Letter #600 to Sara Coleridge, June 5, 1804 in the same volume, p. 1140. A valuable study might be written on Coleridge’s various definitions of wellbeing. In response to his chronic illnesses he is at different times vulnerable and stoic: “The effect of years cannot be done away with in a few weeks—I am tranquil &amp; resigned—and even if I should not bring back Health, I shall at least bring back experience, &amp; suffer with patience &amp; in silence,” he writes to Sara (</w:t>
      </w:r>
      <w:r w:rsidRPr="005E3169">
        <w:rPr>
          <w:i/>
          <w:iCs/>
          <w:color w:val="000000" w:themeColor="text1"/>
          <w:sz w:val="20"/>
          <w:szCs w:val="20"/>
        </w:rPr>
        <w:t xml:space="preserve">Letters, </w:t>
      </w:r>
      <w:r w:rsidRPr="005E3169">
        <w:rPr>
          <w:color w:val="000000" w:themeColor="text1"/>
          <w:sz w:val="20"/>
          <w:szCs w:val="20"/>
        </w:rPr>
        <w:t xml:space="preserve">2: p. 1140). Years later, in a May 25, 1820 letter to J. H. Green, he would postulate that his body had been so greatly changed by illness that were any one organ to be magically repaired to its original healthy state, the rest of his “Organismus” would reject it, “as if, for instance, a </w:t>
      </w:r>
      <w:r w:rsidRPr="005E3169">
        <w:rPr>
          <w:i/>
          <w:iCs/>
          <w:color w:val="000000" w:themeColor="text1"/>
          <w:sz w:val="20"/>
          <w:szCs w:val="20"/>
        </w:rPr>
        <w:t>worn</w:t>
      </w:r>
      <w:r w:rsidRPr="005E3169">
        <w:rPr>
          <w:color w:val="000000" w:themeColor="text1"/>
          <w:sz w:val="20"/>
          <w:szCs w:val="20"/>
        </w:rPr>
        <w:t xml:space="preserve"> lock with an equally worn key—might no longer fit the lock. The repaired organs might from intimate in-correspondence be the causes of torture and madness” (</w:t>
      </w:r>
      <w:r w:rsidRPr="005E3169">
        <w:rPr>
          <w:i/>
          <w:iCs/>
          <w:color w:val="000000" w:themeColor="text1"/>
          <w:sz w:val="20"/>
          <w:szCs w:val="20"/>
        </w:rPr>
        <w:t xml:space="preserve">Letters, </w:t>
      </w:r>
      <w:r w:rsidRPr="005E3169">
        <w:rPr>
          <w:color w:val="000000" w:themeColor="text1"/>
          <w:sz w:val="20"/>
          <w:szCs w:val="20"/>
        </w:rPr>
        <w:t xml:space="preserve">5: p. 46). Samuel Taylor Coleridge, </w:t>
      </w:r>
      <w:r w:rsidRPr="005E3169">
        <w:rPr>
          <w:i/>
          <w:iCs/>
          <w:color w:val="000000" w:themeColor="text1"/>
          <w:sz w:val="20"/>
          <w:szCs w:val="20"/>
        </w:rPr>
        <w:t xml:space="preserve">Collected Letters of Samuel Taylor Coleridge, </w:t>
      </w:r>
      <w:r w:rsidRPr="005E3169">
        <w:rPr>
          <w:color w:val="000000" w:themeColor="text1"/>
          <w:sz w:val="20"/>
          <w:szCs w:val="20"/>
        </w:rPr>
        <w:t xml:space="preserve">vol. 5, </w:t>
      </w:r>
      <w:r w:rsidRPr="005E3169">
        <w:rPr>
          <w:i/>
          <w:iCs/>
          <w:color w:val="000000" w:themeColor="text1"/>
          <w:sz w:val="20"/>
          <w:szCs w:val="20"/>
        </w:rPr>
        <w:t>1820–1825</w:t>
      </w:r>
      <w:r w:rsidRPr="005E3169">
        <w:rPr>
          <w:color w:val="000000" w:themeColor="text1"/>
          <w:sz w:val="20"/>
          <w:szCs w:val="20"/>
        </w:rPr>
        <w:t>, ed. Earl Leslie Griggs (Oxford: Clarendon Press, 1971), p. 46.</w:t>
      </w:r>
    </w:p>
  </w:footnote>
  <w:footnote w:id="21">
    <w:p w14:paraId="5F588BA5" w14:textId="072D1A0D"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William Babington and James Curry, </w:t>
      </w:r>
      <w:r w:rsidRPr="005E3169">
        <w:rPr>
          <w:rFonts w:ascii="Times New Roman" w:hAnsi="Times New Roman" w:cs="Times New Roman"/>
          <w:i/>
          <w:iCs/>
          <w:color w:val="000000" w:themeColor="text1"/>
        </w:rPr>
        <w:t>Outlines of a Course of Lectures on the Practice of Medicine: As Delivered in the Medical School of Guy’s Hospital</w:t>
      </w:r>
      <w:r w:rsidRPr="005E3169">
        <w:rPr>
          <w:rFonts w:ascii="Times New Roman" w:hAnsi="Times New Roman" w:cs="Times New Roman"/>
          <w:color w:val="000000" w:themeColor="text1"/>
        </w:rPr>
        <w:t xml:space="preserve"> (London: J. M’Creery, 1811), 1.</w:t>
      </w:r>
    </w:p>
  </w:footnote>
  <w:footnote w:id="22">
    <w:p w14:paraId="2EEEE186" w14:textId="46BC52B0"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Tim Fulford, Debbie Lee, and Peter J. Kitson, </w:t>
      </w:r>
      <w:r w:rsidRPr="005E3169">
        <w:rPr>
          <w:rFonts w:ascii="Times New Roman" w:hAnsi="Times New Roman" w:cs="Times New Roman"/>
          <w:i/>
          <w:iCs/>
          <w:color w:val="000000" w:themeColor="text1"/>
        </w:rPr>
        <w:t xml:space="preserve">Literature, Science, and Exploration in the Romantic Era: Bodies of Knowledge </w:t>
      </w:r>
      <w:r w:rsidRPr="005E3169">
        <w:rPr>
          <w:rFonts w:ascii="Times New Roman" w:hAnsi="Times New Roman" w:cs="Times New Roman"/>
          <w:color w:val="000000" w:themeColor="text1"/>
        </w:rPr>
        <w:t>(Cambridge: Cambridge University Press, 2004), 7.</w:t>
      </w:r>
    </w:p>
  </w:footnote>
  <w:footnote w:id="23">
    <w:p w14:paraId="0B087FAB" w14:textId="1FF8FD43"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For example, </w:t>
      </w:r>
      <w:r w:rsidR="00A011FA" w:rsidRPr="005E3169">
        <w:rPr>
          <w:rFonts w:ascii="Times New Roman" w:hAnsi="Times New Roman" w:cs="Times New Roman"/>
          <w:color w:val="000000" w:themeColor="text1"/>
        </w:rPr>
        <w:t xml:space="preserve">David S. </w:t>
      </w:r>
      <w:r w:rsidRPr="005E3169">
        <w:rPr>
          <w:rFonts w:ascii="Times New Roman" w:hAnsi="Times New Roman" w:cs="Times New Roman"/>
          <w:color w:val="000000" w:themeColor="text1"/>
        </w:rPr>
        <w:t xml:space="preserve">Anderson’s </w:t>
      </w:r>
      <w:r w:rsidRPr="005E3169">
        <w:rPr>
          <w:rFonts w:ascii="Times New Roman" w:hAnsi="Times New Roman" w:cs="Times New Roman"/>
          <w:i/>
          <w:iCs/>
          <w:color w:val="000000" w:themeColor="text1"/>
        </w:rPr>
        <w:t xml:space="preserve">Wellness Issues for Higher Education </w:t>
      </w:r>
      <w:r w:rsidR="00A011FA" w:rsidRPr="005E3169">
        <w:rPr>
          <w:rFonts w:ascii="Times New Roman" w:hAnsi="Times New Roman" w:cs="Times New Roman"/>
          <w:color w:val="000000" w:themeColor="text1"/>
        </w:rPr>
        <w:t xml:space="preserve">(2015) </w:t>
      </w:r>
      <w:r w:rsidRPr="005E3169">
        <w:rPr>
          <w:rFonts w:ascii="Times New Roman" w:hAnsi="Times New Roman" w:cs="Times New Roman"/>
          <w:color w:val="000000" w:themeColor="text1"/>
        </w:rPr>
        <w:t>files “nutrition” under “Physical Wellness” and stress management, mental health, and technology under “Emotional Wellness.” It also has a chapter on exercise called “Exercise: Hey, Millennial, It’s Time to Get Physical!” (Anderson, ed., v-vi)—an odd address, given that most traditional-age undergraduates are no longer millennials, though many of their professors are.</w:t>
      </w:r>
    </w:p>
  </w:footnote>
  <w:footnote w:id="24">
    <w:p w14:paraId="46C60D5C" w14:textId="3DC29E7E"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Anne Digby, </w:t>
      </w:r>
      <w:r w:rsidRPr="005E3169">
        <w:rPr>
          <w:rFonts w:ascii="Times New Roman" w:hAnsi="Times New Roman" w:cs="Times New Roman"/>
          <w:i/>
          <w:iCs/>
          <w:color w:val="000000" w:themeColor="text1"/>
        </w:rPr>
        <w:t xml:space="preserve">Making a Medical Living: Doctors and Patients in the English Market for Medicine, 1720-1911 </w:t>
      </w:r>
      <w:r w:rsidRPr="005E3169">
        <w:rPr>
          <w:rFonts w:ascii="Times New Roman" w:hAnsi="Times New Roman" w:cs="Times New Roman"/>
          <w:color w:val="000000" w:themeColor="text1"/>
        </w:rPr>
        <w:t>(Cambridge: Cambridge University Press, 1994), 203.</w:t>
      </w:r>
    </w:p>
  </w:footnote>
  <w:footnote w:id="25">
    <w:p w14:paraId="3939D87F" w14:textId="554D51D7" w:rsidR="00E43BEB" w:rsidRPr="00592FF8"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For </w:t>
      </w:r>
      <w:r w:rsidRPr="00592FF8">
        <w:rPr>
          <w:rFonts w:ascii="Times New Roman" w:hAnsi="Times New Roman" w:cs="Times New Roman"/>
          <w:color w:val="000000" w:themeColor="text1"/>
        </w:rPr>
        <w:t xml:space="preserve">example, William Cullen’s </w:t>
      </w:r>
      <w:r w:rsidRPr="00592FF8">
        <w:rPr>
          <w:rFonts w:ascii="Times New Roman" w:hAnsi="Times New Roman" w:cs="Times New Roman"/>
          <w:i/>
          <w:color w:val="000000" w:themeColor="text1"/>
        </w:rPr>
        <w:t>Synopsis Nosologiae Methodicae</w:t>
      </w:r>
      <w:r w:rsidRPr="00592FF8">
        <w:rPr>
          <w:rFonts w:ascii="Times New Roman" w:hAnsi="Times New Roman" w:cs="Times New Roman"/>
          <w:color w:val="000000" w:themeColor="text1"/>
        </w:rPr>
        <w:t xml:space="preserve"> (1769–85), as translated by Thomas Beddoes, defines “Insanity” as “consist[ing] in such false conceptions of the relations of things, as lead to irrational emotions or actions. Melancholy is partial insanity without indigestion—Mania is universal insanity” (</w:t>
      </w:r>
      <w:r w:rsidR="00113358" w:rsidRPr="00592FF8">
        <w:rPr>
          <w:rFonts w:ascii="Times New Roman" w:hAnsi="Times New Roman" w:cs="Times New Roman"/>
          <w:color w:val="000000" w:themeColor="text1"/>
        </w:rPr>
        <w:t xml:space="preserve">Beddoes, </w:t>
      </w:r>
      <w:r w:rsidR="00592FF8" w:rsidRPr="00A26D8A">
        <w:rPr>
          <w:rFonts w:ascii="Times New Roman" w:hAnsi="Times New Roman" w:cs="Times New Roman"/>
          <w:i/>
          <w:iCs/>
        </w:rPr>
        <w:t>Hygëia: Essays Moral And Medical, on the Causes Affecting the Personal</w:t>
      </w:r>
      <w:r w:rsidR="00592FF8" w:rsidRPr="00592FF8">
        <w:rPr>
          <w:rFonts w:ascii="Times New Roman" w:hAnsi="Times New Roman" w:cs="Times New Roman"/>
          <w:i/>
          <w:iCs/>
        </w:rPr>
        <w:t xml:space="preserve"> </w:t>
      </w:r>
      <w:r w:rsidR="00592FF8" w:rsidRPr="00A26D8A">
        <w:rPr>
          <w:rFonts w:ascii="Times New Roman" w:hAnsi="Times New Roman" w:cs="Times New Roman"/>
          <w:i/>
          <w:iCs/>
        </w:rPr>
        <w:t>State of Our Middling and Affluent Classes</w:t>
      </w:r>
      <w:r w:rsidR="00113358" w:rsidRPr="00592FF8">
        <w:rPr>
          <w:rFonts w:ascii="Times New Roman" w:hAnsi="Times New Roman" w:cs="Times New Roman"/>
          <w:color w:val="000000" w:themeColor="text1"/>
        </w:rPr>
        <w:t xml:space="preserve">, </w:t>
      </w:r>
      <w:r w:rsidR="00592FF8" w:rsidRPr="00592FF8">
        <w:rPr>
          <w:rFonts w:ascii="Times New Roman" w:hAnsi="Times New Roman" w:cs="Times New Roman"/>
          <w:color w:val="000000" w:themeColor="text1"/>
        </w:rPr>
        <w:t>“</w:t>
      </w:r>
      <w:r w:rsidR="00113358" w:rsidRPr="00592FF8">
        <w:rPr>
          <w:rFonts w:ascii="Times New Roman" w:hAnsi="Times New Roman" w:cs="Times New Roman"/>
          <w:color w:val="000000" w:themeColor="text1"/>
        </w:rPr>
        <w:t xml:space="preserve">Essay </w:t>
      </w:r>
      <w:r w:rsidRPr="00592FF8">
        <w:rPr>
          <w:rFonts w:ascii="Times New Roman" w:hAnsi="Times New Roman" w:cs="Times New Roman"/>
          <w:color w:val="000000" w:themeColor="text1"/>
        </w:rPr>
        <w:t>X,</w:t>
      </w:r>
      <w:r w:rsidR="00592FF8" w:rsidRPr="00592FF8">
        <w:rPr>
          <w:rFonts w:ascii="Times New Roman" w:hAnsi="Times New Roman" w:cs="Times New Roman"/>
          <w:color w:val="000000" w:themeColor="text1"/>
        </w:rPr>
        <w:t>”</w:t>
      </w:r>
      <w:r w:rsidRPr="00592FF8">
        <w:rPr>
          <w:rFonts w:ascii="Times New Roman" w:hAnsi="Times New Roman" w:cs="Times New Roman"/>
          <w:color w:val="000000" w:themeColor="text1"/>
        </w:rPr>
        <w:t xml:space="preserve"> </w:t>
      </w:r>
      <w:r w:rsidR="00592FF8" w:rsidRPr="00592FF8">
        <w:rPr>
          <w:rFonts w:ascii="Times New Roman" w:hAnsi="Times New Roman" w:cs="Times New Roman"/>
          <w:color w:val="000000" w:themeColor="text1"/>
        </w:rPr>
        <w:t xml:space="preserve">p. </w:t>
      </w:r>
      <w:r w:rsidRPr="00592FF8">
        <w:rPr>
          <w:rFonts w:ascii="Times New Roman" w:hAnsi="Times New Roman" w:cs="Times New Roman"/>
          <w:color w:val="000000" w:themeColor="text1"/>
        </w:rPr>
        <w:t>27).</w:t>
      </w:r>
    </w:p>
  </w:footnote>
  <w:footnote w:id="26">
    <w:p w14:paraId="2DFC11E2" w14:textId="4E7A181C" w:rsidR="001304F0" w:rsidRPr="005E3169" w:rsidRDefault="001304F0">
      <w:pPr>
        <w:pStyle w:val="FootnoteText"/>
        <w:rPr>
          <w:rFonts w:ascii="Times New Roman" w:hAnsi="Times New Roman" w:cs="Times New Roman"/>
        </w:rPr>
      </w:pPr>
      <w:r w:rsidRPr="005E3169">
        <w:rPr>
          <w:rStyle w:val="FootnoteReference"/>
          <w:rFonts w:ascii="Times New Roman" w:hAnsi="Times New Roman" w:cs="Times New Roman"/>
        </w:rPr>
        <w:footnoteRef/>
      </w:r>
      <w:r w:rsidRPr="005E3169">
        <w:rPr>
          <w:rFonts w:ascii="Times New Roman" w:hAnsi="Times New Roman" w:cs="Times New Roman"/>
        </w:rPr>
        <w:t xml:space="preserve"> </w:t>
      </w:r>
      <w:r w:rsidR="00B74FC4" w:rsidRPr="005E3169">
        <w:rPr>
          <w:rFonts w:ascii="Times New Roman" w:hAnsi="Times New Roman" w:cs="Times New Roman"/>
        </w:rPr>
        <w:t xml:space="preserve">Mary Wollstonecraft critiques the gendered assumption that their bodies corrupt women’s minds in several places, arguing that women are brought up to see themselves in harmfully dualist terms: “Taught from their infancy that beauty is woman’s scepter, the mind shapes itself to the body,” and as such “genteel women are, literally speaking, slaves to their bodies” (47-8). Mary Wollstonecraft, </w:t>
      </w:r>
      <w:r w:rsidR="00B74FC4" w:rsidRPr="005E3169">
        <w:rPr>
          <w:rFonts w:ascii="Times New Roman" w:hAnsi="Times New Roman" w:cs="Times New Roman"/>
          <w:i/>
          <w:iCs/>
        </w:rPr>
        <w:t>A Vindication of the Rights of Woman</w:t>
      </w:r>
      <w:r w:rsidR="00B74FC4" w:rsidRPr="005E3169">
        <w:rPr>
          <w:rFonts w:ascii="Times New Roman" w:hAnsi="Times New Roman" w:cs="Times New Roman"/>
        </w:rPr>
        <w:t>, ed. Deidre Shauna Lynch (New York: Norton, 2009).</w:t>
      </w:r>
      <w:r w:rsidR="00B74FC4">
        <w:rPr>
          <w:rFonts w:ascii="Times New Roman" w:hAnsi="Times New Roman" w:cs="Times New Roman"/>
        </w:rPr>
        <w:t xml:space="preserve"> </w:t>
      </w:r>
      <w:r w:rsidRPr="005E3169">
        <w:rPr>
          <w:rFonts w:ascii="Times New Roman" w:hAnsi="Times New Roman" w:cs="Times New Roman"/>
        </w:rPr>
        <w:t xml:space="preserve">For more on Lawrence, see Peter J. Kitson, </w:t>
      </w:r>
      <w:r w:rsidRPr="005E3169">
        <w:rPr>
          <w:rFonts w:ascii="Times New Roman" w:hAnsi="Times New Roman" w:cs="Times New Roman"/>
          <w:i/>
          <w:iCs/>
        </w:rPr>
        <w:t xml:space="preserve">Romantic Literature, Race, and </w:t>
      </w:r>
      <w:r w:rsidR="001D65E1" w:rsidRPr="005E3169">
        <w:rPr>
          <w:rFonts w:ascii="Times New Roman" w:hAnsi="Times New Roman" w:cs="Times New Roman"/>
          <w:i/>
          <w:iCs/>
        </w:rPr>
        <w:t>C</w:t>
      </w:r>
      <w:r w:rsidRPr="005E3169">
        <w:rPr>
          <w:rFonts w:ascii="Times New Roman" w:hAnsi="Times New Roman" w:cs="Times New Roman"/>
          <w:i/>
          <w:iCs/>
        </w:rPr>
        <w:t>olonial Encounter</w:t>
      </w:r>
      <w:r w:rsidRPr="005E3169">
        <w:rPr>
          <w:rFonts w:ascii="Times New Roman" w:hAnsi="Times New Roman" w:cs="Times New Roman"/>
        </w:rPr>
        <w:t xml:space="preserve"> (New York: Palgrave 2007), 74. </w:t>
      </w:r>
    </w:p>
  </w:footnote>
  <w:footnote w:id="27">
    <w:p w14:paraId="35386D57" w14:textId="7A721B7A"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Percy Shelley’s vegetarian essays source crime and other social ailments in physical disease, which Shelley then sources in “our unnatural habits.” Percy Bysshe Shelley, “A Vindication of Natural Diet,” in </w:t>
      </w:r>
      <w:r w:rsidRPr="005E3169">
        <w:rPr>
          <w:rFonts w:ascii="Times New Roman" w:hAnsi="Times New Roman" w:cs="Times New Roman"/>
          <w:i/>
          <w:iCs/>
          <w:color w:val="000000" w:themeColor="text1"/>
        </w:rPr>
        <w:t>The Complete Works of Percy Bysshe Shelley</w:t>
      </w:r>
      <w:r w:rsidRPr="005E3169">
        <w:rPr>
          <w:rFonts w:ascii="Times New Roman" w:hAnsi="Times New Roman" w:cs="Times New Roman"/>
          <w:color w:val="000000" w:themeColor="text1"/>
        </w:rPr>
        <w:t xml:space="preserve">, vol. 6, </w:t>
      </w:r>
      <w:r w:rsidRPr="005E3169">
        <w:rPr>
          <w:rFonts w:ascii="Times New Roman" w:hAnsi="Times New Roman" w:cs="Times New Roman"/>
          <w:i/>
          <w:iCs/>
          <w:color w:val="000000" w:themeColor="text1"/>
        </w:rPr>
        <w:t>Prose</w:t>
      </w:r>
      <w:r w:rsidRPr="005E3169">
        <w:rPr>
          <w:rFonts w:ascii="Times New Roman" w:hAnsi="Times New Roman" w:cs="Times New Roman"/>
          <w:color w:val="000000" w:themeColor="text1"/>
        </w:rPr>
        <w:t xml:space="preserve">, ed. Roger Ingpen and Walter Edwin Peck (New York: Gordian Press, 1965), 10. Meanwhile, Friedrich Schiller’s </w:t>
      </w:r>
      <w:r w:rsidRPr="005E3169">
        <w:rPr>
          <w:rFonts w:ascii="Times New Roman" w:hAnsi="Times New Roman" w:cs="Times New Roman"/>
          <w:i/>
          <w:iCs/>
          <w:color w:val="000000" w:themeColor="text1"/>
        </w:rPr>
        <w:t xml:space="preserve">On the Aesthetic Education of Man </w:t>
      </w:r>
      <w:r w:rsidRPr="005E3169">
        <w:rPr>
          <w:rFonts w:ascii="Times New Roman" w:hAnsi="Times New Roman" w:cs="Times New Roman"/>
          <w:color w:val="000000" w:themeColor="text1"/>
        </w:rPr>
        <w:t xml:space="preserve">prescribes beauty for a world that has been made literally ill by the pressures of modernity. Friedrich Schiller, </w:t>
      </w:r>
      <w:r w:rsidRPr="005E3169">
        <w:rPr>
          <w:rFonts w:ascii="Times New Roman" w:hAnsi="Times New Roman" w:cs="Times New Roman"/>
          <w:i/>
          <w:iCs/>
          <w:color w:val="000000" w:themeColor="text1"/>
        </w:rPr>
        <w:t>On the Aesthetic Education of Man in a Series of Letters</w:t>
      </w:r>
      <w:r w:rsidRPr="005E3169">
        <w:rPr>
          <w:rFonts w:ascii="Times New Roman" w:hAnsi="Times New Roman" w:cs="Times New Roman"/>
          <w:color w:val="000000" w:themeColor="text1"/>
        </w:rPr>
        <w:t>, ed. And trans. Elizabeth M. Wilkinson and L. Al Willoughby (Oxford: Clarendon, 1967), 189.</w:t>
      </w:r>
    </w:p>
  </w:footnote>
  <w:footnote w:id="28">
    <w:p w14:paraId="1D8D3D41" w14:textId="5DDD41C0"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Victor wishes to “banish disease from the human frame, and render man invulnerable to any but a violent death.” Mary Shelley, </w:t>
      </w:r>
      <w:r w:rsidRPr="005E3169">
        <w:rPr>
          <w:rFonts w:ascii="Times New Roman" w:hAnsi="Times New Roman" w:cs="Times New Roman"/>
          <w:i/>
          <w:iCs/>
          <w:color w:val="000000" w:themeColor="text1"/>
        </w:rPr>
        <w:t xml:space="preserve">Frankenstein, or The Modern Prometheus, </w:t>
      </w:r>
      <w:r w:rsidRPr="005E3169">
        <w:rPr>
          <w:rFonts w:ascii="Times New Roman" w:hAnsi="Times New Roman" w:cs="Times New Roman"/>
          <w:color w:val="000000" w:themeColor="text1"/>
        </w:rPr>
        <w:t>ed. M.K. Joseph (London: Oxford University Press, 1969), 42.</w:t>
      </w:r>
    </w:p>
  </w:footnote>
  <w:footnote w:id="29">
    <w:p w14:paraId="54C393C1" w14:textId="7CD710EB" w:rsidR="00E43BEB" w:rsidRPr="005E3169" w:rsidRDefault="00E43BEB">
      <w:pPr>
        <w:pStyle w:val="FootnoteText"/>
        <w:rPr>
          <w:rFonts w:ascii="Times New Roman" w:hAnsi="Times New Roman" w:cs="Times New Roman"/>
          <w:color w:val="000000" w:themeColor="text1"/>
        </w:rPr>
      </w:pPr>
      <w:r w:rsidRPr="005E3169">
        <w:rPr>
          <w:rStyle w:val="FootnoteReference"/>
          <w:rFonts w:ascii="Times New Roman" w:hAnsi="Times New Roman" w:cs="Times New Roman"/>
          <w:color w:val="000000" w:themeColor="text1"/>
        </w:rPr>
        <w:footnoteRef/>
      </w:r>
      <w:r w:rsidRPr="005E3169">
        <w:rPr>
          <w:rFonts w:ascii="Times New Roman" w:hAnsi="Times New Roman" w:cs="Times New Roman"/>
          <w:color w:val="000000" w:themeColor="text1"/>
        </w:rPr>
        <w:t xml:space="preserve"> </w:t>
      </w:r>
      <w:r w:rsidR="008063FE">
        <w:rPr>
          <w:rFonts w:ascii="Times New Roman" w:hAnsi="Times New Roman" w:cs="Times New Roman"/>
          <w:color w:val="000000" w:themeColor="text1"/>
        </w:rPr>
        <w:t>In</w:t>
      </w:r>
      <w:r w:rsidRPr="005E3169">
        <w:rPr>
          <w:rFonts w:ascii="Times New Roman" w:hAnsi="Times New Roman" w:cs="Times New Roman"/>
          <w:color w:val="000000" w:themeColor="text1"/>
        </w:rPr>
        <w:t xml:space="preserve"> the “Preface to the </w:t>
      </w:r>
      <w:r w:rsidRPr="005E3169">
        <w:rPr>
          <w:rFonts w:ascii="Times New Roman" w:hAnsi="Times New Roman" w:cs="Times New Roman"/>
          <w:i/>
          <w:iCs/>
          <w:color w:val="000000" w:themeColor="text1"/>
        </w:rPr>
        <w:t>Lyrical Ballads,</w:t>
      </w:r>
      <w:r w:rsidRPr="005E3169">
        <w:rPr>
          <w:rFonts w:ascii="Times New Roman" w:hAnsi="Times New Roman" w:cs="Times New Roman"/>
          <w:color w:val="000000" w:themeColor="text1"/>
        </w:rPr>
        <w:t xml:space="preserve">” </w:t>
      </w:r>
      <w:r w:rsidRPr="005E3169">
        <w:rPr>
          <w:rFonts w:ascii="Times New Roman" w:eastAsia="Times New Roman" w:hAnsi="Times New Roman" w:cs="Times New Roman"/>
          <w:color w:val="000000" w:themeColor="text1"/>
        </w:rPr>
        <w:t>Wordsworth aligned the conditions of “Low and rustic life” with the “healthy” taste of readers, the “healthful state of association” in which he aimed to write.</w:t>
      </w:r>
    </w:p>
  </w:footnote>
  <w:footnote w:id="30">
    <w:p w14:paraId="5D4F1819" w14:textId="7DBE243B" w:rsidR="006452B7" w:rsidRPr="006B794C" w:rsidRDefault="006452B7" w:rsidP="006B794C">
      <w:pPr>
        <w:autoSpaceDE w:val="0"/>
        <w:autoSpaceDN w:val="0"/>
        <w:adjustRightInd w:val="0"/>
        <w:rPr>
          <w:rFonts w:ascii="ƒﬁ•”˛" w:hAnsi="ƒﬁ•”˛" w:cs="ƒﬁ•”˛"/>
          <w:sz w:val="36"/>
          <w:szCs w:val="36"/>
        </w:rPr>
      </w:pPr>
      <w:r w:rsidRPr="006B794C">
        <w:rPr>
          <w:rStyle w:val="FootnoteReference"/>
          <w:rFonts w:ascii="Times New Roman" w:hAnsi="Times New Roman" w:cs="Times New Roman"/>
          <w:sz w:val="20"/>
          <w:szCs w:val="20"/>
        </w:rPr>
        <w:footnoteRef/>
      </w:r>
      <w:r w:rsidRPr="006B794C">
        <w:rPr>
          <w:rFonts w:ascii="Times New Roman" w:hAnsi="Times New Roman" w:cs="Times New Roman"/>
          <w:sz w:val="20"/>
          <w:szCs w:val="20"/>
        </w:rPr>
        <w:t xml:space="preserve"> Mary Prince, </w:t>
      </w:r>
      <w:r w:rsidRPr="006B794C">
        <w:rPr>
          <w:rFonts w:ascii="Times New Roman" w:hAnsi="Times New Roman" w:cs="Times New Roman"/>
          <w:i/>
          <w:iCs/>
          <w:sz w:val="20"/>
          <w:szCs w:val="20"/>
        </w:rPr>
        <w:t>The History of Mary Prince, A West Indian Slave</w:t>
      </w:r>
      <w:r w:rsidRPr="006B794C">
        <w:rPr>
          <w:rFonts w:ascii="Times New Roman" w:hAnsi="Times New Roman" w:cs="Times New Roman"/>
          <w:sz w:val="20"/>
          <w:szCs w:val="20"/>
        </w:rPr>
        <w:t>, ed. Sara Salih. London: Penguin, 2004, p. 38.</w:t>
      </w:r>
      <w:r w:rsidR="00A26D8A" w:rsidRPr="006B794C">
        <w:rPr>
          <w:rFonts w:ascii="Times New Roman" w:hAnsi="Times New Roman" w:cs="Times New Roman"/>
          <w:sz w:val="20"/>
          <w:szCs w:val="20"/>
        </w:rPr>
        <w:t xml:space="preserve"> Similarly, in William Earle’s </w:t>
      </w:r>
      <w:r w:rsidR="00A26D8A" w:rsidRPr="006B794C">
        <w:rPr>
          <w:rFonts w:ascii="Times New Roman" w:hAnsi="Times New Roman" w:cs="Times New Roman"/>
          <w:i/>
          <w:iCs/>
          <w:sz w:val="20"/>
          <w:szCs w:val="20"/>
        </w:rPr>
        <w:t>Obi; or, the History of Three-Fingered Jack</w:t>
      </w:r>
      <w:r w:rsidR="00A26D8A" w:rsidRPr="006B794C">
        <w:rPr>
          <w:rFonts w:ascii="Times New Roman" w:hAnsi="Times New Roman" w:cs="Times New Roman"/>
          <w:sz w:val="20"/>
          <w:szCs w:val="20"/>
        </w:rPr>
        <w:t xml:space="preserve"> (Broadview, 2005)</w:t>
      </w:r>
      <w:r w:rsidR="00246EAE">
        <w:rPr>
          <w:rFonts w:ascii="Times New Roman" w:hAnsi="Times New Roman" w:cs="Times New Roman"/>
          <w:sz w:val="20"/>
          <w:szCs w:val="20"/>
        </w:rPr>
        <w:t>,</w:t>
      </w:r>
      <w:r w:rsidR="00A26D8A" w:rsidRPr="006B794C">
        <w:rPr>
          <w:rFonts w:ascii="Times New Roman" w:hAnsi="Times New Roman" w:cs="Times New Roman"/>
          <w:sz w:val="20"/>
          <w:szCs w:val="20"/>
        </w:rPr>
        <w:t xml:space="preserve"> Amri, Jack’s mother, tells her son of “Good medical assistance” she received for a burn, and asks, “If he [Mornton, their enslaver] heals our wounds, for whose sake is it? Is it for ours, or his own benefit?” (100 – 1).</w:t>
      </w:r>
      <w:r w:rsidR="006B794C" w:rsidRPr="006B794C">
        <w:rPr>
          <w:rFonts w:ascii="Times New Roman" w:hAnsi="Times New Roman" w:cs="Times New Roman"/>
          <w:sz w:val="20"/>
          <w:szCs w:val="20"/>
        </w:rPr>
        <w:t xml:space="preserve"> For work on the frequency of “brands, deformities, impairments, disfigurements, amputations, and </w:t>
      </w:r>
      <w:r w:rsidR="00246EAE">
        <w:rPr>
          <w:rFonts w:ascii="Times New Roman" w:hAnsi="Times New Roman" w:cs="Times New Roman"/>
          <w:sz w:val="20"/>
          <w:szCs w:val="20"/>
        </w:rPr>
        <w:t>m</w:t>
      </w:r>
      <w:r w:rsidR="006B794C" w:rsidRPr="006B794C">
        <w:rPr>
          <w:rFonts w:ascii="Times New Roman" w:hAnsi="Times New Roman" w:cs="Times New Roman"/>
          <w:sz w:val="20"/>
          <w:szCs w:val="20"/>
        </w:rPr>
        <w:t xml:space="preserve">arks of punishment” in descriptions of enslaved people in Barbadian and Jamaican runaway advertisements (214), see Stephanie Hunt-Kennedy’s ‘Had his nose cropt for being formerly runaway’: disability and the bodies of fugitive slaves in the British Caribbean.” </w:t>
      </w:r>
      <w:r w:rsidR="006B794C" w:rsidRPr="00246EAE">
        <w:rPr>
          <w:rFonts w:ascii="Times New Roman" w:hAnsi="Times New Roman" w:cs="Times New Roman"/>
          <w:i/>
          <w:iCs/>
          <w:sz w:val="20"/>
          <w:szCs w:val="20"/>
        </w:rPr>
        <w:t>Slavery &amp; Abolition</w:t>
      </w:r>
      <w:r w:rsidR="006B794C" w:rsidRPr="006B794C">
        <w:rPr>
          <w:rFonts w:ascii="Times New Roman" w:hAnsi="Times New Roman" w:cs="Times New Roman"/>
          <w:sz w:val="20"/>
          <w:szCs w:val="20"/>
        </w:rPr>
        <w:t>, Vol. 41, No. 2 (2020), pp 212 – 233.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756950"/>
      <w:docPartObj>
        <w:docPartGallery w:val="Page Numbers (Top of Page)"/>
        <w:docPartUnique/>
      </w:docPartObj>
    </w:sdtPr>
    <w:sdtContent>
      <w:p w14:paraId="7C2DB2FC" w14:textId="0EF6FA96" w:rsidR="003D2716" w:rsidRDefault="003D2716" w:rsidP="00384E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13822D" w14:textId="77777777" w:rsidR="003D2716" w:rsidRDefault="003D2716" w:rsidP="003D27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9912115"/>
      <w:docPartObj>
        <w:docPartGallery w:val="Page Numbers (Top of Page)"/>
        <w:docPartUnique/>
      </w:docPartObj>
    </w:sdtPr>
    <w:sdtEndPr>
      <w:rPr>
        <w:rStyle w:val="PageNumber"/>
        <w:rFonts w:ascii="Times New Roman" w:hAnsi="Times New Roman" w:cs="Times New Roman"/>
      </w:rPr>
    </w:sdtEndPr>
    <w:sdtContent>
      <w:p w14:paraId="1B000918" w14:textId="1B3B82D5" w:rsidR="003D2716" w:rsidRPr="003D2716" w:rsidRDefault="003D2716" w:rsidP="003D2716">
        <w:pPr>
          <w:pStyle w:val="Header"/>
          <w:framePr w:wrap="none" w:vAnchor="text" w:hAnchor="page" w:x="10924" w:y="-17"/>
          <w:rPr>
            <w:rStyle w:val="PageNumber"/>
            <w:rFonts w:ascii="Times New Roman" w:hAnsi="Times New Roman" w:cs="Times New Roman"/>
          </w:rPr>
        </w:pPr>
        <w:r w:rsidRPr="003D2716">
          <w:rPr>
            <w:rStyle w:val="PageNumber"/>
            <w:rFonts w:ascii="Times New Roman" w:hAnsi="Times New Roman" w:cs="Times New Roman"/>
          </w:rPr>
          <w:fldChar w:fldCharType="begin"/>
        </w:r>
        <w:r w:rsidRPr="003D2716">
          <w:rPr>
            <w:rStyle w:val="PageNumber"/>
            <w:rFonts w:ascii="Times New Roman" w:hAnsi="Times New Roman" w:cs="Times New Roman"/>
          </w:rPr>
          <w:instrText xml:space="preserve"> PAGE </w:instrText>
        </w:r>
        <w:r w:rsidRPr="003D2716">
          <w:rPr>
            <w:rStyle w:val="PageNumber"/>
            <w:rFonts w:ascii="Times New Roman" w:hAnsi="Times New Roman" w:cs="Times New Roman"/>
          </w:rPr>
          <w:fldChar w:fldCharType="separate"/>
        </w:r>
        <w:r w:rsidRPr="003D2716">
          <w:rPr>
            <w:rStyle w:val="PageNumber"/>
            <w:rFonts w:ascii="Times New Roman" w:hAnsi="Times New Roman" w:cs="Times New Roman"/>
            <w:noProof/>
          </w:rPr>
          <w:t>1</w:t>
        </w:r>
        <w:r w:rsidRPr="003D2716">
          <w:rPr>
            <w:rStyle w:val="PageNumber"/>
            <w:rFonts w:ascii="Times New Roman" w:hAnsi="Times New Roman" w:cs="Times New Roman"/>
          </w:rPr>
          <w:fldChar w:fldCharType="end"/>
        </w:r>
      </w:p>
    </w:sdtContent>
  </w:sdt>
  <w:p w14:paraId="3389130F" w14:textId="0F3620A7" w:rsidR="003D2716" w:rsidRPr="003D2716" w:rsidRDefault="003D2716" w:rsidP="003D2716">
    <w:pPr>
      <w:pStyle w:val="Header"/>
      <w:ind w:right="360"/>
      <w:rPr>
        <w:rFonts w:ascii="Times New Roman" w:hAnsi="Times New Roman" w:cs="Times New Roman"/>
      </w:rPr>
    </w:pPr>
    <w:r w:rsidRPr="003D2716">
      <w:rPr>
        <w:rFonts w:ascii="Times New Roman" w:hAnsi="Times New Roman" w:cs="Times New Roman"/>
      </w:rPr>
      <w:tab/>
    </w:r>
    <w:r w:rsidRPr="003D2716">
      <w:rPr>
        <w:rFonts w:ascii="Times New Roman" w:hAnsi="Times New Roman" w:cs="Times New Roman"/>
      </w:rPr>
      <w:tab/>
      <w:t xml:space="preserve">Introduction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0" w:author="Anna Wingfield" w:date="2024-04-16T22:16:00Z">
        <w:tblPr>
          <w:tblStyle w:val="TableGrid"/>
          <w:tblW w:w="0" w:type="nil"/>
          <w:tblLayout w:type="fixed"/>
          <w:tblLook w:val="06A0" w:firstRow="1" w:lastRow="0" w:firstColumn="1" w:lastColumn="0" w:noHBand="1" w:noVBand="1"/>
        </w:tblPr>
      </w:tblPrChange>
    </w:tblPr>
    <w:tblGrid>
      <w:gridCol w:w="3120"/>
      <w:gridCol w:w="3120"/>
      <w:gridCol w:w="3120"/>
      <w:tblGridChange w:id="1">
        <w:tblGrid>
          <w:gridCol w:w="3120"/>
          <w:gridCol w:w="3120"/>
          <w:gridCol w:w="3120"/>
        </w:tblGrid>
      </w:tblGridChange>
    </w:tblGrid>
    <w:tr w:rsidR="265D79A1" w14:paraId="0D6050E4" w14:textId="77777777" w:rsidTr="265D79A1">
      <w:trPr>
        <w:trHeight w:val="300"/>
        <w:trPrChange w:id="2" w:author="Anna Wingfield" w:date="2024-04-16T22:16:00Z">
          <w:trPr>
            <w:trHeight w:val="300"/>
          </w:trPr>
        </w:trPrChange>
      </w:trPr>
      <w:tc>
        <w:tcPr>
          <w:tcW w:w="3120" w:type="dxa"/>
          <w:tcPrChange w:id="3" w:author="Anna Wingfield" w:date="2024-04-16T22:16:00Z">
            <w:tcPr>
              <w:tcW w:w="3120" w:type="dxa"/>
            </w:tcPr>
          </w:tcPrChange>
        </w:tcPr>
        <w:p w14:paraId="659AC071" w14:textId="526C4D75" w:rsidR="265D79A1" w:rsidRDefault="265D79A1">
          <w:pPr>
            <w:pStyle w:val="Header"/>
            <w:ind w:left="-115"/>
            <w:pPrChange w:id="4" w:author="Anna Wingfield" w:date="2024-04-16T22:16:00Z">
              <w:pPr/>
            </w:pPrChange>
          </w:pPr>
        </w:p>
      </w:tc>
      <w:tc>
        <w:tcPr>
          <w:tcW w:w="3120" w:type="dxa"/>
          <w:tcPrChange w:id="5" w:author="Anna Wingfield" w:date="2024-04-16T22:16:00Z">
            <w:tcPr>
              <w:tcW w:w="3120" w:type="dxa"/>
            </w:tcPr>
          </w:tcPrChange>
        </w:tcPr>
        <w:p w14:paraId="2C318128" w14:textId="68C78652" w:rsidR="265D79A1" w:rsidRDefault="265D79A1">
          <w:pPr>
            <w:pStyle w:val="Header"/>
            <w:jc w:val="center"/>
            <w:pPrChange w:id="6" w:author="Anna Wingfield" w:date="2024-04-16T22:16:00Z">
              <w:pPr/>
            </w:pPrChange>
          </w:pPr>
        </w:p>
      </w:tc>
      <w:tc>
        <w:tcPr>
          <w:tcW w:w="3120" w:type="dxa"/>
          <w:tcPrChange w:id="7" w:author="Anna Wingfield" w:date="2024-04-16T22:16:00Z">
            <w:tcPr>
              <w:tcW w:w="3120" w:type="dxa"/>
            </w:tcPr>
          </w:tcPrChange>
        </w:tcPr>
        <w:p w14:paraId="691BF950" w14:textId="5B9E4F89" w:rsidR="265D79A1" w:rsidRDefault="265D79A1">
          <w:pPr>
            <w:pStyle w:val="Header"/>
            <w:ind w:right="-115"/>
            <w:jc w:val="right"/>
            <w:pPrChange w:id="8" w:author="Anna Wingfield" w:date="2024-04-16T22:16:00Z">
              <w:pPr/>
            </w:pPrChange>
          </w:pPr>
        </w:p>
      </w:tc>
    </w:tr>
  </w:tbl>
  <w:p w14:paraId="6316980F" w14:textId="296C80EB" w:rsidR="265D79A1" w:rsidRDefault="265D79A1">
    <w:pPr>
      <w:pStyle w:val="Header"/>
      <w:pPrChange w:id="9" w:author="Anna Wingfield" w:date="2024-04-16T22:16:00Z">
        <w:pPr/>
      </w:pPrChang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CC"/>
    <w:rsid w:val="000045B7"/>
    <w:rsid w:val="000110E7"/>
    <w:rsid w:val="000122E3"/>
    <w:rsid w:val="00012E2F"/>
    <w:rsid w:val="00014F5B"/>
    <w:rsid w:val="0001666C"/>
    <w:rsid w:val="00020AEA"/>
    <w:rsid w:val="00027E94"/>
    <w:rsid w:val="00033D3B"/>
    <w:rsid w:val="000352E2"/>
    <w:rsid w:val="000353C5"/>
    <w:rsid w:val="0004135C"/>
    <w:rsid w:val="00042C37"/>
    <w:rsid w:val="00045DC7"/>
    <w:rsid w:val="000474DA"/>
    <w:rsid w:val="00060A55"/>
    <w:rsid w:val="00067E6E"/>
    <w:rsid w:val="0007486D"/>
    <w:rsid w:val="0007775C"/>
    <w:rsid w:val="0008191E"/>
    <w:rsid w:val="0009061D"/>
    <w:rsid w:val="00090E95"/>
    <w:rsid w:val="00092BDD"/>
    <w:rsid w:val="0009377C"/>
    <w:rsid w:val="000978FD"/>
    <w:rsid w:val="00097AF0"/>
    <w:rsid w:val="000A492C"/>
    <w:rsid w:val="000A52BD"/>
    <w:rsid w:val="000A621A"/>
    <w:rsid w:val="000A7776"/>
    <w:rsid w:val="000B1113"/>
    <w:rsid w:val="000B2130"/>
    <w:rsid w:val="000B3B7A"/>
    <w:rsid w:val="000B5710"/>
    <w:rsid w:val="000B5BDA"/>
    <w:rsid w:val="000B5E8B"/>
    <w:rsid w:val="000B78BB"/>
    <w:rsid w:val="000C69D6"/>
    <w:rsid w:val="000D758F"/>
    <w:rsid w:val="000E1CD4"/>
    <w:rsid w:val="000E1FBF"/>
    <w:rsid w:val="000E3278"/>
    <w:rsid w:val="000E7704"/>
    <w:rsid w:val="000F352F"/>
    <w:rsid w:val="000F4774"/>
    <w:rsid w:val="000F5E55"/>
    <w:rsid w:val="000F719A"/>
    <w:rsid w:val="000F7D4E"/>
    <w:rsid w:val="00102847"/>
    <w:rsid w:val="00102FAD"/>
    <w:rsid w:val="00113358"/>
    <w:rsid w:val="00114276"/>
    <w:rsid w:val="00117654"/>
    <w:rsid w:val="0012145C"/>
    <w:rsid w:val="001304F0"/>
    <w:rsid w:val="001309DE"/>
    <w:rsid w:val="00132521"/>
    <w:rsid w:val="001422FE"/>
    <w:rsid w:val="00142F34"/>
    <w:rsid w:val="0014713B"/>
    <w:rsid w:val="001533D6"/>
    <w:rsid w:val="0015428E"/>
    <w:rsid w:val="0016187A"/>
    <w:rsid w:val="00162677"/>
    <w:rsid w:val="001722F2"/>
    <w:rsid w:val="00177150"/>
    <w:rsid w:val="001774FC"/>
    <w:rsid w:val="00181AAE"/>
    <w:rsid w:val="0018278D"/>
    <w:rsid w:val="00183574"/>
    <w:rsid w:val="00184693"/>
    <w:rsid w:val="001933B7"/>
    <w:rsid w:val="001A53BF"/>
    <w:rsid w:val="001A6E83"/>
    <w:rsid w:val="001B2352"/>
    <w:rsid w:val="001C00F0"/>
    <w:rsid w:val="001C1949"/>
    <w:rsid w:val="001C7549"/>
    <w:rsid w:val="001D3A72"/>
    <w:rsid w:val="001D65E1"/>
    <w:rsid w:val="001E545B"/>
    <w:rsid w:val="001E6D57"/>
    <w:rsid w:val="001F2657"/>
    <w:rsid w:val="001F2C25"/>
    <w:rsid w:val="001F7DC1"/>
    <w:rsid w:val="001F7F56"/>
    <w:rsid w:val="002013F1"/>
    <w:rsid w:val="002052E7"/>
    <w:rsid w:val="002164B2"/>
    <w:rsid w:val="00217C38"/>
    <w:rsid w:val="00221F32"/>
    <w:rsid w:val="0022471D"/>
    <w:rsid w:val="002270E0"/>
    <w:rsid w:val="00233316"/>
    <w:rsid w:val="00234DA6"/>
    <w:rsid w:val="002400A3"/>
    <w:rsid w:val="00240618"/>
    <w:rsid w:val="00240DD1"/>
    <w:rsid w:val="00245BD5"/>
    <w:rsid w:val="00246EAE"/>
    <w:rsid w:val="0025129E"/>
    <w:rsid w:val="0025208D"/>
    <w:rsid w:val="00264DE8"/>
    <w:rsid w:val="002666BD"/>
    <w:rsid w:val="00267253"/>
    <w:rsid w:val="00270973"/>
    <w:rsid w:val="00272EB5"/>
    <w:rsid w:val="00273BD0"/>
    <w:rsid w:val="002777E8"/>
    <w:rsid w:val="00283A6D"/>
    <w:rsid w:val="00283AB6"/>
    <w:rsid w:val="00285757"/>
    <w:rsid w:val="00285944"/>
    <w:rsid w:val="00287A22"/>
    <w:rsid w:val="002927AC"/>
    <w:rsid w:val="00296964"/>
    <w:rsid w:val="002A13F8"/>
    <w:rsid w:val="002A1F28"/>
    <w:rsid w:val="002A3DCC"/>
    <w:rsid w:val="002A56B6"/>
    <w:rsid w:val="002B0207"/>
    <w:rsid w:val="002B2C5B"/>
    <w:rsid w:val="002B4DF3"/>
    <w:rsid w:val="002B62A5"/>
    <w:rsid w:val="002B68C3"/>
    <w:rsid w:val="002C1C33"/>
    <w:rsid w:val="002C2818"/>
    <w:rsid w:val="002C40EF"/>
    <w:rsid w:val="002C411A"/>
    <w:rsid w:val="002C5841"/>
    <w:rsid w:val="002D02EF"/>
    <w:rsid w:val="002D1E79"/>
    <w:rsid w:val="002D2650"/>
    <w:rsid w:val="002E039F"/>
    <w:rsid w:val="002E1580"/>
    <w:rsid w:val="002E3D41"/>
    <w:rsid w:val="002E3FE9"/>
    <w:rsid w:val="002F3A06"/>
    <w:rsid w:val="002F5CBC"/>
    <w:rsid w:val="002F749F"/>
    <w:rsid w:val="003024A4"/>
    <w:rsid w:val="003027EF"/>
    <w:rsid w:val="00302D26"/>
    <w:rsid w:val="0030310C"/>
    <w:rsid w:val="003058B3"/>
    <w:rsid w:val="00305A14"/>
    <w:rsid w:val="0031023C"/>
    <w:rsid w:val="00310515"/>
    <w:rsid w:val="00313738"/>
    <w:rsid w:val="00317B09"/>
    <w:rsid w:val="00320D3D"/>
    <w:rsid w:val="00326BFF"/>
    <w:rsid w:val="0033058F"/>
    <w:rsid w:val="00331980"/>
    <w:rsid w:val="00332463"/>
    <w:rsid w:val="003349B5"/>
    <w:rsid w:val="003351B4"/>
    <w:rsid w:val="003357E0"/>
    <w:rsid w:val="00335834"/>
    <w:rsid w:val="003410E4"/>
    <w:rsid w:val="00344C32"/>
    <w:rsid w:val="00346ABC"/>
    <w:rsid w:val="0034788E"/>
    <w:rsid w:val="00347C99"/>
    <w:rsid w:val="00357741"/>
    <w:rsid w:val="0036280B"/>
    <w:rsid w:val="00362E4D"/>
    <w:rsid w:val="00363E3A"/>
    <w:rsid w:val="00365360"/>
    <w:rsid w:val="00366C1B"/>
    <w:rsid w:val="00366F50"/>
    <w:rsid w:val="00374BC5"/>
    <w:rsid w:val="00384BD8"/>
    <w:rsid w:val="00387C7E"/>
    <w:rsid w:val="00391DF8"/>
    <w:rsid w:val="00393322"/>
    <w:rsid w:val="00393E0F"/>
    <w:rsid w:val="00395690"/>
    <w:rsid w:val="003B5890"/>
    <w:rsid w:val="003B60AC"/>
    <w:rsid w:val="003B6CEC"/>
    <w:rsid w:val="003B6D84"/>
    <w:rsid w:val="003B73DD"/>
    <w:rsid w:val="003C1A6E"/>
    <w:rsid w:val="003C2189"/>
    <w:rsid w:val="003C57E3"/>
    <w:rsid w:val="003D26B3"/>
    <w:rsid w:val="003D2716"/>
    <w:rsid w:val="003E1D8C"/>
    <w:rsid w:val="003E3A21"/>
    <w:rsid w:val="003E4053"/>
    <w:rsid w:val="003E496A"/>
    <w:rsid w:val="003E62E7"/>
    <w:rsid w:val="003E6827"/>
    <w:rsid w:val="003F4E2A"/>
    <w:rsid w:val="003F739B"/>
    <w:rsid w:val="004048C5"/>
    <w:rsid w:val="00406553"/>
    <w:rsid w:val="00412826"/>
    <w:rsid w:val="00413ACB"/>
    <w:rsid w:val="00420B35"/>
    <w:rsid w:val="004223E8"/>
    <w:rsid w:val="00422A6C"/>
    <w:rsid w:val="00432495"/>
    <w:rsid w:val="00436345"/>
    <w:rsid w:val="004373E4"/>
    <w:rsid w:val="00445531"/>
    <w:rsid w:val="00447F8C"/>
    <w:rsid w:val="00450135"/>
    <w:rsid w:val="004525F8"/>
    <w:rsid w:val="004546CC"/>
    <w:rsid w:val="00454D0E"/>
    <w:rsid w:val="00463960"/>
    <w:rsid w:val="00464472"/>
    <w:rsid w:val="004703EC"/>
    <w:rsid w:val="004709FA"/>
    <w:rsid w:val="00477199"/>
    <w:rsid w:val="0048362C"/>
    <w:rsid w:val="0049382D"/>
    <w:rsid w:val="00494070"/>
    <w:rsid w:val="00497D76"/>
    <w:rsid w:val="004A2307"/>
    <w:rsid w:val="004A2959"/>
    <w:rsid w:val="004A4538"/>
    <w:rsid w:val="004A5933"/>
    <w:rsid w:val="004A5F1A"/>
    <w:rsid w:val="004A6D88"/>
    <w:rsid w:val="004B3928"/>
    <w:rsid w:val="004B7CF9"/>
    <w:rsid w:val="004C4F7C"/>
    <w:rsid w:val="004D046A"/>
    <w:rsid w:val="004D3225"/>
    <w:rsid w:val="004D6E1E"/>
    <w:rsid w:val="004E267E"/>
    <w:rsid w:val="004E31AB"/>
    <w:rsid w:val="004E59F0"/>
    <w:rsid w:val="004F0553"/>
    <w:rsid w:val="004F1830"/>
    <w:rsid w:val="004F1CD8"/>
    <w:rsid w:val="005041A8"/>
    <w:rsid w:val="00505207"/>
    <w:rsid w:val="005067C0"/>
    <w:rsid w:val="005074CC"/>
    <w:rsid w:val="00507AFF"/>
    <w:rsid w:val="00510EEF"/>
    <w:rsid w:val="00510F59"/>
    <w:rsid w:val="00513B04"/>
    <w:rsid w:val="00526647"/>
    <w:rsid w:val="00526CA2"/>
    <w:rsid w:val="00532043"/>
    <w:rsid w:val="005402AA"/>
    <w:rsid w:val="0054197E"/>
    <w:rsid w:val="005505B6"/>
    <w:rsid w:val="005560BC"/>
    <w:rsid w:val="005729FD"/>
    <w:rsid w:val="00573D7E"/>
    <w:rsid w:val="005755E9"/>
    <w:rsid w:val="00575CAD"/>
    <w:rsid w:val="00577297"/>
    <w:rsid w:val="00581320"/>
    <w:rsid w:val="00586BD4"/>
    <w:rsid w:val="00587B51"/>
    <w:rsid w:val="00591C7A"/>
    <w:rsid w:val="00592FF8"/>
    <w:rsid w:val="0059396C"/>
    <w:rsid w:val="00594497"/>
    <w:rsid w:val="00594E77"/>
    <w:rsid w:val="005A21B6"/>
    <w:rsid w:val="005A272E"/>
    <w:rsid w:val="005A526A"/>
    <w:rsid w:val="005B1686"/>
    <w:rsid w:val="005B21C4"/>
    <w:rsid w:val="005B5CCF"/>
    <w:rsid w:val="005C1748"/>
    <w:rsid w:val="005C3BCE"/>
    <w:rsid w:val="005C54B6"/>
    <w:rsid w:val="005D002C"/>
    <w:rsid w:val="005D0D89"/>
    <w:rsid w:val="005D1517"/>
    <w:rsid w:val="005D6989"/>
    <w:rsid w:val="005D7B29"/>
    <w:rsid w:val="005E1738"/>
    <w:rsid w:val="005E3169"/>
    <w:rsid w:val="005E4D07"/>
    <w:rsid w:val="005F5FCD"/>
    <w:rsid w:val="005F7132"/>
    <w:rsid w:val="0060036E"/>
    <w:rsid w:val="00604B7E"/>
    <w:rsid w:val="00611A85"/>
    <w:rsid w:val="00614DAB"/>
    <w:rsid w:val="006164F1"/>
    <w:rsid w:val="00623295"/>
    <w:rsid w:val="00624C2F"/>
    <w:rsid w:val="0062786F"/>
    <w:rsid w:val="00630A71"/>
    <w:rsid w:val="0064180A"/>
    <w:rsid w:val="006433A4"/>
    <w:rsid w:val="006452B7"/>
    <w:rsid w:val="0064538C"/>
    <w:rsid w:val="006479BD"/>
    <w:rsid w:val="00647D8C"/>
    <w:rsid w:val="00655763"/>
    <w:rsid w:val="006653DD"/>
    <w:rsid w:val="00675D43"/>
    <w:rsid w:val="00677559"/>
    <w:rsid w:val="006801E3"/>
    <w:rsid w:val="0068297D"/>
    <w:rsid w:val="00690638"/>
    <w:rsid w:val="00692094"/>
    <w:rsid w:val="00693368"/>
    <w:rsid w:val="006A0C9B"/>
    <w:rsid w:val="006A272D"/>
    <w:rsid w:val="006A4950"/>
    <w:rsid w:val="006A4C47"/>
    <w:rsid w:val="006A4CC2"/>
    <w:rsid w:val="006A5EE4"/>
    <w:rsid w:val="006B1EE9"/>
    <w:rsid w:val="006B352A"/>
    <w:rsid w:val="006B794C"/>
    <w:rsid w:val="006C4F87"/>
    <w:rsid w:val="006C5FA0"/>
    <w:rsid w:val="006D1279"/>
    <w:rsid w:val="006D230E"/>
    <w:rsid w:val="006F4093"/>
    <w:rsid w:val="006F4A98"/>
    <w:rsid w:val="006F6848"/>
    <w:rsid w:val="00700EF4"/>
    <w:rsid w:val="00705C88"/>
    <w:rsid w:val="00713966"/>
    <w:rsid w:val="00716E39"/>
    <w:rsid w:val="00721BEF"/>
    <w:rsid w:val="00722EEA"/>
    <w:rsid w:val="00726F8E"/>
    <w:rsid w:val="007302CF"/>
    <w:rsid w:val="00732A4A"/>
    <w:rsid w:val="007367B8"/>
    <w:rsid w:val="00740EA6"/>
    <w:rsid w:val="00741B5C"/>
    <w:rsid w:val="00743F35"/>
    <w:rsid w:val="00744659"/>
    <w:rsid w:val="00746552"/>
    <w:rsid w:val="00760A56"/>
    <w:rsid w:val="00764B4E"/>
    <w:rsid w:val="007703C5"/>
    <w:rsid w:val="00780ED3"/>
    <w:rsid w:val="00781158"/>
    <w:rsid w:val="0078217D"/>
    <w:rsid w:val="00784472"/>
    <w:rsid w:val="007856C1"/>
    <w:rsid w:val="00786FF3"/>
    <w:rsid w:val="0079265C"/>
    <w:rsid w:val="007928F0"/>
    <w:rsid w:val="007946D2"/>
    <w:rsid w:val="00794B12"/>
    <w:rsid w:val="00796E6B"/>
    <w:rsid w:val="00797F85"/>
    <w:rsid w:val="00797FE0"/>
    <w:rsid w:val="007A0755"/>
    <w:rsid w:val="007A4A80"/>
    <w:rsid w:val="007A6F45"/>
    <w:rsid w:val="007B015B"/>
    <w:rsid w:val="007B2E17"/>
    <w:rsid w:val="007B69C0"/>
    <w:rsid w:val="007B6E42"/>
    <w:rsid w:val="007B7610"/>
    <w:rsid w:val="007B78BC"/>
    <w:rsid w:val="007C025D"/>
    <w:rsid w:val="007C7F80"/>
    <w:rsid w:val="007D363D"/>
    <w:rsid w:val="007D5CF7"/>
    <w:rsid w:val="007D6255"/>
    <w:rsid w:val="007E1553"/>
    <w:rsid w:val="007E5B71"/>
    <w:rsid w:val="007E6EE9"/>
    <w:rsid w:val="007F03C5"/>
    <w:rsid w:val="007F0F2D"/>
    <w:rsid w:val="007F120F"/>
    <w:rsid w:val="007F3B38"/>
    <w:rsid w:val="007F5DF4"/>
    <w:rsid w:val="00801B89"/>
    <w:rsid w:val="008046C8"/>
    <w:rsid w:val="008063FE"/>
    <w:rsid w:val="00813C9B"/>
    <w:rsid w:val="00814ADA"/>
    <w:rsid w:val="008165CD"/>
    <w:rsid w:val="00817A3B"/>
    <w:rsid w:val="00821CAD"/>
    <w:rsid w:val="00823B2D"/>
    <w:rsid w:val="00825A3F"/>
    <w:rsid w:val="00826124"/>
    <w:rsid w:val="008320CB"/>
    <w:rsid w:val="00832838"/>
    <w:rsid w:val="00835B27"/>
    <w:rsid w:val="00846F3B"/>
    <w:rsid w:val="00852DFA"/>
    <w:rsid w:val="008531D3"/>
    <w:rsid w:val="008533E1"/>
    <w:rsid w:val="00862B23"/>
    <w:rsid w:val="00862E6F"/>
    <w:rsid w:val="00865FF7"/>
    <w:rsid w:val="0086778E"/>
    <w:rsid w:val="0087717C"/>
    <w:rsid w:val="008778A8"/>
    <w:rsid w:val="00877CDE"/>
    <w:rsid w:val="00877F31"/>
    <w:rsid w:val="00881AE4"/>
    <w:rsid w:val="008837B5"/>
    <w:rsid w:val="00883D1E"/>
    <w:rsid w:val="00885005"/>
    <w:rsid w:val="00887860"/>
    <w:rsid w:val="008914AE"/>
    <w:rsid w:val="008A7663"/>
    <w:rsid w:val="008B69A5"/>
    <w:rsid w:val="008C0CB6"/>
    <w:rsid w:val="008C0F1C"/>
    <w:rsid w:val="008C3CD1"/>
    <w:rsid w:val="008C51E7"/>
    <w:rsid w:val="008C658A"/>
    <w:rsid w:val="008D2315"/>
    <w:rsid w:val="008D284F"/>
    <w:rsid w:val="008D61B3"/>
    <w:rsid w:val="008E05BA"/>
    <w:rsid w:val="008E09F6"/>
    <w:rsid w:val="008E2D6C"/>
    <w:rsid w:val="008E3FA7"/>
    <w:rsid w:val="008F18B8"/>
    <w:rsid w:val="008F2347"/>
    <w:rsid w:val="008F397C"/>
    <w:rsid w:val="008F4B45"/>
    <w:rsid w:val="008F5C87"/>
    <w:rsid w:val="008F5EA8"/>
    <w:rsid w:val="008F610C"/>
    <w:rsid w:val="009039F4"/>
    <w:rsid w:val="00905742"/>
    <w:rsid w:val="00911A7B"/>
    <w:rsid w:val="00914574"/>
    <w:rsid w:val="00915825"/>
    <w:rsid w:val="00916D71"/>
    <w:rsid w:val="00941D4F"/>
    <w:rsid w:val="00944203"/>
    <w:rsid w:val="00946849"/>
    <w:rsid w:val="0094747D"/>
    <w:rsid w:val="00951DAD"/>
    <w:rsid w:val="00957FA7"/>
    <w:rsid w:val="0096227B"/>
    <w:rsid w:val="00964167"/>
    <w:rsid w:val="0096670D"/>
    <w:rsid w:val="00970CDE"/>
    <w:rsid w:val="00974851"/>
    <w:rsid w:val="00975541"/>
    <w:rsid w:val="009763E1"/>
    <w:rsid w:val="00987B85"/>
    <w:rsid w:val="0099290F"/>
    <w:rsid w:val="00997204"/>
    <w:rsid w:val="009A1777"/>
    <w:rsid w:val="009A6EBB"/>
    <w:rsid w:val="009B0F5C"/>
    <w:rsid w:val="009B3BDD"/>
    <w:rsid w:val="009B51C3"/>
    <w:rsid w:val="009B75B6"/>
    <w:rsid w:val="009C1B51"/>
    <w:rsid w:val="009C6F3D"/>
    <w:rsid w:val="009E52D1"/>
    <w:rsid w:val="009E68C3"/>
    <w:rsid w:val="009E75DE"/>
    <w:rsid w:val="00A011FA"/>
    <w:rsid w:val="00A10FC1"/>
    <w:rsid w:val="00A11B5D"/>
    <w:rsid w:val="00A165B2"/>
    <w:rsid w:val="00A176D9"/>
    <w:rsid w:val="00A20958"/>
    <w:rsid w:val="00A21AFA"/>
    <w:rsid w:val="00A262D4"/>
    <w:rsid w:val="00A26D8A"/>
    <w:rsid w:val="00A27933"/>
    <w:rsid w:val="00A27D16"/>
    <w:rsid w:val="00A3359E"/>
    <w:rsid w:val="00A34EAA"/>
    <w:rsid w:val="00A407EF"/>
    <w:rsid w:val="00A46A6E"/>
    <w:rsid w:val="00A52F6A"/>
    <w:rsid w:val="00A54833"/>
    <w:rsid w:val="00A5631F"/>
    <w:rsid w:val="00A6029C"/>
    <w:rsid w:val="00A618DD"/>
    <w:rsid w:val="00A66CBE"/>
    <w:rsid w:val="00A674E3"/>
    <w:rsid w:val="00A70EB5"/>
    <w:rsid w:val="00A7106E"/>
    <w:rsid w:val="00A72D2F"/>
    <w:rsid w:val="00A7481A"/>
    <w:rsid w:val="00A7650E"/>
    <w:rsid w:val="00A77B0B"/>
    <w:rsid w:val="00A816BA"/>
    <w:rsid w:val="00A82147"/>
    <w:rsid w:val="00A82D69"/>
    <w:rsid w:val="00A83D9E"/>
    <w:rsid w:val="00A84FB8"/>
    <w:rsid w:val="00A976DC"/>
    <w:rsid w:val="00AA3BE0"/>
    <w:rsid w:val="00AA3CDC"/>
    <w:rsid w:val="00AA5B53"/>
    <w:rsid w:val="00AB005B"/>
    <w:rsid w:val="00AB0092"/>
    <w:rsid w:val="00AB6F31"/>
    <w:rsid w:val="00AD6842"/>
    <w:rsid w:val="00AE2609"/>
    <w:rsid w:val="00AE2689"/>
    <w:rsid w:val="00AE54B8"/>
    <w:rsid w:val="00AE5F59"/>
    <w:rsid w:val="00AE7E79"/>
    <w:rsid w:val="00AF06F1"/>
    <w:rsid w:val="00AF081C"/>
    <w:rsid w:val="00AF1985"/>
    <w:rsid w:val="00AF2CBE"/>
    <w:rsid w:val="00AF346C"/>
    <w:rsid w:val="00AF47B6"/>
    <w:rsid w:val="00AF67D3"/>
    <w:rsid w:val="00B01F86"/>
    <w:rsid w:val="00B02702"/>
    <w:rsid w:val="00B046CA"/>
    <w:rsid w:val="00B06058"/>
    <w:rsid w:val="00B11A33"/>
    <w:rsid w:val="00B1294A"/>
    <w:rsid w:val="00B1405D"/>
    <w:rsid w:val="00B1565F"/>
    <w:rsid w:val="00B165D4"/>
    <w:rsid w:val="00B170E0"/>
    <w:rsid w:val="00B211C6"/>
    <w:rsid w:val="00B21A2B"/>
    <w:rsid w:val="00B23EC8"/>
    <w:rsid w:val="00B250A5"/>
    <w:rsid w:val="00B27BE1"/>
    <w:rsid w:val="00B305E1"/>
    <w:rsid w:val="00B30F3C"/>
    <w:rsid w:val="00B34B3F"/>
    <w:rsid w:val="00B53F4D"/>
    <w:rsid w:val="00B57AE4"/>
    <w:rsid w:val="00B670B8"/>
    <w:rsid w:val="00B7338B"/>
    <w:rsid w:val="00B74B65"/>
    <w:rsid w:val="00B74FC4"/>
    <w:rsid w:val="00B76BD3"/>
    <w:rsid w:val="00B77CE8"/>
    <w:rsid w:val="00B840BF"/>
    <w:rsid w:val="00B85895"/>
    <w:rsid w:val="00B8754C"/>
    <w:rsid w:val="00B909E5"/>
    <w:rsid w:val="00B92F57"/>
    <w:rsid w:val="00B9569F"/>
    <w:rsid w:val="00B97E23"/>
    <w:rsid w:val="00BA1256"/>
    <w:rsid w:val="00BA2E34"/>
    <w:rsid w:val="00BA369F"/>
    <w:rsid w:val="00BA7BDF"/>
    <w:rsid w:val="00BB224A"/>
    <w:rsid w:val="00BB3522"/>
    <w:rsid w:val="00BB5CCC"/>
    <w:rsid w:val="00BC467C"/>
    <w:rsid w:val="00BC677F"/>
    <w:rsid w:val="00BD4ECE"/>
    <w:rsid w:val="00BE0FAB"/>
    <w:rsid w:val="00BE7376"/>
    <w:rsid w:val="00BF579D"/>
    <w:rsid w:val="00BF6EA8"/>
    <w:rsid w:val="00BF799D"/>
    <w:rsid w:val="00C06A98"/>
    <w:rsid w:val="00C11C29"/>
    <w:rsid w:val="00C127B6"/>
    <w:rsid w:val="00C12FD0"/>
    <w:rsid w:val="00C17234"/>
    <w:rsid w:val="00C2357C"/>
    <w:rsid w:val="00C23EA8"/>
    <w:rsid w:val="00C258A7"/>
    <w:rsid w:val="00C27590"/>
    <w:rsid w:val="00C30B23"/>
    <w:rsid w:val="00C30C9A"/>
    <w:rsid w:val="00C35D84"/>
    <w:rsid w:val="00C36681"/>
    <w:rsid w:val="00C41AAB"/>
    <w:rsid w:val="00C43384"/>
    <w:rsid w:val="00C436A9"/>
    <w:rsid w:val="00C52079"/>
    <w:rsid w:val="00C54008"/>
    <w:rsid w:val="00C6399C"/>
    <w:rsid w:val="00C64319"/>
    <w:rsid w:val="00C64C48"/>
    <w:rsid w:val="00C668AB"/>
    <w:rsid w:val="00C70B84"/>
    <w:rsid w:val="00C71100"/>
    <w:rsid w:val="00C71BC0"/>
    <w:rsid w:val="00C74827"/>
    <w:rsid w:val="00C74D6B"/>
    <w:rsid w:val="00C76B80"/>
    <w:rsid w:val="00C834D0"/>
    <w:rsid w:val="00C85239"/>
    <w:rsid w:val="00C85272"/>
    <w:rsid w:val="00C85907"/>
    <w:rsid w:val="00C876AD"/>
    <w:rsid w:val="00C9463C"/>
    <w:rsid w:val="00C946A2"/>
    <w:rsid w:val="00C9730A"/>
    <w:rsid w:val="00CA0A77"/>
    <w:rsid w:val="00CA42E9"/>
    <w:rsid w:val="00CA56FE"/>
    <w:rsid w:val="00CA59E1"/>
    <w:rsid w:val="00CB1253"/>
    <w:rsid w:val="00CB3AF5"/>
    <w:rsid w:val="00CB4577"/>
    <w:rsid w:val="00CC6B26"/>
    <w:rsid w:val="00CD272E"/>
    <w:rsid w:val="00CD2F9A"/>
    <w:rsid w:val="00CD7E6B"/>
    <w:rsid w:val="00CE32F4"/>
    <w:rsid w:val="00CE4E72"/>
    <w:rsid w:val="00CF408A"/>
    <w:rsid w:val="00D00037"/>
    <w:rsid w:val="00D07A45"/>
    <w:rsid w:val="00D11C74"/>
    <w:rsid w:val="00D124A0"/>
    <w:rsid w:val="00D12F64"/>
    <w:rsid w:val="00D1544F"/>
    <w:rsid w:val="00D17A6C"/>
    <w:rsid w:val="00D26462"/>
    <w:rsid w:val="00D27526"/>
    <w:rsid w:val="00D4106B"/>
    <w:rsid w:val="00D47E5F"/>
    <w:rsid w:val="00D531ED"/>
    <w:rsid w:val="00D55DE5"/>
    <w:rsid w:val="00D57D94"/>
    <w:rsid w:val="00D57EE8"/>
    <w:rsid w:val="00D6188D"/>
    <w:rsid w:val="00D62248"/>
    <w:rsid w:val="00D63DF7"/>
    <w:rsid w:val="00D65D8E"/>
    <w:rsid w:val="00D66CF4"/>
    <w:rsid w:val="00D70234"/>
    <w:rsid w:val="00D7053E"/>
    <w:rsid w:val="00D7053F"/>
    <w:rsid w:val="00D71A7E"/>
    <w:rsid w:val="00D75FF7"/>
    <w:rsid w:val="00D87FF9"/>
    <w:rsid w:val="00D9087A"/>
    <w:rsid w:val="00D97DC4"/>
    <w:rsid w:val="00DA1413"/>
    <w:rsid w:val="00DA14B5"/>
    <w:rsid w:val="00DB2CCB"/>
    <w:rsid w:val="00DC0675"/>
    <w:rsid w:val="00DE08B4"/>
    <w:rsid w:val="00DE11E8"/>
    <w:rsid w:val="00DE6540"/>
    <w:rsid w:val="00DE6742"/>
    <w:rsid w:val="00DE7518"/>
    <w:rsid w:val="00DF0004"/>
    <w:rsid w:val="00DF7285"/>
    <w:rsid w:val="00E02DBC"/>
    <w:rsid w:val="00E0422E"/>
    <w:rsid w:val="00E10F03"/>
    <w:rsid w:val="00E1129F"/>
    <w:rsid w:val="00E14F08"/>
    <w:rsid w:val="00E1665A"/>
    <w:rsid w:val="00E17594"/>
    <w:rsid w:val="00E20BD4"/>
    <w:rsid w:val="00E2724E"/>
    <w:rsid w:val="00E27C0B"/>
    <w:rsid w:val="00E33E93"/>
    <w:rsid w:val="00E34F34"/>
    <w:rsid w:val="00E37C28"/>
    <w:rsid w:val="00E37FE9"/>
    <w:rsid w:val="00E43BEB"/>
    <w:rsid w:val="00E46DF3"/>
    <w:rsid w:val="00E57106"/>
    <w:rsid w:val="00E57E1C"/>
    <w:rsid w:val="00E62653"/>
    <w:rsid w:val="00E71B1E"/>
    <w:rsid w:val="00E73799"/>
    <w:rsid w:val="00E73C27"/>
    <w:rsid w:val="00E7407B"/>
    <w:rsid w:val="00E74307"/>
    <w:rsid w:val="00E7614A"/>
    <w:rsid w:val="00E82101"/>
    <w:rsid w:val="00E85E51"/>
    <w:rsid w:val="00E87500"/>
    <w:rsid w:val="00EB30F9"/>
    <w:rsid w:val="00EB4027"/>
    <w:rsid w:val="00EB6F36"/>
    <w:rsid w:val="00EB7700"/>
    <w:rsid w:val="00EB7AE2"/>
    <w:rsid w:val="00EC5293"/>
    <w:rsid w:val="00EC7EF1"/>
    <w:rsid w:val="00ED3B29"/>
    <w:rsid w:val="00ED6C28"/>
    <w:rsid w:val="00EE3F30"/>
    <w:rsid w:val="00EE6999"/>
    <w:rsid w:val="00EE701B"/>
    <w:rsid w:val="00EF1227"/>
    <w:rsid w:val="00EF2A41"/>
    <w:rsid w:val="00EF716C"/>
    <w:rsid w:val="00F06658"/>
    <w:rsid w:val="00F1024D"/>
    <w:rsid w:val="00F150B8"/>
    <w:rsid w:val="00F20B97"/>
    <w:rsid w:val="00F24150"/>
    <w:rsid w:val="00F24BCF"/>
    <w:rsid w:val="00F25A82"/>
    <w:rsid w:val="00F25F31"/>
    <w:rsid w:val="00F33D79"/>
    <w:rsid w:val="00F3677D"/>
    <w:rsid w:val="00F42A44"/>
    <w:rsid w:val="00F43FAD"/>
    <w:rsid w:val="00F46141"/>
    <w:rsid w:val="00F466DB"/>
    <w:rsid w:val="00F504C2"/>
    <w:rsid w:val="00F55C28"/>
    <w:rsid w:val="00F57BA6"/>
    <w:rsid w:val="00F6531E"/>
    <w:rsid w:val="00F6656A"/>
    <w:rsid w:val="00F70D11"/>
    <w:rsid w:val="00F71513"/>
    <w:rsid w:val="00F73E6D"/>
    <w:rsid w:val="00F74C54"/>
    <w:rsid w:val="00F74F56"/>
    <w:rsid w:val="00F82C75"/>
    <w:rsid w:val="00F93BA1"/>
    <w:rsid w:val="00F94C37"/>
    <w:rsid w:val="00F973F6"/>
    <w:rsid w:val="00FA16E6"/>
    <w:rsid w:val="00FA3742"/>
    <w:rsid w:val="00FA6A79"/>
    <w:rsid w:val="00FB0360"/>
    <w:rsid w:val="00FB1C03"/>
    <w:rsid w:val="00FB370A"/>
    <w:rsid w:val="00FB4AB7"/>
    <w:rsid w:val="00FB6769"/>
    <w:rsid w:val="00FC5F06"/>
    <w:rsid w:val="00FC7895"/>
    <w:rsid w:val="00FD213D"/>
    <w:rsid w:val="00FD36C4"/>
    <w:rsid w:val="00FD4CAB"/>
    <w:rsid w:val="00FD70ED"/>
    <w:rsid w:val="00FE0482"/>
    <w:rsid w:val="00FE55EC"/>
    <w:rsid w:val="00FE7719"/>
    <w:rsid w:val="00FF123D"/>
    <w:rsid w:val="00FF1AC0"/>
    <w:rsid w:val="00FF6505"/>
    <w:rsid w:val="00FF6D99"/>
    <w:rsid w:val="00FF78E7"/>
    <w:rsid w:val="00FF7C52"/>
    <w:rsid w:val="265D79A1"/>
    <w:rsid w:val="2AA0CE03"/>
    <w:rsid w:val="5686E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D8DAF"/>
  <w15:chartTrackingRefBased/>
  <w15:docId w15:val="{770F171D-A21B-A749-9323-BCF8BAF9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E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E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CC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B5CCC"/>
  </w:style>
  <w:style w:type="character" w:styleId="Hyperlink">
    <w:name w:val="Hyperlink"/>
    <w:basedOn w:val="DefaultParagraphFont"/>
    <w:uiPriority w:val="99"/>
    <w:unhideWhenUsed/>
    <w:rsid w:val="00BB5CCC"/>
    <w:rPr>
      <w:color w:val="0000FF"/>
      <w:u w:val="single"/>
    </w:rPr>
  </w:style>
  <w:style w:type="paragraph" w:styleId="FootnoteText">
    <w:name w:val="footnote text"/>
    <w:basedOn w:val="Normal"/>
    <w:link w:val="FootnoteTextChar"/>
    <w:uiPriority w:val="99"/>
    <w:semiHidden/>
    <w:unhideWhenUsed/>
    <w:rsid w:val="00721BEF"/>
    <w:rPr>
      <w:sz w:val="20"/>
      <w:szCs w:val="20"/>
    </w:rPr>
  </w:style>
  <w:style w:type="character" w:customStyle="1" w:styleId="FootnoteTextChar">
    <w:name w:val="Footnote Text Char"/>
    <w:basedOn w:val="DefaultParagraphFont"/>
    <w:link w:val="FootnoteText"/>
    <w:uiPriority w:val="99"/>
    <w:semiHidden/>
    <w:rsid w:val="00721BEF"/>
    <w:rPr>
      <w:sz w:val="20"/>
      <w:szCs w:val="20"/>
    </w:rPr>
  </w:style>
  <w:style w:type="character" w:styleId="FootnoteReference">
    <w:name w:val="footnote reference"/>
    <w:basedOn w:val="DefaultParagraphFont"/>
    <w:uiPriority w:val="99"/>
    <w:semiHidden/>
    <w:unhideWhenUsed/>
    <w:rsid w:val="00721BEF"/>
    <w:rPr>
      <w:vertAlign w:val="superscript"/>
    </w:rPr>
  </w:style>
  <w:style w:type="character" w:styleId="UnresolvedMention">
    <w:name w:val="Unresolved Mention"/>
    <w:basedOn w:val="DefaultParagraphFont"/>
    <w:uiPriority w:val="99"/>
    <w:semiHidden/>
    <w:unhideWhenUsed/>
    <w:rsid w:val="000474DA"/>
    <w:rPr>
      <w:color w:val="605E5C"/>
      <w:shd w:val="clear" w:color="auto" w:fill="E1DFDD"/>
    </w:rPr>
  </w:style>
  <w:style w:type="paragraph" w:styleId="Footer">
    <w:name w:val="footer"/>
    <w:basedOn w:val="Normal"/>
    <w:link w:val="FooterChar"/>
    <w:uiPriority w:val="99"/>
    <w:unhideWhenUsed/>
    <w:rsid w:val="00846F3B"/>
    <w:pPr>
      <w:tabs>
        <w:tab w:val="center" w:pos="4680"/>
        <w:tab w:val="right" w:pos="9360"/>
      </w:tabs>
    </w:pPr>
  </w:style>
  <w:style w:type="character" w:customStyle="1" w:styleId="FooterChar">
    <w:name w:val="Footer Char"/>
    <w:basedOn w:val="DefaultParagraphFont"/>
    <w:link w:val="Footer"/>
    <w:uiPriority w:val="99"/>
    <w:rsid w:val="00846F3B"/>
  </w:style>
  <w:style w:type="character" w:styleId="PageNumber">
    <w:name w:val="page number"/>
    <w:basedOn w:val="DefaultParagraphFont"/>
    <w:uiPriority w:val="99"/>
    <w:semiHidden/>
    <w:unhideWhenUsed/>
    <w:rsid w:val="00846F3B"/>
  </w:style>
  <w:style w:type="paragraph" w:styleId="Header">
    <w:name w:val="header"/>
    <w:basedOn w:val="Normal"/>
    <w:link w:val="HeaderChar"/>
    <w:uiPriority w:val="99"/>
    <w:unhideWhenUsed/>
    <w:rsid w:val="00846F3B"/>
    <w:pPr>
      <w:tabs>
        <w:tab w:val="center" w:pos="4680"/>
        <w:tab w:val="right" w:pos="9360"/>
      </w:tabs>
    </w:pPr>
  </w:style>
  <w:style w:type="character" w:customStyle="1" w:styleId="HeaderChar">
    <w:name w:val="Header Char"/>
    <w:basedOn w:val="DefaultParagraphFont"/>
    <w:link w:val="Header"/>
    <w:uiPriority w:val="99"/>
    <w:rsid w:val="00846F3B"/>
  </w:style>
  <w:style w:type="paragraph" w:styleId="BalloonText">
    <w:name w:val="Balloon Text"/>
    <w:basedOn w:val="Normal"/>
    <w:link w:val="BalloonTextChar"/>
    <w:uiPriority w:val="99"/>
    <w:semiHidden/>
    <w:unhideWhenUsed/>
    <w:rsid w:val="00846F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6F3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D2650"/>
    <w:rPr>
      <w:sz w:val="16"/>
      <w:szCs w:val="16"/>
    </w:rPr>
  </w:style>
  <w:style w:type="paragraph" w:styleId="CommentText">
    <w:name w:val="annotation text"/>
    <w:basedOn w:val="Normal"/>
    <w:link w:val="CommentTextChar"/>
    <w:uiPriority w:val="99"/>
    <w:unhideWhenUsed/>
    <w:rsid w:val="002D2650"/>
    <w:rPr>
      <w:sz w:val="20"/>
      <w:szCs w:val="20"/>
    </w:rPr>
  </w:style>
  <w:style w:type="character" w:customStyle="1" w:styleId="CommentTextChar">
    <w:name w:val="Comment Text Char"/>
    <w:basedOn w:val="DefaultParagraphFont"/>
    <w:link w:val="CommentText"/>
    <w:uiPriority w:val="99"/>
    <w:rsid w:val="002D2650"/>
    <w:rPr>
      <w:sz w:val="20"/>
      <w:szCs w:val="20"/>
    </w:rPr>
  </w:style>
  <w:style w:type="paragraph" w:styleId="CommentSubject">
    <w:name w:val="annotation subject"/>
    <w:basedOn w:val="CommentText"/>
    <w:next w:val="CommentText"/>
    <w:link w:val="CommentSubjectChar"/>
    <w:uiPriority w:val="99"/>
    <w:semiHidden/>
    <w:unhideWhenUsed/>
    <w:rsid w:val="002D2650"/>
    <w:rPr>
      <w:b/>
      <w:bCs/>
    </w:rPr>
  </w:style>
  <w:style w:type="character" w:customStyle="1" w:styleId="CommentSubjectChar">
    <w:name w:val="Comment Subject Char"/>
    <w:basedOn w:val="CommentTextChar"/>
    <w:link w:val="CommentSubject"/>
    <w:uiPriority w:val="99"/>
    <w:semiHidden/>
    <w:rsid w:val="002D2650"/>
    <w:rPr>
      <w:b/>
      <w:bCs/>
      <w:sz w:val="20"/>
      <w:szCs w:val="20"/>
    </w:rPr>
  </w:style>
  <w:style w:type="paragraph" w:styleId="Revision">
    <w:name w:val="Revision"/>
    <w:hidden/>
    <w:uiPriority w:val="99"/>
    <w:semiHidden/>
    <w:rsid w:val="00AA5B53"/>
  </w:style>
  <w:style w:type="character" w:styleId="FollowedHyperlink">
    <w:name w:val="FollowedHyperlink"/>
    <w:basedOn w:val="DefaultParagraphFont"/>
    <w:uiPriority w:val="99"/>
    <w:semiHidden/>
    <w:unhideWhenUsed/>
    <w:rsid w:val="00F55C28"/>
    <w:rPr>
      <w:color w:val="954F72" w:themeColor="followedHyperlink"/>
      <w:u w:val="single"/>
    </w:rPr>
  </w:style>
  <w:style w:type="character" w:customStyle="1" w:styleId="Heading1Char">
    <w:name w:val="Heading 1 Char"/>
    <w:basedOn w:val="DefaultParagraphFont"/>
    <w:link w:val="Heading1"/>
    <w:uiPriority w:val="9"/>
    <w:rsid w:val="00E85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E51"/>
    <w:rPr>
      <w:rFonts w:ascii="Times New Roman" w:eastAsia="Times New Roman" w:hAnsi="Times New Roman" w:cs="Times New Roman"/>
      <w:b/>
      <w:bCs/>
      <w:sz w:val="36"/>
      <w:szCs w:val="3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062">
      <w:bodyDiv w:val="1"/>
      <w:marLeft w:val="0"/>
      <w:marRight w:val="0"/>
      <w:marTop w:val="0"/>
      <w:marBottom w:val="0"/>
      <w:divBdr>
        <w:top w:val="none" w:sz="0" w:space="0" w:color="auto"/>
        <w:left w:val="none" w:sz="0" w:space="0" w:color="auto"/>
        <w:bottom w:val="none" w:sz="0" w:space="0" w:color="auto"/>
        <w:right w:val="none" w:sz="0" w:space="0" w:color="auto"/>
      </w:divBdr>
    </w:div>
    <w:div w:id="36516445">
      <w:bodyDiv w:val="1"/>
      <w:marLeft w:val="0"/>
      <w:marRight w:val="0"/>
      <w:marTop w:val="0"/>
      <w:marBottom w:val="0"/>
      <w:divBdr>
        <w:top w:val="none" w:sz="0" w:space="0" w:color="auto"/>
        <w:left w:val="none" w:sz="0" w:space="0" w:color="auto"/>
        <w:bottom w:val="none" w:sz="0" w:space="0" w:color="auto"/>
        <w:right w:val="none" w:sz="0" w:space="0" w:color="auto"/>
      </w:divBdr>
    </w:div>
    <w:div w:id="94133971">
      <w:bodyDiv w:val="1"/>
      <w:marLeft w:val="0"/>
      <w:marRight w:val="0"/>
      <w:marTop w:val="0"/>
      <w:marBottom w:val="0"/>
      <w:divBdr>
        <w:top w:val="none" w:sz="0" w:space="0" w:color="auto"/>
        <w:left w:val="none" w:sz="0" w:space="0" w:color="auto"/>
        <w:bottom w:val="none" w:sz="0" w:space="0" w:color="auto"/>
        <w:right w:val="none" w:sz="0" w:space="0" w:color="auto"/>
      </w:divBdr>
    </w:div>
    <w:div w:id="184754338">
      <w:bodyDiv w:val="1"/>
      <w:marLeft w:val="0"/>
      <w:marRight w:val="0"/>
      <w:marTop w:val="0"/>
      <w:marBottom w:val="0"/>
      <w:divBdr>
        <w:top w:val="none" w:sz="0" w:space="0" w:color="auto"/>
        <w:left w:val="none" w:sz="0" w:space="0" w:color="auto"/>
        <w:bottom w:val="none" w:sz="0" w:space="0" w:color="auto"/>
        <w:right w:val="none" w:sz="0" w:space="0" w:color="auto"/>
      </w:divBdr>
    </w:div>
    <w:div w:id="360059789">
      <w:bodyDiv w:val="1"/>
      <w:marLeft w:val="0"/>
      <w:marRight w:val="0"/>
      <w:marTop w:val="0"/>
      <w:marBottom w:val="0"/>
      <w:divBdr>
        <w:top w:val="none" w:sz="0" w:space="0" w:color="auto"/>
        <w:left w:val="none" w:sz="0" w:space="0" w:color="auto"/>
        <w:bottom w:val="none" w:sz="0" w:space="0" w:color="auto"/>
        <w:right w:val="none" w:sz="0" w:space="0" w:color="auto"/>
      </w:divBdr>
    </w:div>
    <w:div w:id="624192890">
      <w:bodyDiv w:val="1"/>
      <w:marLeft w:val="0"/>
      <w:marRight w:val="0"/>
      <w:marTop w:val="0"/>
      <w:marBottom w:val="0"/>
      <w:divBdr>
        <w:top w:val="none" w:sz="0" w:space="0" w:color="auto"/>
        <w:left w:val="none" w:sz="0" w:space="0" w:color="auto"/>
        <w:bottom w:val="none" w:sz="0" w:space="0" w:color="auto"/>
        <w:right w:val="none" w:sz="0" w:space="0" w:color="auto"/>
      </w:divBdr>
    </w:div>
    <w:div w:id="849755309">
      <w:bodyDiv w:val="1"/>
      <w:marLeft w:val="0"/>
      <w:marRight w:val="0"/>
      <w:marTop w:val="0"/>
      <w:marBottom w:val="0"/>
      <w:divBdr>
        <w:top w:val="none" w:sz="0" w:space="0" w:color="auto"/>
        <w:left w:val="none" w:sz="0" w:space="0" w:color="auto"/>
        <w:bottom w:val="none" w:sz="0" w:space="0" w:color="auto"/>
        <w:right w:val="none" w:sz="0" w:space="0" w:color="auto"/>
      </w:divBdr>
    </w:div>
    <w:div w:id="917713822">
      <w:bodyDiv w:val="1"/>
      <w:marLeft w:val="0"/>
      <w:marRight w:val="0"/>
      <w:marTop w:val="0"/>
      <w:marBottom w:val="0"/>
      <w:divBdr>
        <w:top w:val="none" w:sz="0" w:space="0" w:color="auto"/>
        <w:left w:val="none" w:sz="0" w:space="0" w:color="auto"/>
        <w:bottom w:val="none" w:sz="0" w:space="0" w:color="auto"/>
        <w:right w:val="none" w:sz="0" w:space="0" w:color="auto"/>
      </w:divBdr>
    </w:div>
    <w:div w:id="957180457">
      <w:bodyDiv w:val="1"/>
      <w:marLeft w:val="0"/>
      <w:marRight w:val="0"/>
      <w:marTop w:val="0"/>
      <w:marBottom w:val="0"/>
      <w:divBdr>
        <w:top w:val="none" w:sz="0" w:space="0" w:color="auto"/>
        <w:left w:val="none" w:sz="0" w:space="0" w:color="auto"/>
        <w:bottom w:val="none" w:sz="0" w:space="0" w:color="auto"/>
        <w:right w:val="none" w:sz="0" w:space="0" w:color="auto"/>
      </w:divBdr>
    </w:div>
    <w:div w:id="1012413036">
      <w:bodyDiv w:val="1"/>
      <w:marLeft w:val="0"/>
      <w:marRight w:val="0"/>
      <w:marTop w:val="0"/>
      <w:marBottom w:val="0"/>
      <w:divBdr>
        <w:top w:val="none" w:sz="0" w:space="0" w:color="auto"/>
        <w:left w:val="none" w:sz="0" w:space="0" w:color="auto"/>
        <w:bottom w:val="none" w:sz="0" w:space="0" w:color="auto"/>
        <w:right w:val="none" w:sz="0" w:space="0" w:color="auto"/>
      </w:divBdr>
    </w:div>
    <w:div w:id="1270042390">
      <w:bodyDiv w:val="1"/>
      <w:marLeft w:val="0"/>
      <w:marRight w:val="0"/>
      <w:marTop w:val="0"/>
      <w:marBottom w:val="0"/>
      <w:divBdr>
        <w:top w:val="none" w:sz="0" w:space="0" w:color="auto"/>
        <w:left w:val="none" w:sz="0" w:space="0" w:color="auto"/>
        <w:bottom w:val="none" w:sz="0" w:space="0" w:color="auto"/>
        <w:right w:val="none" w:sz="0" w:space="0" w:color="auto"/>
      </w:divBdr>
    </w:div>
    <w:div w:id="1283070970">
      <w:bodyDiv w:val="1"/>
      <w:marLeft w:val="0"/>
      <w:marRight w:val="0"/>
      <w:marTop w:val="0"/>
      <w:marBottom w:val="0"/>
      <w:divBdr>
        <w:top w:val="none" w:sz="0" w:space="0" w:color="auto"/>
        <w:left w:val="none" w:sz="0" w:space="0" w:color="auto"/>
        <w:bottom w:val="none" w:sz="0" w:space="0" w:color="auto"/>
        <w:right w:val="none" w:sz="0" w:space="0" w:color="auto"/>
      </w:divBdr>
    </w:div>
    <w:div w:id="1289432517">
      <w:bodyDiv w:val="1"/>
      <w:marLeft w:val="0"/>
      <w:marRight w:val="0"/>
      <w:marTop w:val="0"/>
      <w:marBottom w:val="0"/>
      <w:divBdr>
        <w:top w:val="none" w:sz="0" w:space="0" w:color="auto"/>
        <w:left w:val="none" w:sz="0" w:space="0" w:color="auto"/>
        <w:bottom w:val="none" w:sz="0" w:space="0" w:color="auto"/>
        <w:right w:val="none" w:sz="0" w:space="0" w:color="auto"/>
      </w:divBdr>
    </w:div>
    <w:div w:id="1664965280">
      <w:bodyDiv w:val="1"/>
      <w:marLeft w:val="0"/>
      <w:marRight w:val="0"/>
      <w:marTop w:val="0"/>
      <w:marBottom w:val="0"/>
      <w:divBdr>
        <w:top w:val="none" w:sz="0" w:space="0" w:color="auto"/>
        <w:left w:val="none" w:sz="0" w:space="0" w:color="auto"/>
        <w:bottom w:val="none" w:sz="0" w:space="0" w:color="auto"/>
        <w:right w:val="none" w:sz="0" w:space="0" w:color="auto"/>
      </w:divBdr>
    </w:div>
    <w:div w:id="1768884025">
      <w:bodyDiv w:val="1"/>
      <w:marLeft w:val="0"/>
      <w:marRight w:val="0"/>
      <w:marTop w:val="0"/>
      <w:marBottom w:val="0"/>
      <w:divBdr>
        <w:top w:val="none" w:sz="0" w:space="0" w:color="auto"/>
        <w:left w:val="none" w:sz="0" w:space="0" w:color="auto"/>
        <w:bottom w:val="none" w:sz="0" w:space="0" w:color="auto"/>
        <w:right w:val="none" w:sz="0" w:space="0" w:color="auto"/>
      </w:divBdr>
    </w:div>
    <w:div w:id="2066642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uardian.com/news/2019/aug/02/athleisure-barre-kale-tyranny-ideal-woman-labou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chronicle.com/blogs/profhacker/?cat=3"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news/2019/aug/02/athleisure-barre-kale-tyranny-ideal-woman-lab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9DC14E-A5E4-314D-B99A-CD7A1A964DB3}">
  <ds:schemaRefs>
    <ds:schemaRef ds:uri="http://schemas.openxmlformats.org/officeDocument/2006/bibliography"/>
  </ds:schemaRefs>
</ds:datastoreItem>
</file>

<file path=customXml/itemProps2.xml><?xml version="1.0" encoding="utf-8"?>
<ds:datastoreItem xmlns:ds="http://schemas.openxmlformats.org/officeDocument/2006/customXml" ds:itemID="{64CFE189-42AC-4403-BF32-0ACEF8A7F3E5}">
  <ds:schemaRefs>
    <ds:schemaRef ds:uri="http://schemas.microsoft.com/sharepoint/v3/contenttype/forms"/>
  </ds:schemaRefs>
</ds:datastoreItem>
</file>

<file path=customXml/itemProps3.xml><?xml version="1.0" encoding="utf-8"?>
<ds:datastoreItem xmlns:ds="http://schemas.openxmlformats.org/officeDocument/2006/customXml" ds:itemID="{46528139-AC63-43A3-B019-D5D63E68E553}">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4.xml><?xml version="1.0" encoding="utf-8"?>
<ds:datastoreItem xmlns:ds="http://schemas.openxmlformats.org/officeDocument/2006/customXml" ds:itemID="{2193C61C-E47F-463B-8B5C-F608B236C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4904</Words>
  <Characters>27954</Characters>
  <Application>Microsoft Office Word</Application>
  <DocSecurity>0</DocSecurity>
  <Lines>232</Lines>
  <Paragraphs>65</Paragraphs>
  <ScaleCrop>false</ScaleCrop>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Wingfield</cp:lastModifiedBy>
  <cp:revision>2</cp:revision>
  <cp:lastPrinted>2022-01-05T02:48:00Z</cp:lastPrinted>
  <dcterms:created xsi:type="dcterms:W3CDTF">2024-04-17T18:30:00Z</dcterms:created>
  <dcterms:modified xsi:type="dcterms:W3CDTF">2024-04-17T18:30:00Z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7400</vt:r8>
  </property>
  <property fmtid="{D5CDD505-2E9C-101B-9397-08002B2CF9AE}" pid="4" name="MediaServiceImageTags">
    <vt:lpwstr/>
  </property>
</Properties>
</file>