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E1053" w14:textId="4B67BD89" w:rsidR="00840880" w:rsidRDefault="0065404E" w:rsidP="0065404E">
      <w:pPr>
        <w:pStyle w:val="ListParagraph"/>
        <w:numPr>
          <w:ilvl w:val="0"/>
          <w:numId w:val="1"/>
        </w:numPr>
      </w:pPr>
      <w:r>
        <w:t>Fertility ideas</w:t>
      </w:r>
    </w:p>
    <w:p w14:paraId="400566AF" w14:textId="02D9FAF4" w:rsidR="00897E1F" w:rsidRDefault="00897E1F" w:rsidP="00897E1F">
      <w:pPr>
        <w:pStyle w:val="ListParagraph"/>
        <w:numPr>
          <w:ilvl w:val="1"/>
          <w:numId w:val="1"/>
        </w:numPr>
      </w:pPr>
      <w:r>
        <w:t xml:space="preserve">Never had a very clear idea here. </w:t>
      </w:r>
    </w:p>
    <w:p w14:paraId="46E815B7" w14:textId="478BFDB0" w:rsidR="006F3E28" w:rsidRDefault="006F3E28" w:rsidP="00897E1F">
      <w:pPr>
        <w:pStyle w:val="ListParagraph"/>
        <w:numPr>
          <w:ilvl w:val="1"/>
          <w:numId w:val="1"/>
        </w:numPr>
      </w:pPr>
      <w:r>
        <w:t xml:space="preserve">Might want to think more deeply about why you care about this to understand where the idea would be…. </w:t>
      </w:r>
    </w:p>
    <w:p w14:paraId="1259D793" w14:textId="188B70E4" w:rsidR="006F3E28" w:rsidRDefault="006F3E28" w:rsidP="006F3E28">
      <w:pPr>
        <w:pStyle w:val="ListParagraph"/>
        <w:numPr>
          <w:ilvl w:val="2"/>
          <w:numId w:val="1"/>
        </w:numPr>
      </w:pPr>
      <w:r>
        <w:t xml:space="preserve">Innovation? </w:t>
      </w:r>
    </w:p>
    <w:p w14:paraId="2AF07F6E" w14:textId="1DAE3BDC" w:rsidR="006F3E28" w:rsidRDefault="006F3E28" w:rsidP="006F3E28">
      <w:pPr>
        <w:pStyle w:val="ListParagraph"/>
        <w:numPr>
          <w:ilvl w:val="2"/>
          <w:numId w:val="1"/>
        </w:numPr>
      </w:pPr>
      <w:r>
        <w:t xml:space="preserve">Fiscal consequences? </w:t>
      </w:r>
    </w:p>
    <w:p w14:paraId="37DABC6F" w14:textId="77777777" w:rsidR="006F3E28" w:rsidRDefault="006F3E28" w:rsidP="006F3E28">
      <w:pPr>
        <w:pStyle w:val="ListParagraph"/>
        <w:numPr>
          <w:ilvl w:val="2"/>
          <w:numId w:val="1"/>
        </w:numPr>
      </w:pPr>
    </w:p>
    <w:p w14:paraId="7E55CDF6" w14:textId="4735E1EA" w:rsidR="00524207" w:rsidRDefault="00524207" w:rsidP="00897E1F">
      <w:pPr>
        <w:pStyle w:val="ListParagraph"/>
        <w:numPr>
          <w:ilvl w:val="1"/>
          <w:numId w:val="1"/>
        </w:numPr>
      </w:pPr>
      <w:r>
        <w:t>Fairly old / deep literature</w:t>
      </w:r>
      <w:r w:rsidR="00856FBF">
        <w:t xml:space="preserve"> (some macro stuff, some more labor/applied micro stuff)</w:t>
      </w:r>
      <w:r w:rsidR="00C80357">
        <w:t xml:space="preserve"> but I get a sense that it is still underrated</w:t>
      </w:r>
      <w:r w:rsidR="00A103E9">
        <w:t xml:space="preserve"> (i.e. not many papers about it compared to how important it seems to be)</w:t>
      </w:r>
    </w:p>
    <w:p w14:paraId="3562463F" w14:textId="4F443C4D" w:rsidR="00A103E9" w:rsidRDefault="00C80357" w:rsidP="00BC62CB">
      <w:pPr>
        <w:pStyle w:val="ListParagraph"/>
        <w:numPr>
          <w:ilvl w:val="1"/>
          <w:numId w:val="1"/>
        </w:numPr>
      </w:pPr>
      <w:hyperlink r:id="rId5" w:history="1">
        <w:r w:rsidRPr="00C80357">
          <w:rPr>
            <w:rStyle w:val="Hyperlink"/>
          </w:rPr>
          <w:t>These</w:t>
        </w:r>
      </w:hyperlink>
      <w:r>
        <w:t xml:space="preserve"> videos from Heckman’s fertility initiative might be a good place to start. </w:t>
      </w:r>
    </w:p>
    <w:p w14:paraId="4B351658" w14:textId="168B3B5E" w:rsidR="006F3E28" w:rsidRDefault="006F3E28" w:rsidP="00BC62CB">
      <w:pPr>
        <w:pStyle w:val="ListParagraph"/>
        <w:numPr>
          <w:ilvl w:val="1"/>
          <w:numId w:val="1"/>
        </w:numPr>
      </w:pPr>
      <w:r>
        <w:t xml:space="preserve">Idea based on talking to Kyle Boutilier: do people with grandparents near by have more kids? (somehow exogenous) </w:t>
      </w:r>
    </w:p>
    <w:p w14:paraId="3B7B33C1" w14:textId="5A63003C" w:rsidR="0065404E" w:rsidRDefault="0065404E" w:rsidP="0065404E">
      <w:pPr>
        <w:pStyle w:val="ListParagraph"/>
        <w:numPr>
          <w:ilvl w:val="0"/>
          <w:numId w:val="1"/>
        </w:numPr>
      </w:pPr>
      <w:r>
        <w:t>First year paper (“third party effects of zoning reform”)</w:t>
      </w:r>
    </w:p>
    <w:p w14:paraId="12688154" w14:textId="1F8135CA" w:rsidR="00593C21" w:rsidRDefault="00593C21" w:rsidP="00593C21">
      <w:pPr>
        <w:pStyle w:val="ListParagraph"/>
        <w:numPr>
          <w:ilvl w:val="1"/>
          <w:numId w:val="1"/>
        </w:numPr>
      </w:pPr>
      <w:r>
        <w:t xml:space="preserve">Fajgelbaum &amp; Gaubert 2020 would be worth reading. </w:t>
      </w:r>
    </w:p>
    <w:p w14:paraId="7612340B" w14:textId="7228F2FB" w:rsidR="007E79E3" w:rsidRDefault="007E79E3" w:rsidP="007E79E3">
      <w:pPr>
        <w:pStyle w:val="ListParagraph"/>
        <w:numPr>
          <w:ilvl w:val="1"/>
          <w:numId w:val="1"/>
        </w:numPr>
      </w:pPr>
      <w:r>
        <w:t>The point here would be something like focusing on which “third party” cities do / don’t benefit when SF / NYC relaxes zoning. The aggregate is baked into these</w:t>
      </w:r>
      <w:r w:rsidR="003F558B">
        <w:t xml:space="preserve"> sp</w:t>
      </w:r>
      <w:r w:rsidR="007267FD">
        <w:t>a</w:t>
      </w:r>
      <w:r w:rsidR="003F558B">
        <w:t>tial</w:t>
      </w:r>
      <w:r>
        <w:t xml:space="preserve"> models. </w:t>
      </w:r>
      <w:r w:rsidR="00A42EE4">
        <w:t xml:space="preserve"> But which cities lose </w:t>
      </w:r>
      <w:r w:rsidR="00F754F9">
        <w:t xml:space="preserve">(or gain most) </w:t>
      </w:r>
      <w:r w:rsidR="00A42EE4">
        <w:t>when NYC gets cheaper.</w:t>
      </w:r>
      <w:r w:rsidR="00F754F9">
        <w:t xml:space="preserve"> (and owners or renters there)?</w:t>
      </w:r>
    </w:p>
    <w:p w14:paraId="3108EEFB" w14:textId="77777777" w:rsidR="00A94EFF" w:rsidRDefault="00A42EE4" w:rsidP="007E79E3">
      <w:pPr>
        <w:pStyle w:val="ListParagraph"/>
        <w:numPr>
          <w:ilvl w:val="1"/>
          <w:numId w:val="1"/>
        </w:numPr>
      </w:pPr>
      <w:r>
        <w:t xml:space="preserve">This is sort of an accounting point. But. </w:t>
      </w:r>
      <w:r w:rsidR="002B5AE9">
        <w:t>If we’re going to fix housing</w:t>
      </w:r>
      <w:r w:rsidR="00191A2C">
        <w:t xml:space="preserve"> supply in these big cities, maybe it</w:t>
      </w:r>
      <w:r w:rsidR="002B5AE9">
        <w:t xml:space="preserve"> seems important.</w:t>
      </w:r>
      <w:r w:rsidR="007148BC">
        <w:t xml:space="preserve"> </w:t>
      </w:r>
    </w:p>
    <w:p w14:paraId="17308821" w14:textId="7D9056DB" w:rsidR="00A42EE4" w:rsidRDefault="00A94EFF" w:rsidP="007E79E3">
      <w:pPr>
        <w:pStyle w:val="ListParagraph"/>
        <w:numPr>
          <w:ilvl w:val="1"/>
          <w:numId w:val="1"/>
        </w:numPr>
      </w:pPr>
      <w:r>
        <w:t xml:space="preserve">My hunch is something like it is good for the small local economies and the owners of real estate in big cities to keep the status quo (not that they explicitly collude) </w:t>
      </w:r>
      <w:r w:rsidR="007148BC">
        <w:t xml:space="preserve">Like are these small cities getting </w:t>
      </w:r>
      <w:r>
        <w:t>higher house prices</w:t>
      </w:r>
      <w:r w:rsidR="00593C21">
        <w:t xml:space="preserve"> and maybe higher skilled people</w:t>
      </w:r>
      <w:r w:rsidR="007148BC">
        <w:t xml:space="preserve"> or something than they otherwise would? </w:t>
      </w:r>
    </w:p>
    <w:p w14:paraId="70CEE9C8" w14:textId="5ABA92C5" w:rsidR="006F4734" w:rsidRDefault="002B5AE9" w:rsidP="00EE1896">
      <w:pPr>
        <w:pStyle w:val="ListParagraph"/>
        <w:numPr>
          <w:ilvl w:val="1"/>
          <w:numId w:val="1"/>
        </w:numPr>
      </w:pPr>
      <w:r>
        <w:t>Relates to place-based policies</w:t>
      </w:r>
    </w:p>
    <w:p w14:paraId="4173DA76" w14:textId="1CE21D1A" w:rsidR="0065404E" w:rsidRDefault="0065404E" w:rsidP="0065404E">
      <w:pPr>
        <w:pStyle w:val="ListParagraph"/>
        <w:numPr>
          <w:ilvl w:val="0"/>
          <w:numId w:val="1"/>
        </w:numPr>
      </w:pPr>
      <w:r>
        <w:t>Something with lawsuits</w:t>
      </w:r>
      <w:r w:rsidR="003644B5">
        <w:t xml:space="preserve"> and related</w:t>
      </w:r>
      <w:r>
        <w:t xml:space="preserve"> data</w:t>
      </w:r>
    </w:p>
    <w:p w14:paraId="005DDE46" w14:textId="0EF9EF11" w:rsidR="00524207" w:rsidRDefault="003644B5" w:rsidP="00524207">
      <w:pPr>
        <w:pStyle w:val="ListParagraph"/>
        <w:numPr>
          <w:ilvl w:val="1"/>
          <w:numId w:val="1"/>
        </w:numPr>
      </w:pPr>
      <w:r>
        <w:t xml:space="preserve">Probably the area where I have the clearest </w:t>
      </w:r>
      <w:r w:rsidR="00681BF7">
        <w:t xml:space="preserve">data/institutional knowledge </w:t>
      </w:r>
      <w:r w:rsidR="003656EB">
        <w:t xml:space="preserve">edge. </w:t>
      </w:r>
    </w:p>
    <w:p w14:paraId="280F3D05" w14:textId="6F491041" w:rsidR="003644B5" w:rsidRDefault="003644B5" w:rsidP="00524207">
      <w:pPr>
        <w:pStyle w:val="ListParagraph"/>
        <w:numPr>
          <w:ilvl w:val="1"/>
          <w:numId w:val="1"/>
        </w:numPr>
      </w:pPr>
      <w:r>
        <w:t xml:space="preserve">Might be able to </w:t>
      </w:r>
      <w:r w:rsidR="00AB17A8">
        <w:t>be (one of) the first to study</w:t>
      </w:r>
      <w:r>
        <w:t xml:space="preserve"> the CEQA reforms</w:t>
      </w:r>
    </w:p>
    <w:p w14:paraId="389919D3" w14:textId="77777777" w:rsidR="0065404E" w:rsidRDefault="0065404E" w:rsidP="0065404E">
      <w:pPr>
        <w:pStyle w:val="ListParagraph"/>
        <w:numPr>
          <w:ilvl w:val="0"/>
          <w:numId w:val="1"/>
        </w:numPr>
      </w:pPr>
      <w:r>
        <w:t xml:space="preserve">AI and major choice. </w:t>
      </w:r>
    </w:p>
    <w:p w14:paraId="1A27AD0C" w14:textId="2CD7D1BA" w:rsidR="00524207" w:rsidRDefault="00D55407" w:rsidP="00524207">
      <w:pPr>
        <w:pStyle w:val="ListParagraph"/>
        <w:numPr>
          <w:ilvl w:val="1"/>
          <w:numId w:val="1"/>
        </w:numPr>
      </w:pPr>
      <w:r>
        <w:t xml:space="preserve">Spent some decent time on kicking those tires. It seems like a plausible point, but I feel a little early to it. </w:t>
      </w:r>
    </w:p>
    <w:p w14:paraId="1FBD524A" w14:textId="52E99536" w:rsidR="0065404E" w:rsidRDefault="0065404E" w:rsidP="0065404E">
      <w:pPr>
        <w:pStyle w:val="ListParagraph"/>
        <w:numPr>
          <w:ilvl w:val="0"/>
          <w:numId w:val="1"/>
        </w:numPr>
      </w:pPr>
      <w:r>
        <w:t xml:space="preserve">Property tax / senior migration.  </w:t>
      </w:r>
    </w:p>
    <w:p w14:paraId="46905109" w14:textId="5471CDB6" w:rsidR="0065404E" w:rsidRDefault="0065404E" w:rsidP="0065404E">
      <w:pPr>
        <w:pStyle w:val="ListParagraph"/>
        <w:numPr>
          <w:ilvl w:val="1"/>
          <w:numId w:val="1"/>
        </w:numPr>
      </w:pPr>
      <w:r>
        <w:t xml:space="preserve">Fairly thoroughly killed. </w:t>
      </w:r>
    </w:p>
    <w:p w14:paraId="648341F4" w14:textId="28B78D3E" w:rsidR="00E91B97" w:rsidRDefault="00E91B97" w:rsidP="00E91B97">
      <w:pPr>
        <w:pStyle w:val="ListParagraph"/>
        <w:numPr>
          <w:ilvl w:val="0"/>
          <w:numId w:val="1"/>
        </w:numPr>
      </w:pPr>
      <w:r>
        <w:t xml:space="preserve">The “AI tax” (4% ad valorem change)  in Chicago (at least) </w:t>
      </w:r>
    </w:p>
    <w:p w14:paraId="19A0BF1D" w14:textId="0E7F3BD8" w:rsidR="00792B82" w:rsidRDefault="00792B82" w:rsidP="00792B82">
      <w:pPr>
        <w:pStyle w:val="ListParagraph"/>
        <w:numPr>
          <w:ilvl w:val="1"/>
          <w:numId w:val="1"/>
        </w:numPr>
      </w:pPr>
      <w:hyperlink r:id="rId6" w:history="1">
        <w:r w:rsidRPr="00792B82">
          <w:rPr>
            <w:rStyle w:val="Hyperlink"/>
          </w:rPr>
          <w:t>… still sort of unclear how to frame this.. but I would love to be able to get at the idea of either people who get more prdocutivity benefits being more/less elastic or self-employed being more/less elastic</w:t>
        </w:r>
      </w:hyperlink>
      <w:r>
        <w:t xml:space="preserve"> </w:t>
      </w:r>
    </w:p>
    <w:p w14:paraId="6639728C" w14:textId="17000DA3" w:rsidR="00E91B97" w:rsidRDefault="00E91B97" w:rsidP="00E91B97">
      <w:pPr>
        <w:pStyle w:val="ListParagraph"/>
        <w:numPr>
          <w:ilvl w:val="1"/>
          <w:numId w:val="1"/>
        </w:numPr>
      </w:pPr>
      <w:r>
        <w:t xml:space="preserve">… could </w:t>
      </w:r>
      <w:r w:rsidR="00792B82">
        <w:t>do with</w:t>
      </w:r>
      <w:r>
        <w:t xml:space="preserve"> the consumer edge data</w:t>
      </w:r>
    </w:p>
    <w:p w14:paraId="34EAFBDB" w14:textId="08C3945D" w:rsidR="00E91B97" w:rsidRDefault="00E91B97" w:rsidP="00E91B97">
      <w:pPr>
        <w:pStyle w:val="ListParagraph"/>
        <w:numPr>
          <w:ilvl w:val="1"/>
          <w:numId w:val="1"/>
        </w:numPr>
      </w:pPr>
      <w:r>
        <w:t>.. probably would want to somehow spin this into a “who is most elastic to the price of LLMs” and somehow build that into</w:t>
      </w:r>
      <w:r w:rsidR="00133E08">
        <w:t xml:space="preserve"> a </w:t>
      </w:r>
      <w:r>
        <w:t>Structural model</w:t>
      </w:r>
      <w:r w:rsidR="00133E08">
        <w:t xml:space="preserve"> of something with AI usage.. </w:t>
      </w:r>
    </w:p>
    <w:p w14:paraId="6D8740AE" w14:textId="35D9F3DA" w:rsidR="006E0F4E" w:rsidRDefault="006E0F4E" w:rsidP="00E91B97">
      <w:pPr>
        <w:pStyle w:val="ListParagraph"/>
        <w:numPr>
          <w:ilvl w:val="1"/>
          <w:numId w:val="1"/>
        </w:numPr>
      </w:pPr>
      <w:r>
        <w:t xml:space="preserve">Seems fun/exciting. </w:t>
      </w:r>
    </w:p>
    <w:p w14:paraId="35FB62DF" w14:textId="77777777" w:rsidR="00FB6068" w:rsidRPr="00FB6068" w:rsidRDefault="00FB6068" w:rsidP="00FB6068">
      <w:pPr>
        <w:pStyle w:val="NormalWeb"/>
      </w:pPr>
      <w:r>
        <w:t>[</w:t>
      </w:r>
      <w:r w:rsidRPr="00FB6068">
        <w:rPr>
          <w:b/>
          <w:bCs/>
        </w:rPr>
        <w:t>Project Summary: AI Subscription Demand and the Distribution of AI Access</w:t>
      </w:r>
    </w:p>
    <w:p w14:paraId="080CC90D"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2F17DF7">
          <v:rect id="_x0000_i1036" alt="" style="width:468pt;height:.05pt;mso-width-percent:0;mso-height-percent:0;mso-width-percent:0;mso-height-percent:0" o:hralign="center" o:hrstd="t" o:hr="t" fillcolor="#a0a0a0" stroked="f"/>
        </w:pict>
      </w:r>
    </w:p>
    <w:p w14:paraId="6D89A880"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Policy Setting</w:t>
      </w:r>
    </w:p>
    <w:p w14:paraId="551219DB"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Chicago's Personal Property Lease Transaction Tax (PPLTT) applies to cloud software/SaaS, including AI subscriptions. Chicago is unique among US municipalities in taxing these services.</w:t>
      </w:r>
    </w:p>
    <w:p w14:paraId="3276BADB"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Usable shocks: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1320"/>
        <w:gridCol w:w="1196"/>
      </w:tblGrid>
      <w:tr w:rsidR="00FB6068" w:rsidRPr="00FB6068" w14:paraId="7FF22AA9" w14:textId="77777777">
        <w:trPr>
          <w:tblHeader/>
          <w:tblCellSpacing w:w="15" w:type="dxa"/>
        </w:trPr>
        <w:tc>
          <w:tcPr>
            <w:tcW w:w="0" w:type="auto"/>
            <w:vAlign w:val="center"/>
            <w:hideMark/>
          </w:tcPr>
          <w:p w14:paraId="0FEB244D"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Date</w:t>
            </w:r>
          </w:p>
        </w:tc>
        <w:tc>
          <w:tcPr>
            <w:tcW w:w="0" w:type="auto"/>
            <w:vAlign w:val="center"/>
            <w:hideMark/>
          </w:tcPr>
          <w:p w14:paraId="4ADC4F0D"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Rate change</w:t>
            </w:r>
          </w:p>
        </w:tc>
        <w:tc>
          <w:tcPr>
            <w:tcW w:w="0" w:type="auto"/>
            <w:vAlign w:val="center"/>
            <w:hideMark/>
          </w:tcPr>
          <w:p w14:paraId="00D17E97"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Magnitude</w:t>
            </w:r>
          </w:p>
        </w:tc>
      </w:tr>
      <w:tr w:rsidR="00FB6068" w:rsidRPr="00FB6068" w14:paraId="66071AB2" w14:textId="77777777">
        <w:trPr>
          <w:tblCellSpacing w:w="15" w:type="dxa"/>
        </w:trPr>
        <w:tc>
          <w:tcPr>
            <w:tcW w:w="0" w:type="auto"/>
            <w:vAlign w:val="center"/>
            <w:hideMark/>
          </w:tcPr>
          <w:p w14:paraId="085BA45D"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Jan 1, 2025</w:t>
            </w:r>
          </w:p>
        </w:tc>
        <w:tc>
          <w:tcPr>
            <w:tcW w:w="0" w:type="auto"/>
            <w:vAlign w:val="center"/>
            <w:hideMark/>
          </w:tcPr>
          <w:p w14:paraId="3EBD3251"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9% → 11%</w:t>
            </w:r>
          </w:p>
        </w:tc>
        <w:tc>
          <w:tcPr>
            <w:tcW w:w="0" w:type="auto"/>
            <w:vAlign w:val="center"/>
            <w:hideMark/>
          </w:tcPr>
          <w:p w14:paraId="7B401F8B"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+2pp</w:t>
            </w:r>
          </w:p>
        </w:tc>
      </w:tr>
      <w:tr w:rsidR="00FB6068" w:rsidRPr="00FB6068" w14:paraId="6AF5A3CB" w14:textId="77777777">
        <w:trPr>
          <w:tblCellSpacing w:w="15" w:type="dxa"/>
        </w:trPr>
        <w:tc>
          <w:tcPr>
            <w:tcW w:w="0" w:type="auto"/>
            <w:vAlign w:val="center"/>
            <w:hideMark/>
          </w:tcPr>
          <w:p w14:paraId="3997FA9A"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Jan 1, 2026</w:t>
            </w:r>
          </w:p>
        </w:tc>
        <w:tc>
          <w:tcPr>
            <w:tcW w:w="0" w:type="auto"/>
            <w:vAlign w:val="center"/>
            <w:hideMark/>
          </w:tcPr>
          <w:p w14:paraId="1675BAEB"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11% → 15%</w:t>
            </w:r>
          </w:p>
        </w:tc>
        <w:tc>
          <w:tcPr>
            <w:tcW w:w="0" w:type="auto"/>
            <w:vAlign w:val="center"/>
            <w:hideMark/>
          </w:tcPr>
          <w:p w14:paraId="3D907C1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+4pp</w:t>
            </w:r>
          </w:p>
        </w:tc>
      </w:tr>
    </w:tbl>
    <w:p w14:paraId="6C99A558"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Full pass-through confirmed for Anthropic. OpenAI pass-through needs verification.</w:t>
      </w:r>
    </w:p>
    <w:p w14:paraId="5D6911E2"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B2D6AA4">
          <v:rect id="_x0000_i1035" alt="" style="width:468pt;height:.05pt;mso-width-percent:0;mso-height-percent:0;mso-width-percent:0;mso-height-percent:0" o:hralign="center" o:hrstd="t" o:hr="t" fillcolor="#a0a0a0" stroked="f"/>
        </w:pict>
      </w:r>
    </w:p>
    <w:p w14:paraId="22E0011E"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Core Empirical Design</w:t>
      </w:r>
    </w:p>
    <w:p w14:paraId="0697929A"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Identification:</w:t>
      </w:r>
      <w:r w:rsidRPr="00FB6068">
        <w:rPr>
          <w:rFonts w:ascii="Times New Roman" w:eastAsia="Times New Roman" w:hAnsi="Times New Roman" w:cs="Times New Roman"/>
          <w:kern w:val="0"/>
          <w14:ligatures w14:val="none"/>
        </w:rPr>
        <w:t xml:space="preserve"> Diff-in-diff comparing Chicago vs. suburban Cook County / collar counties</w:t>
      </w:r>
    </w:p>
    <w:p w14:paraId="7FDFC1FB"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Treatment:</w:t>
      </w:r>
      <w:r w:rsidRPr="00FB6068">
        <w:rPr>
          <w:rFonts w:ascii="Times New Roman" w:eastAsia="Times New Roman" w:hAnsi="Times New Roman" w:cs="Times New Roman"/>
          <w:kern w:val="0"/>
          <w14:ligatures w14:val="none"/>
        </w:rPr>
        <w:t xml:space="preserve"> Chicago ZIP3s (606, 608)</w:t>
      </w:r>
    </w:p>
    <w:p w14:paraId="4621C88C"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Control:</w:t>
      </w:r>
      <w:r w:rsidRPr="00FB6068">
        <w:rPr>
          <w:rFonts w:ascii="Times New Roman" w:eastAsia="Times New Roman" w:hAnsi="Times New Roman" w:cs="Times New Roman"/>
          <w:kern w:val="0"/>
          <w14:ligatures w14:val="none"/>
        </w:rPr>
        <w:t xml:space="preserve"> Surrounding ZIP3s (600, 601, 602, 603, 604, 605, 607)</w:t>
      </w:r>
    </w:p>
    <w:p w14:paraId="19178132"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Unit of observation:</w:t>
      </w:r>
      <w:r w:rsidRPr="00FB6068">
        <w:rPr>
          <w:rFonts w:ascii="Times New Roman" w:eastAsia="Times New Roman" w:hAnsi="Times New Roman" w:cs="Times New Roman"/>
          <w:kern w:val="0"/>
          <w14:ligatures w14:val="none"/>
        </w:rPr>
        <w:t xml:space="preserve"> Individual cardholder × month</w:t>
      </w:r>
    </w:p>
    <w:p w14:paraId="35C428F1"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91DF8FF">
          <v:rect id="_x0000_i1034" alt="" style="width:468pt;height:.05pt;mso-width-percent:0;mso-height-percent:0;mso-width-percent:0;mso-height-percent:0" o:hralign="center" o:hrstd="t" o:hr="t" fillcolor="#a0a0a0" stroked="f"/>
        </w:pict>
      </w:r>
    </w:p>
    <w:p w14:paraId="41636DDB"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Data Requirements</w:t>
      </w:r>
    </w:p>
    <w:p w14:paraId="1E7A4F44"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lastRenderedPageBreak/>
        <w:t>What you have:</w:t>
      </w:r>
    </w:p>
    <w:p w14:paraId="553F9BF9" w14:textId="77777777" w:rsidR="00FB6068" w:rsidRPr="00FB6068" w:rsidRDefault="00FB6068" w:rsidP="00FB606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Credit/debit card panel, individual-level</w:t>
      </w:r>
    </w:p>
    <w:p w14:paraId="044F891C" w14:textId="77777777" w:rsidR="00FB6068" w:rsidRPr="00FB6068" w:rsidRDefault="00FB6068" w:rsidP="00FB606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Can isolate OpenAI/Anthropic/ChatGPT/Claude transactions</w:t>
      </w:r>
    </w:p>
    <w:p w14:paraId="7A4BAEFD" w14:textId="77777777" w:rsidR="00FB6068" w:rsidRPr="00FB6068" w:rsidRDefault="00FB6068" w:rsidP="00FB606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ZIP3 geography</w:t>
      </w:r>
    </w:p>
    <w:p w14:paraId="44852C7A" w14:textId="77777777" w:rsidR="00FB6068" w:rsidRPr="00FB6068" w:rsidRDefault="00FB6068" w:rsidP="00FB606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Can later pull full spending basket</w:t>
      </w:r>
    </w:p>
    <w:p w14:paraId="440814DE"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What you need to construct: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977"/>
        <w:gridCol w:w="6627"/>
      </w:tblGrid>
      <w:tr w:rsidR="00FB6068" w:rsidRPr="00FB6068" w14:paraId="6ACF1B6A" w14:textId="77777777">
        <w:trPr>
          <w:tblHeader/>
          <w:tblCellSpacing w:w="15" w:type="dxa"/>
        </w:trPr>
        <w:tc>
          <w:tcPr>
            <w:tcW w:w="0" w:type="auto"/>
            <w:vAlign w:val="center"/>
            <w:hideMark/>
          </w:tcPr>
          <w:p w14:paraId="05156C9B"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Variable</w:t>
            </w:r>
          </w:p>
        </w:tc>
        <w:tc>
          <w:tcPr>
            <w:tcW w:w="0" w:type="auto"/>
            <w:vAlign w:val="center"/>
            <w:hideMark/>
          </w:tcPr>
          <w:p w14:paraId="21F435A0"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Source</w:t>
            </w:r>
          </w:p>
        </w:tc>
        <w:tc>
          <w:tcPr>
            <w:tcW w:w="0" w:type="auto"/>
            <w:vAlign w:val="center"/>
            <w:hideMark/>
          </w:tcPr>
          <w:p w14:paraId="30BA0142"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Notes</w:t>
            </w:r>
          </w:p>
        </w:tc>
      </w:tr>
      <w:tr w:rsidR="00FB6068" w:rsidRPr="00FB6068" w14:paraId="36DA0548" w14:textId="77777777">
        <w:trPr>
          <w:tblCellSpacing w:w="15" w:type="dxa"/>
        </w:trPr>
        <w:tc>
          <w:tcPr>
            <w:tcW w:w="0" w:type="auto"/>
            <w:vAlign w:val="center"/>
            <w:hideMark/>
          </w:tcPr>
          <w:p w14:paraId="265B9491"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Courier New" w:eastAsia="Times New Roman" w:hAnsi="Courier New" w:cs="Courier New"/>
                <w:kern w:val="0"/>
                <w:sz w:val="20"/>
                <w:szCs w:val="20"/>
                <w14:ligatures w14:val="none"/>
              </w:rPr>
              <w:t>Churn_it</w:t>
            </w:r>
          </w:p>
        </w:tc>
        <w:tc>
          <w:tcPr>
            <w:tcW w:w="0" w:type="auto"/>
            <w:vAlign w:val="center"/>
            <w:hideMark/>
          </w:tcPr>
          <w:p w14:paraId="225F371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Card data</w:t>
            </w:r>
          </w:p>
        </w:tc>
        <w:tc>
          <w:tcPr>
            <w:tcW w:w="0" w:type="auto"/>
            <w:vAlign w:val="center"/>
            <w:hideMark/>
          </w:tcPr>
          <w:p w14:paraId="39D18B4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No transaction to AI merchant for k consecutive months after prior subscription</w:t>
            </w:r>
          </w:p>
        </w:tc>
      </w:tr>
      <w:tr w:rsidR="00FB6068" w:rsidRPr="00FB6068" w14:paraId="3D7B2840" w14:textId="77777777">
        <w:trPr>
          <w:tblCellSpacing w:w="15" w:type="dxa"/>
        </w:trPr>
        <w:tc>
          <w:tcPr>
            <w:tcW w:w="0" w:type="auto"/>
            <w:vAlign w:val="center"/>
            <w:hideMark/>
          </w:tcPr>
          <w:p w14:paraId="65095BB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Courier New" w:eastAsia="Times New Roman" w:hAnsi="Courier New" w:cs="Courier New"/>
                <w:kern w:val="0"/>
                <w:sz w:val="20"/>
                <w:szCs w:val="20"/>
                <w14:ligatures w14:val="none"/>
              </w:rPr>
              <w:t>Chicago_i</w:t>
            </w:r>
          </w:p>
        </w:tc>
        <w:tc>
          <w:tcPr>
            <w:tcW w:w="0" w:type="auto"/>
            <w:vAlign w:val="center"/>
            <w:hideMark/>
          </w:tcPr>
          <w:p w14:paraId="331177E4"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ZIP3</w:t>
            </w:r>
          </w:p>
        </w:tc>
        <w:tc>
          <w:tcPr>
            <w:tcW w:w="0" w:type="auto"/>
            <w:vAlign w:val="center"/>
            <w:hideMark/>
          </w:tcPr>
          <w:p w14:paraId="403146EF"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606, 608 = 1; suburbs = 0</w:t>
            </w:r>
          </w:p>
        </w:tc>
      </w:tr>
      <w:tr w:rsidR="00FB6068" w:rsidRPr="00FB6068" w14:paraId="15AED43E" w14:textId="77777777">
        <w:trPr>
          <w:tblCellSpacing w:w="15" w:type="dxa"/>
        </w:trPr>
        <w:tc>
          <w:tcPr>
            <w:tcW w:w="0" w:type="auto"/>
            <w:vAlign w:val="center"/>
            <w:hideMark/>
          </w:tcPr>
          <w:p w14:paraId="38C3E888"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Courier New" w:eastAsia="Times New Roman" w:hAnsi="Courier New" w:cs="Courier New"/>
                <w:kern w:val="0"/>
                <w:sz w:val="20"/>
                <w:szCs w:val="20"/>
                <w14:ligatures w14:val="none"/>
              </w:rPr>
              <w:t>Post2025_t</w:t>
            </w:r>
          </w:p>
        </w:tc>
        <w:tc>
          <w:tcPr>
            <w:tcW w:w="0" w:type="auto"/>
            <w:vAlign w:val="center"/>
            <w:hideMark/>
          </w:tcPr>
          <w:p w14:paraId="4EBC759C"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Calendar</w:t>
            </w:r>
          </w:p>
        </w:tc>
        <w:tc>
          <w:tcPr>
            <w:tcW w:w="0" w:type="auto"/>
            <w:vAlign w:val="center"/>
            <w:hideMark/>
          </w:tcPr>
          <w:p w14:paraId="2EF8B11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 Jan 2025</w:t>
            </w:r>
          </w:p>
        </w:tc>
      </w:tr>
      <w:tr w:rsidR="00FB6068" w:rsidRPr="00FB6068" w14:paraId="69DC4D3B" w14:textId="77777777">
        <w:trPr>
          <w:tblCellSpacing w:w="15" w:type="dxa"/>
        </w:trPr>
        <w:tc>
          <w:tcPr>
            <w:tcW w:w="0" w:type="auto"/>
            <w:vAlign w:val="center"/>
            <w:hideMark/>
          </w:tcPr>
          <w:p w14:paraId="6F10FEED"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Courier New" w:eastAsia="Times New Roman" w:hAnsi="Courier New" w:cs="Courier New"/>
                <w:kern w:val="0"/>
                <w:sz w:val="20"/>
                <w:szCs w:val="20"/>
                <w14:ligatures w14:val="none"/>
              </w:rPr>
              <w:t>Post2026_t</w:t>
            </w:r>
          </w:p>
        </w:tc>
        <w:tc>
          <w:tcPr>
            <w:tcW w:w="0" w:type="auto"/>
            <w:vAlign w:val="center"/>
            <w:hideMark/>
          </w:tcPr>
          <w:p w14:paraId="7A10B0F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Calendar</w:t>
            </w:r>
          </w:p>
        </w:tc>
        <w:tc>
          <w:tcPr>
            <w:tcW w:w="0" w:type="auto"/>
            <w:vAlign w:val="center"/>
            <w:hideMark/>
          </w:tcPr>
          <w:p w14:paraId="6D62296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 Jan 2026</w:t>
            </w:r>
          </w:p>
        </w:tc>
      </w:tr>
      <w:tr w:rsidR="00FB6068" w:rsidRPr="00FB6068" w14:paraId="02C4100A" w14:textId="77777777">
        <w:trPr>
          <w:tblCellSpacing w:w="15" w:type="dxa"/>
        </w:trPr>
        <w:tc>
          <w:tcPr>
            <w:tcW w:w="0" w:type="auto"/>
            <w:vAlign w:val="center"/>
            <w:hideMark/>
          </w:tcPr>
          <w:p w14:paraId="438BBC68"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Courier New" w:eastAsia="Times New Roman" w:hAnsi="Courier New" w:cs="Courier New"/>
                <w:kern w:val="0"/>
                <w:sz w:val="20"/>
                <w:szCs w:val="20"/>
                <w14:ligatures w14:val="none"/>
              </w:rPr>
              <w:t>Income_i</w:t>
            </w:r>
          </w:p>
        </w:tc>
        <w:tc>
          <w:tcPr>
            <w:tcW w:w="0" w:type="auto"/>
            <w:vAlign w:val="center"/>
            <w:hideMark/>
          </w:tcPr>
          <w:p w14:paraId="62C7B1C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Card data</w:t>
            </w:r>
          </w:p>
        </w:tc>
        <w:tc>
          <w:tcPr>
            <w:tcW w:w="0" w:type="auto"/>
            <w:vAlign w:val="center"/>
            <w:hideMark/>
          </w:tcPr>
          <w:p w14:paraId="21FD0561"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Proxy via total monthly card spend (average over pre-period)</w:t>
            </w:r>
          </w:p>
        </w:tc>
      </w:tr>
      <w:tr w:rsidR="00FB6068" w:rsidRPr="00FB6068" w14:paraId="4F34AED6" w14:textId="77777777">
        <w:trPr>
          <w:tblCellSpacing w:w="15" w:type="dxa"/>
        </w:trPr>
        <w:tc>
          <w:tcPr>
            <w:tcW w:w="0" w:type="auto"/>
            <w:vAlign w:val="center"/>
            <w:hideMark/>
          </w:tcPr>
          <w:p w14:paraId="36A81325"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Courier New" w:eastAsia="Times New Roman" w:hAnsi="Courier New" w:cs="Courier New"/>
                <w:kern w:val="0"/>
                <w:sz w:val="20"/>
                <w:szCs w:val="20"/>
                <w14:ligatures w14:val="none"/>
              </w:rPr>
              <w:t>SelfEmployed_i</w:t>
            </w:r>
          </w:p>
        </w:tc>
        <w:tc>
          <w:tcPr>
            <w:tcW w:w="0" w:type="auto"/>
            <w:vAlign w:val="center"/>
            <w:hideMark/>
          </w:tcPr>
          <w:p w14:paraId="68F33F2B"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Card data</w:t>
            </w:r>
          </w:p>
        </w:tc>
        <w:tc>
          <w:tcPr>
            <w:tcW w:w="0" w:type="auto"/>
            <w:vAlign w:val="center"/>
            <w:hideMark/>
          </w:tcPr>
          <w:p w14:paraId="56CB4576"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Proxy via business-related spending (see below)</w:t>
            </w:r>
          </w:p>
        </w:tc>
      </w:tr>
    </w:tbl>
    <w:p w14:paraId="332421F5"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D477AE3">
          <v:rect id="_x0000_i1033" alt="" style="width:468pt;height:.05pt;mso-width-percent:0;mso-height-percent:0;mso-width-percent:0;mso-height-percent:0" o:hralign="center" o:hrstd="t" o:hr="t" fillcolor="#a0a0a0" stroked="f"/>
        </w:pict>
      </w:r>
    </w:p>
    <w:p w14:paraId="0C378228"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Specifications</w:t>
      </w:r>
    </w:p>
    <w:p w14:paraId="4888FD51"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Basic (average elasticity):</w:t>
      </w:r>
    </w:p>
    <w:p w14:paraId="4A6ADC86"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$$\text{Churn}_{it} = \alpha + \beta_1 (\text{Chicago}_i \times \text{Post2025}_t) + \beta_2 (\text{Chicago}_i \times \text{Post2026}</w:t>
      </w:r>
      <w:r w:rsidRPr="00FB6068">
        <w:rPr>
          <w:rFonts w:ascii="Times New Roman" w:eastAsia="Times New Roman" w:hAnsi="Times New Roman" w:cs="Times New Roman"/>
          <w:i/>
          <w:iCs/>
          <w:kern w:val="0"/>
          <w14:ligatures w14:val="none"/>
        </w:rPr>
        <w:t>t) + \gamma_i + \delta_t + \epsilon</w:t>
      </w:r>
      <w:r w:rsidRPr="00FB6068">
        <w:rPr>
          <w:rFonts w:ascii="Times New Roman" w:eastAsia="Times New Roman" w:hAnsi="Times New Roman" w:cs="Times New Roman"/>
          <w:kern w:val="0"/>
          <w14:ligatures w14:val="none"/>
        </w:rPr>
        <w:t>{it}$$</w:t>
      </w:r>
    </w:p>
    <w:p w14:paraId="009AE131"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Heterogeneity by income:</w:t>
      </w:r>
    </w:p>
    <w:p w14:paraId="50BDC67A"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$$\text{Churn}_{it} = \alpha + \beta_1 (\text{Chicago}_i \times \text{Post}_t) + \beta_2 (\text{Chicago}_i \times \text{Post}_t \times \text{HighIncome}</w:t>
      </w:r>
      <w:r w:rsidRPr="00FB6068">
        <w:rPr>
          <w:rFonts w:ascii="Times New Roman" w:eastAsia="Times New Roman" w:hAnsi="Times New Roman" w:cs="Times New Roman"/>
          <w:i/>
          <w:iCs/>
          <w:kern w:val="0"/>
          <w14:ligatures w14:val="none"/>
        </w:rPr>
        <w:t>i) + \gamma_i + \delta_t + \epsilon</w:t>
      </w:r>
      <w:r w:rsidRPr="00FB6068">
        <w:rPr>
          <w:rFonts w:ascii="Times New Roman" w:eastAsia="Times New Roman" w:hAnsi="Times New Roman" w:cs="Times New Roman"/>
          <w:kern w:val="0"/>
          <w14:ligatures w14:val="none"/>
        </w:rPr>
        <w:t>{it}$$</w:t>
      </w:r>
    </w:p>
    <w:p w14:paraId="1B742093"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Heterogeneity by self-employment:</w:t>
      </w:r>
    </w:p>
    <w:p w14:paraId="511255B5"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$$\text{Churn}_{it} = \alpha + \beta_1 (\text{Chicago}_i \times \text{Post}_t) + \beta_2 (\text{Chicago}_i \times \text{Post}_t \times \text{SelfEmp}</w:t>
      </w:r>
      <w:r w:rsidRPr="00FB6068">
        <w:rPr>
          <w:rFonts w:ascii="Times New Roman" w:eastAsia="Times New Roman" w:hAnsi="Times New Roman" w:cs="Times New Roman"/>
          <w:i/>
          <w:iCs/>
          <w:kern w:val="0"/>
          <w14:ligatures w14:val="none"/>
        </w:rPr>
        <w:t>i) + \gamma_i + \delta_t + \epsilon</w:t>
      </w:r>
      <w:r w:rsidRPr="00FB6068">
        <w:rPr>
          <w:rFonts w:ascii="Times New Roman" w:eastAsia="Times New Roman" w:hAnsi="Times New Roman" w:cs="Times New Roman"/>
          <w:kern w:val="0"/>
          <w14:ligatures w14:val="none"/>
        </w:rPr>
        <w:t>{it}$$</w:t>
      </w:r>
    </w:p>
    <w:p w14:paraId="476EE455"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 xml:space="preserve">$\beta_2 &gt; 0$ means that group is </w:t>
      </w:r>
      <w:r w:rsidRPr="00FB6068">
        <w:rPr>
          <w:rFonts w:ascii="Times New Roman" w:eastAsia="Times New Roman" w:hAnsi="Times New Roman" w:cs="Times New Roman"/>
          <w:i/>
          <w:iCs/>
          <w:kern w:val="0"/>
          <w14:ligatures w14:val="none"/>
        </w:rPr>
        <w:t>more</w:t>
      </w:r>
      <w:r w:rsidRPr="00FB6068">
        <w:rPr>
          <w:rFonts w:ascii="Times New Roman" w:eastAsia="Times New Roman" w:hAnsi="Times New Roman" w:cs="Times New Roman"/>
          <w:kern w:val="0"/>
          <w14:ligatures w14:val="none"/>
        </w:rPr>
        <w:t xml:space="preserve"> elastic (churns more in response to tax).</w:t>
      </w:r>
    </w:p>
    <w:p w14:paraId="043A7A15"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 xml:space="preserve">$\beta_2 &lt; 0$ means that group is </w:t>
      </w:r>
      <w:r w:rsidRPr="00FB6068">
        <w:rPr>
          <w:rFonts w:ascii="Times New Roman" w:eastAsia="Times New Roman" w:hAnsi="Times New Roman" w:cs="Times New Roman"/>
          <w:i/>
          <w:iCs/>
          <w:kern w:val="0"/>
          <w14:ligatures w14:val="none"/>
        </w:rPr>
        <w:t>less</w:t>
      </w:r>
      <w:r w:rsidRPr="00FB6068">
        <w:rPr>
          <w:rFonts w:ascii="Times New Roman" w:eastAsia="Times New Roman" w:hAnsi="Times New Roman" w:cs="Times New Roman"/>
          <w:kern w:val="0"/>
          <w14:ligatures w14:val="none"/>
        </w:rPr>
        <w:t xml:space="preserve"> elastic (retains subscription despite tax).</w:t>
      </w:r>
    </w:p>
    <w:p w14:paraId="526A2C01"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597C9BFF">
          <v:rect id="_x0000_i1032" alt="" style="width:468pt;height:.05pt;mso-width-percent:0;mso-height-percent:0;mso-width-percent:0;mso-height-percent:0" o:hralign="center" o:hrstd="t" o:hr="t" fillcolor="#a0a0a0" stroked="f"/>
        </w:pict>
      </w:r>
    </w:p>
    <w:p w14:paraId="4E26FAEE"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Constructing the Self-Employment Proxy</w:t>
      </w:r>
    </w:p>
    <w:p w14:paraId="48754AC3"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You don't observe Schedule C directly. Proxy via spending patterns that correlate with self-employment:</w:t>
      </w:r>
    </w:p>
    <w:p w14:paraId="56C1ED8F"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High-signal merchants/categories:</w:t>
      </w:r>
    </w:p>
    <w:p w14:paraId="68C3752B"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Advertising (Meta Ads, Google Ads)</w:t>
      </w:r>
    </w:p>
    <w:p w14:paraId="2D72D3E1"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Domain registrars (GoDaddy, Namecheap)</w:t>
      </w:r>
    </w:p>
    <w:p w14:paraId="29372FBD"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Web hosting (AWS, Vercel, DigitalOcean)</w:t>
      </w:r>
    </w:p>
    <w:p w14:paraId="452F26B3"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Business software (QuickBooks, FreshBooks, Gusto)</w:t>
      </w:r>
    </w:p>
    <w:p w14:paraId="3CEC6DFB"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Coworking spaces (WeWork, etc.)</w:t>
      </w:r>
    </w:p>
    <w:p w14:paraId="5543FE90"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 xml:space="preserve">Freelance platforms (payments </w:t>
      </w:r>
      <w:r w:rsidRPr="00FB6068">
        <w:rPr>
          <w:rFonts w:ascii="Times New Roman" w:eastAsia="Times New Roman" w:hAnsi="Times New Roman" w:cs="Times New Roman"/>
          <w:i/>
          <w:iCs/>
          <w:kern w:val="0"/>
          <w14:ligatures w14:val="none"/>
        </w:rPr>
        <w:t>from</w:t>
      </w:r>
      <w:r w:rsidRPr="00FB6068">
        <w:rPr>
          <w:rFonts w:ascii="Times New Roman" w:eastAsia="Times New Roman" w:hAnsi="Times New Roman" w:cs="Times New Roman"/>
          <w:kern w:val="0"/>
          <w14:ligatures w14:val="none"/>
        </w:rPr>
        <w:t xml:space="preserve"> Upwork/Fiverr indicate self-employment)</w:t>
      </w:r>
    </w:p>
    <w:p w14:paraId="2C89C5FC" w14:textId="77777777" w:rsidR="00FB6068" w:rsidRPr="00FB6068" w:rsidRDefault="00FB6068" w:rsidP="00FB606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Office supplies, shipping (Staples, UPS Store)</w:t>
      </w:r>
    </w:p>
    <w:p w14:paraId="3C7D2F10"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Construction:</w:t>
      </w:r>
    </w:p>
    <w:p w14:paraId="29833C79" w14:textId="77777777" w:rsidR="00FB6068" w:rsidRPr="00FB6068" w:rsidRDefault="00FB6068" w:rsidP="00FB606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Flag cardholders with 2+ transactions in these categories over 6-month pre-period</w:t>
      </w:r>
    </w:p>
    <w:p w14:paraId="2AB3C89F" w14:textId="77777777" w:rsidR="00FB6068" w:rsidRPr="00FB6068" w:rsidRDefault="00FB6068" w:rsidP="00FB606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Or: create continuous "business spending intensity" score</w:t>
      </w:r>
    </w:p>
    <w:p w14:paraId="4E244D5C"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Validation (if possible):</w:t>
      </w:r>
    </w:p>
    <w:p w14:paraId="61B894D7" w14:textId="77777777" w:rsidR="00FB6068" w:rsidRPr="00FB6068" w:rsidRDefault="00FB6068" w:rsidP="00FB606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Check if proxy correlates with income volatility (self-employed have more variable income month-to-month)</w:t>
      </w:r>
    </w:p>
    <w:p w14:paraId="0132F4D2"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476DC75">
          <v:rect id="_x0000_i1031" alt="" style="width:468pt;height:.05pt;mso-width-percent:0;mso-height-percent:0;mso-width-percent:0;mso-height-percent:0" o:hralign="center" o:hrstd="t" o:hr="t" fillcolor="#a0a0a0" stroked="f"/>
        </w:pict>
      </w:r>
    </w:p>
    <w:p w14:paraId="1AE6C14E"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Three "Big Paper" Frames</w:t>
      </w:r>
    </w:p>
    <w:p w14:paraId="21929CD7"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Frame 1: Who gets to use AI?</w:t>
      </w:r>
    </w:p>
    <w:p w14:paraId="1097985F"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Question:</w:t>
      </w:r>
      <w:r w:rsidRPr="00FB6068">
        <w:rPr>
          <w:rFonts w:ascii="Times New Roman" w:eastAsia="Times New Roman" w:hAnsi="Times New Roman" w:cs="Times New Roman"/>
          <w:kern w:val="0"/>
          <w14:ligatures w14:val="none"/>
        </w:rPr>
        <w:t xml:space="preserve"> Does the tax price out lower-income users, creating a digital divide in AI access?</w:t>
      </w:r>
    </w:p>
    <w:p w14:paraId="22BD2F72"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Test:</w:t>
      </w:r>
      <w:r w:rsidRPr="00FB6068">
        <w:rPr>
          <w:rFonts w:ascii="Times New Roman" w:eastAsia="Times New Roman" w:hAnsi="Times New Roman" w:cs="Times New Roman"/>
          <w:kern w:val="0"/>
          <w14:ligatures w14:val="none"/>
        </w:rPr>
        <w:t xml:space="preserve"> $\beta_2 &gt; 0$ on </w:t>
      </w:r>
      <w:r w:rsidRPr="00FB6068">
        <w:rPr>
          <w:rFonts w:ascii="Courier New" w:eastAsia="Times New Roman" w:hAnsi="Courier New" w:cs="Courier New"/>
          <w:kern w:val="0"/>
          <w:sz w:val="20"/>
          <w:szCs w:val="20"/>
          <w14:ligatures w14:val="none"/>
        </w:rPr>
        <w:t>HighIncome</w:t>
      </w:r>
      <w:r w:rsidRPr="00FB6068">
        <w:rPr>
          <w:rFonts w:ascii="Times New Roman" w:eastAsia="Times New Roman" w:hAnsi="Times New Roman" w:cs="Times New Roman"/>
          <w:kern w:val="0"/>
          <w14:ligatures w14:val="none"/>
        </w:rPr>
        <w:t xml:space="preserve"> interaction → low-income users more elastic → priced out</w:t>
      </w:r>
    </w:p>
    <w:p w14:paraId="4ED1E9B7"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Policy implication:</w:t>
      </w:r>
      <w:r w:rsidRPr="00FB6068">
        <w:rPr>
          <w:rFonts w:ascii="Times New Roman" w:eastAsia="Times New Roman" w:hAnsi="Times New Roman" w:cs="Times New Roman"/>
          <w:kern w:val="0"/>
          <w14:ligatures w14:val="none"/>
        </w:rPr>
        <w:t xml:space="preserve"> Taxing AI tools is regressive if it locks out those who could benefit from productivity gains</w:t>
      </w:r>
    </w:p>
    <w:p w14:paraId="65FFE3A3"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47161F3">
          <v:rect id="_x0000_i1030" alt="" style="width:468pt;height:.05pt;mso-width-percent:0;mso-height-percent:0;mso-width-percent:0;mso-height-percent:0" o:hralign="center" o:hrstd="t" o:hr="t" fillcolor="#a0a0a0" stroked="f"/>
        </w:pict>
      </w:r>
    </w:p>
    <w:p w14:paraId="24CCD7C2"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Frame 2: Returns to AI are private</w:t>
      </w:r>
    </w:p>
    <w:p w14:paraId="617DE466"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Question:</w:t>
      </w:r>
      <w:r w:rsidRPr="00FB6068">
        <w:rPr>
          <w:rFonts w:ascii="Times New Roman" w:eastAsia="Times New Roman" w:hAnsi="Times New Roman" w:cs="Times New Roman"/>
          <w:kern w:val="0"/>
          <w14:ligatures w14:val="none"/>
        </w:rPr>
        <w:t xml:space="preserve"> Do people who capture productivity gains directly (self-employed) value AI more?</w:t>
      </w:r>
    </w:p>
    <w:p w14:paraId="35AFFC5D"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lastRenderedPageBreak/>
        <w:t>Test:</w:t>
      </w:r>
      <w:r w:rsidRPr="00FB6068">
        <w:rPr>
          <w:rFonts w:ascii="Times New Roman" w:eastAsia="Times New Roman" w:hAnsi="Times New Roman" w:cs="Times New Roman"/>
          <w:kern w:val="0"/>
          <w14:ligatures w14:val="none"/>
        </w:rPr>
        <w:t xml:space="preserve"> $\beta_2 &lt; 0$ on </w:t>
      </w:r>
      <w:r w:rsidRPr="00FB6068">
        <w:rPr>
          <w:rFonts w:ascii="Courier New" w:eastAsia="Times New Roman" w:hAnsi="Courier New" w:cs="Courier New"/>
          <w:kern w:val="0"/>
          <w:sz w:val="20"/>
          <w:szCs w:val="20"/>
          <w14:ligatures w14:val="none"/>
        </w:rPr>
        <w:t>SelfEmp</w:t>
      </w:r>
      <w:r w:rsidRPr="00FB6068">
        <w:rPr>
          <w:rFonts w:ascii="Times New Roman" w:eastAsia="Times New Roman" w:hAnsi="Times New Roman" w:cs="Times New Roman"/>
          <w:kern w:val="0"/>
          <w14:ligatures w14:val="none"/>
        </w:rPr>
        <w:t xml:space="preserve"> interaction → self-employed less elastic → reveals high private returns</w:t>
      </w:r>
    </w:p>
    <w:p w14:paraId="3B71576C"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Policy implication:</w:t>
      </w:r>
      <w:r w:rsidRPr="00FB6068">
        <w:rPr>
          <w:rFonts w:ascii="Times New Roman" w:eastAsia="Times New Roman" w:hAnsi="Times New Roman" w:cs="Times New Roman"/>
          <w:kern w:val="0"/>
          <w14:ligatures w14:val="none"/>
        </w:rPr>
        <w:t xml:space="preserve"> The gap between self-employed and employee elasticity measures how much of the return to AI flows to workers vs. employers</w:t>
      </w:r>
    </w:p>
    <w:p w14:paraId="0633A9B2"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94334BD">
          <v:rect id="_x0000_i1029" alt="" style="width:468pt;height:.05pt;mso-width-percent:0;mso-height-percent:0;mso-width-percent:0;mso-height-percent:0" o:hralign="center" o:hrstd="t" o:hr="t" fillcolor="#a0a0a0" stroked="f"/>
        </w:pict>
      </w:r>
    </w:p>
    <w:p w14:paraId="0701D4E1"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b/>
          <w:bCs/>
          <w:kern w:val="0"/>
          <w14:ligatures w14:val="none"/>
        </w:rPr>
        <w:t>Frame 3: AI as human capital investment</w:t>
      </w:r>
    </w:p>
    <w:p w14:paraId="6C506C97"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Question:</w:t>
      </w:r>
      <w:r w:rsidRPr="00FB6068">
        <w:rPr>
          <w:rFonts w:ascii="Times New Roman" w:eastAsia="Times New Roman" w:hAnsi="Times New Roman" w:cs="Times New Roman"/>
          <w:kern w:val="0"/>
          <w14:ligatures w14:val="none"/>
        </w:rPr>
        <w:t xml:space="preserve"> Who treats AI as investment (inelastic) vs. consumption (elastic)?</w:t>
      </w:r>
    </w:p>
    <w:p w14:paraId="6462C72D"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Test:</w:t>
      </w:r>
      <w:r w:rsidRPr="00FB6068">
        <w:rPr>
          <w:rFonts w:ascii="Times New Roman" w:eastAsia="Times New Roman" w:hAnsi="Times New Roman" w:cs="Times New Roman"/>
          <w:kern w:val="0"/>
          <w14:ligatures w14:val="none"/>
        </w:rPr>
        <w:t xml:space="preserve"> Characterize the inelastic users—are they the ones also spending on business tools, education, professional development?</w:t>
      </w:r>
    </w:p>
    <w:p w14:paraId="3C7FFFF6"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i/>
          <w:iCs/>
          <w:kern w:val="0"/>
          <w14:ligatures w14:val="none"/>
        </w:rPr>
        <w:t>Policy implication:</w:t>
      </w:r>
      <w:r w:rsidRPr="00FB6068">
        <w:rPr>
          <w:rFonts w:ascii="Times New Roman" w:eastAsia="Times New Roman" w:hAnsi="Times New Roman" w:cs="Times New Roman"/>
          <w:kern w:val="0"/>
          <w14:ligatures w14:val="none"/>
        </w:rPr>
        <w:t xml:space="preserve"> If high-return users are inelastic, AI subscriptions behave like human capital investment and arguably should be tax-advantaged</w:t>
      </w:r>
    </w:p>
    <w:p w14:paraId="158B4873"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8288F50">
          <v:rect id="_x0000_i1028" alt="" style="width:468pt;height:.05pt;mso-width-percent:0;mso-height-percent:0;mso-width-percent:0;mso-height-percent:0" o:hralign="center" o:hrstd="t" o:hr="t" fillcolor="#a0a0a0" stroked="f"/>
        </w:pict>
      </w:r>
    </w:p>
    <w:p w14:paraId="1B673394"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Diagnostics Before Running Anything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1"/>
        <w:gridCol w:w="4597"/>
        <w:gridCol w:w="3042"/>
      </w:tblGrid>
      <w:tr w:rsidR="00FB6068" w:rsidRPr="00FB6068" w14:paraId="63F7733E" w14:textId="77777777">
        <w:trPr>
          <w:tblHeader/>
          <w:tblCellSpacing w:w="15" w:type="dxa"/>
        </w:trPr>
        <w:tc>
          <w:tcPr>
            <w:tcW w:w="0" w:type="auto"/>
            <w:vAlign w:val="center"/>
            <w:hideMark/>
          </w:tcPr>
          <w:p w14:paraId="61327966"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Check</w:t>
            </w:r>
          </w:p>
        </w:tc>
        <w:tc>
          <w:tcPr>
            <w:tcW w:w="0" w:type="auto"/>
            <w:vAlign w:val="center"/>
            <w:hideMark/>
          </w:tcPr>
          <w:p w14:paraId="68682694"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How</w:t>
            </w:r>
          </w:p>
        </w:tc>
        <w:tc>
          <w:tcPr>
            <w:tcW w:w="0" w:type="auto"/>
            <w:vAlign w:val="center"/>
            <w:hideMark/>
          </w:tcPr>
          <w:p w14:paraId="7E9CE483"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Kill threshold</w:t>
            </w:r>
          </w:p>
        </w:tc>
      </w:tr>
      <w:tr w:rsidR="00FB6068" w:rsidRPr="00FB6068" w14:paraId="168FDC17" w14:textId="77777777">
        <w:trPr>
          <w:tblCellSpacing w:w="15" w:type="dxa"/>
        </w:trPr>
        <w:tc>
          <w:tcPr>
            <w:tcW w:w="0" w:type="auto"/>
            <w:vAlign w:val="center"/>
            <w:hideMark/>
          </w:tcPr>
          <w:p w14:paraId="270D02E4"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Sample size</w:t>
            </w:r>
          </w:p>
        </w:tc>
        <w:tc>
          <w:tcPr>
            <w:tcW w:w="0" w:type="auto"/>
            <w:vAlign w:val="center"/>
            <w:hideMark/>
          </w:tcPr>
          <w:p w14:paraId="3934B7D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Count Chicago AI subscribers pre-2025</w:t>
            </w:r>
          </w:p>
        </w:tc>
        <w:tc>
          <w:tcPr>
            <w:tcW w:w="0" w:type="auto"/>
            <w:vAlign w:val="center"/>
            <w:hideMark/>
          </w:tcPr>
          <w:p w14:paraId="367DE390"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&lt; 500 kills project</w:t>
            </w:r>
          </w:p>
        </w:tc>
      </w:tr>
      <w:tr w:rsidR="00FB6068" w:rsidRPr="00FB6068" w14:paraId="2F5B48E4" w14:textId="77777777">
        <w:trPr>
          <w:tblCellSpacing w:w="15" w:type="dxa"/>
        </w:trPr>
        <w:tc>
          <w:tcPr>
            <w:tcW w:w="0" w:type="auto"/>
            <w:vAlign w:val="center"/>
            <w:hideMark/>
          </w:tcPr>
          <w:p w14:paraId="27FB0A7D"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OpenAI pass-through</w:t>
            </w:r>
          </w:p>
        </w:tc>
        <w:tc>
          <w:tcPr>
            <w:tcW w:w="0" w:type="auto"/>
            <w:vAlign w:val="center"/>
            <w:hideMark/>
          </w:tcPr>
          <w:p w14:paraId="64CE36B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Compare transaction amounts Dec 2024 vs Jan 2025, Dec 2025 vs Jan 2026</w:t>
            </w:r>
          </w:p>
        </w:tc>
        <w:tc>
          <w:tcPr>
            <w:tcW w:w="0" w:type="auto"/>
            <w:vAlign w:val="center"/>
            <w:hideMark/>
          </w:tcPr>
          <w:p w14:paraId="561644D3"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No price jump = no treatment for OpenAI users</w:t>
            </w:r>
          </w:p>
        </w:tc>
      </w:tr>
      <w:tr w:rsidR="00FB6068" w:rsidRPr="00FB6068" w14:paraId="67892C6A" w14:textId="77777777">
        <w:trPr>
          <w:tblCellSpacing w:w="15" w:type="dxa"/>
        </w:trPr>
        <w:tc>
          <w:tcPr>
            <w:tcW w:w="0" w:type="auto"/>
            <w:vAlign w:val="center"/>
            <w:hideMark/>
          </w:tcPr>
          <w:p w14:paraId="5C081E6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Pre-trends</w:t>
            </w:r>
          </w:p>
        </w:tc>
        <w:tc>
          <w:tcPr>
            <w:tcW w:w="0" w:type="auto"/>
            <w:vAlign w:val="center"/>
            <w:hideMark/>
          </w:tcPr>
          <w:p w14:paraId="3E84465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Plot monthly churn for Chicago vs. suburbs, 6+ months pre-shock</w:t>
            </w:r>
          </w:p>
        </w:tc>
        <w:tc>
          <w:tcPr>
            <w:tcW w:w="0" w:type="auto"/>
            <w:vAlign w:val="center"/>
            <w:hideMark/>
          </w:tcPr>
          <w:p w14:paraId="738C46E8"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Diverging trends = contaminated DiD</w:t>
            </w:r>
          </w:p>
        </w:tc>
      </w:tr>
      <w:tr w:rsidR="00FB6068" w:rsidRPr="00FB6068" w14:paraId="6F42450A" w14:textId="77777777">
        <w:trPr>
          <w:tblCellSpacing w:w="15" w:type="dxa"/>
        </w:trPr>
        <w:tc>
          <w:tcPr>
            <w:tcW w:w="0" w:type="auto"/>
            <w:vAlign w:val="center"/>
            <w:hideMark/>
          </w:tcPr>
          <w:p w14:paraId="1479BB32"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Billing avoidance</w:t>
            </w:r>
          </w:p>
        </w:tc>
        <w:tc>
          <w:tcPr>
            <w:tcW w:w="0" w:type="auto"/>
            <w:vAlign w:val="center"/>
            <w:hideMark/>
          </w:tcPr>
          <w:p w14:paraId="1D0F3B18"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Check for spike in Chicago "exits" that aren't true churn</w:t>
            </w:r>
          </w:p>
        </w:tc>
        <w:tc>
          <w:tcPr>
            <w:tcW w:w="0" w:type="auto"/>
            <w:vAlign w:val="center"/>
            <w:hideMark/>
          </w:tcPr>
          <w:p w14:paraId="6C5AB798"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Large avoidance = attenuated effects</w:t>
            </w:r>
          </w:p>
        </w:tc>
      </w:tr>
      <w:tr w:rsidR="00FB6068" w:rsidRPr="00FB6068" w14:paraId="17E9D8AE" w14:textId="77777777">
        <w:trPr>
          <w:tblCellSpacing w:w="15" w:type="dxa"/>
        </w:trPr>
        <w:tc>
          <w:tcPr>
            <w:tcW w:w="0" w:type="auto"/>
            <w:vAlign w:val="center"/>
            <w:hideMark/>
          </w:tcPr>
          <w:p w14:paraId="5C5F9661"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Self-emp proxy validity</w:t>
            </w:r>
          </w:p>
        </w:tc>
        <w:tc>
          <w:tcPr>
            <w:tcW w:w="0" w:type="auto"/>
            <w:vAlign w:val="center"/>
            <w:hideMark/>
          </w:tcPr>
          <w:p w14:paraId="5A18E9EB"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Check if proxy correlates with income volatility or other known self-emp patterns</w:t>
            </w:r>
          </w:p>
        </w:tc>
        <w:tc>
          <w:tcPr>
            <w:tcW w:w="0" w:type="auto"/>
            <w:vAlign w:val="center"/>
            <w:hideMark/>
          </w:tcPr>
          <w:p w14:paraId="08D2BEA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Proxy is noise = can't run Frame 2</w:t>
            </w:r>
          </w:p>
        </w:tc>
      </w:tr>
    </w:tbl>
    <w:p w14:paraId="012A38EC"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1368055">
          <v:rect id="_x0000_i1027" alt="" style="width:468pt;height:.05pt;mso-width-percent:0;mso-height-percent:0;mso-width-percent:0;mso-height-percent:0" o:hralign="center" o:hrstd="t" o:hr="t" fillcolor="#a0a0a0" stroked="f"/>
        </w:pict>
      </w:r>
    </w:p>
    <w:p w14:paraId="4BD66191"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Execution Order</w:t>
      </w:r>
    </w:p>
    <w:p w14:paraId="7A69DB7A"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Pull sample sizes for Chicago AI subscribers</w:t>
      </w:r>
    </w:p>
    <w:p w14:paraId="4A15E0E3"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Verify OpenAI pass-through</w:t>
      </w:r>
    </w:p>
    <w:p w14:paraId="44615130"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Plot pre-trends</w:t>
      </w:r>
    </w:p>
    <w:p w14:paraId="6474676A"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Run basic DiD (both shocks)</w:t>
      </w:r>
    </w:p>
    <w:p w14:paraId="60B04A90"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Construct income proxy, run heterogeneity</w:t>
      </w:r>
    </w:p>
    <w:p w14:paraId="66295638"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Construct self-employment proxy, validate, run heterogeneity</w:t>
      </w:r>
    </w:p>
    <w:p w14:paraId="5ADD8F5D" w14:textId="77777777" w:rsidR="00FB6068" w:rsidRPr="00FB6068" w:rsidRDefault="00FB6068" w:rsidP="00FB606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Decide which frame best fits the results</w:t>
      </w:r>
    </w:p>
    <w:p w14:paraId="00D1C7A5"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7F249A72">
          <v:rect id="_x0000_i1026" alt="" style="width:468pt;height:.05pt;mso-width-percent:0;mso-height-percent:0;mso-width-percent:0;mso-height-percent:0" o:hralign="center" o:hrstd="t" o:hr="t" fillcolor="#a0a0a0" stroked="f"/>
        </w:pict>
      </w:r>
    </w:p>
    <w:p w14:paraId="0AE4A4CA" w14:textId="77777777" w:rsidR="00FB6068" w:rsidRPr="00FB6068" w:rsidRDefault="00FB6068" w:rsidP="00FB606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6068">
        <w:rPr>
          <w:rFonts w:ascii="Times New Roman" w:eastAsia="Times New Roman" w:hAnsi="Times New Roman" w:cs="Times New Roman"/>
          <w:b/>
          <w:bCs/>
          <w:kern w:val="0"/>
          <w:sz w:val="36"/>
          <w:szCs w:val="36"/>
          <w14:ligatures w14:val="none"/>
        </w:rPr>
        <w:t>Honest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7439"/>
      </w:tblGrid>
      <w:tr w:rsidR="00FB6068" w:rsidRPr="00FB6068" w14:paraId="628894B7" w14:textId="77777777">
        <w:trPr>
          <w:tblHeader/>
          <w:tblCellSpacing w:w="15" w:type="dxa"/>
        </w:trPr>
        <w:tc>
          <w:tcPr>
            <w:tcW w:w="0" w:type="auto"/>
            <w:vAlign w:val="center"/>
            <w:hideMark/>
          </w:tcPr>
          <w:p w14:paraId="0092946F"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Aspect</w:t>
            </w:r>
          </w:p>
        </w:tc>
        <w:tc>
          <w:tcPr>
            <w:tcW w:w="0" w:type="auto"/>
            <w:vAlign w:val="center"/>
            <w:hideMark/>
          </w:tcPr>
          <w:p w14:paraId="12550409" w14:textId="77777777" w:rsidR="00FB6068" w:rsidRPr="00FB6068" w:rsidRDefault="00FB6068" w:rsidP="00FB6068">
            <w:pPr>
              <w:spacing w:after="0" w:line="240" w:lineRule="auto"/>
              <w:jc w:val="center"/>
              <w:rPr>
                <w:rFonts w:ascii="Times New Roman" w:eastAsia="Times New Roman" w:hAnsi="Times New Roman" w:cs="Times New Roman"/>
                <w:b/>
                <w:bCs/>
                <w:kern w:val="0"/>
                <w14:ligatures w14:val="none"/>
              </w:rPr>
            </w:pPr>
            <w:r w:rsidRPr="00FB6068">
              <w:rPr>
                <w:rFonts w:ascii="Times New Roman" w:eastAsia="Times New Roman" w:hAnsi="Times New Roman" w:cs="Times New Roman"/>
                <w:b/>
                <w:bCs/>
                <w:kern w:val="0"/>
                <w14:ligatures w14:val="none"/>
              </w:rPr>
              <w:t>Status</w:t>
            </w:r>
          </w:p>
        </w:tc>
      </w:tr>
      <w:tr w:rsidR="00FB6068" w:rsidRPr="00FB6068" w14:paraId="4703F396" w14:textId="77777777">
        <w:trPr>
          <w:tblCellSpacing w:w="15" w:type="dxa"/>
        </w:trPr>
        <w:tc>
          <w:tcPr>
            <w:tcW w:w="0" w:type="auto"/>
            <w:vAlign w:val="center"/>
            <w:hideMark/>
          </w:tcPr>
          <w:p w14:paraId="2CBE0A1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Identification</w:t>
            </w:r>
          </w:p>
        </w:tc>
        <w:tc>
          <w:tcPr>
            <w:tcW w:w="0" w:type="auto"/>
            <w:vAlign w:val="center"/>
            <w:hideMark/>
          </w:tcPr>
          <w:p w14:paraId="11961DDA"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Strong—two shocks, unique policy, clear geography</w:t>
            </w:r>
          </w:p>
        </w:tc>
      </w:tr>
      <w:tr w:rsidR="00FB6068" w:rsidRPr="00FB6068" w14:paraId="5568F233" w14:textId="77777777">
        <w:trPr>
          <w:tblCellSpacing w:w="15" w:type="dxa"/>
        </w:trPr>
        <w:tc>
          <w:tcPr>
            <w:tcW w:w="0" w:type="auto"/>
            <w:vAlign w:val="center"/>
            <w:hideMark/>
          </w:tcPr>
          <w:p w14:paraId="7DA48E97"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Data</w:t>
            </w:r>
          </w:p>
        </w:tc>
        <w:tc>
          <w:tcPr>
            <w:tcW w:w="0" w:type="auto"/>
            <w:vAlign w:val="center"/>
            <w:hideMark/>
          </w:tcPr>
          <w:p w14:paraId="2CFF338A"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Good—micro card data is ideal for this</w:t>
            </w:r>
          </w:p>
        </w:tc>
      </w:tr>
      <w:tr w:rsidR="00FB6068" w:rsidRPr="00FB6068" w14:paraId="25AFC09A" w14:textId="77777777">
        <w:trPr>
          <w:tblCellSpacing w:w="15" w:type="dxa"/>
        </w:trPr>
        <w:tc>
          <w:tcPr>
            <w:tcW w:w="0" w:type="auto"/>
            <w:vAlign w:val="center"/>
            <w:hideMark/>
          </w:tcPr>
          <w:p w14:paraId="362069CA"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Contribution (narrow)</w:t>
            </w:r>
          </w:p>
        </w:tc>
        <w:tc>
          <w:tcPr>
            <w:tcW w:w="0" w:type="auto"/>
            <w:vAlign w:val="center"/>
            <w:hideMark/>
          </w:tcPr>
          <w:p w14:paraId="14874D5E"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Solid—first elasticity estimate for AI tools</w:t>
            </w:r>
          </w:p>
        </w:tc>
      </w:tr>
      <w:tr w:rsidR="00FB6068" w:rsidRPr="00FB6068" w14:paraId="737C933F" w14:textId="77777777">
        <w:trPr>
          <w:tblCellSpacing w:w="15" w:type="dxa"/>
        </w:trPr>
        <w:tc>
          <w:tcPr>
            <w:tcW w:w="0" w:type="auto"/>
            <w:vAlign w:val="center"/>
            <w:hideMark/>
          </w:tcPr>
          <w:p w14:paraId="627CA94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Contribution (broad)</w:t>
            </w:r>
          </w:p>
        </w:tc>
        <w:tc>
          <w:tcPr>
            <w:tcW w:w="0" w:type="auto"/>
            <w:vAlign w:val="center"/>
            <w:hideMark/>
          </w:tcPr>
          <w:p w14:paraId="63775173"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Depends on heterogeneity results—if income/self-emp patterns are sharp, Frame 1 or 2 becomes a real paper</w:t>
            </w:r>
          </w:p>
        </w:tc>
      </w:tr>
      <w:tr w:rsidR="00FB6068" w:rsidRPr="00FB6068" w14:paraId="4A0EC5B3" w14:textId="77777777">
        <w:trPr>
          <w:tblCellSpacing w:w="15" w:type="dxa"/>
        </w:trPr>
        <w:tc>
          <w:tcPr>
            <w:tcW w:w="0" w:type="auto"/>
            <w:vAlign w:val="center"/>
            <w:hideMark/>
          </w:tcPr>
          <w:p w14:paraId="0D29DC5D"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Main risk</w:t>
            </w:r>
          </w:p>
        </w:tc>
        <w:tc>
          <w:tcPr>
            <w:tcW w:w="0" w:type="auto"/>
            <w:vAlign w:val="center"/>
            <w:hideMark/>
          </w:tcPr>
          <w:p w14:paraId="19F794A9" w14:textId="77777777" w:rsidR="00FB6068" w:rsidRPr="00FB6068" w:rsidRDefault="00FB6068" w:rsidP="00FB6068">
            <w:pPr>
              <w:spacing w:after="0"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Sample size; self-employment proxy may be too noisy</w:t>
            </w:r>
          </w:p>
        </w:tc>
      </w:tr>
    </w:tbl>
    <w:p w14:paraId="33C3479C" w14:textId="77777777" w:rsidR="00FB6068" w:rsidRPr="00FB6068" w:rsidRDefault="00313AD7" w:rsidP="00FB606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721694F">
          <v:rect id="_x0000_i1025" alt="" style="width:468pt;height:.05pt;mso-width-percent:0;mso-height-percent:0;mso-width-percent:0;mso-height-percent:0" o:hralign="center" o:hrstd="t" o:hr="t" fillcolor="#a0a0a0" stroked="f"/>
        </w:pict>
      </w:r>
    </w:p>
    <w:p w14:paraId="659EEE82" w14:textId="77777777" w:rsidR="00FB6068" w:rsidRPr="00FB6068" w:rsidRDefault="00FB6068" w:rsidP="00FB6068">
      <w:pPr>
        <w:spacing w:before="100" w:beforeAutospacing="1" w:after="100" w:afterAutospacing="1" w:line="240" w:lineRule="auto"/>
        <w:rPr>
          <w:rFonts w:ascii="Times New Roman" w:eastAsia="Times New Roman" w:hAnsi="Times New Roman" w:cs="Times New Roman"/>
          <w:kern w:val="0"/>
          <w14:ligatures w14:val="none"/>
        </w:rPr>
      </w:pPr>
      <w:r w:rsidRPr="00FB6068">
        <w:rPr>
          <w:rFonts w:ascii="Times New Roman" w:eastAsia="Times New Roman" w:hAnsi="Times New Roman" w:cs="Times New Roman"/>
          <w:kern w:val="0"/>
          <w14:ligatures w14:val="none"/>
        </w:rPr>
        <w:t>What's your timeline for pulling the initial diagnostics?</w:t>
      </w:r>
    </w:p>
    <w:p w14:paraId="69EEC9FF" w14:textId="1D30CBF8" w:rsidR="00FB6068" w:rsidRDefault="00FB6068" w:rsidP="00E91B97">
      <w:pPr>
        <w:pStyle w:val="ListParagraph"/>
        <w:numPr>
          <w:ilvl w:val="1"/>
          <w:numId w:val="1"/>
        </w:numPr>
      </w:pPr>
    </w:p>
    <w:sectPr w:rsidR="00FB60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4585"/>
    <w:multiLevelType w:val="multilevel"/>
    <w:tmpl w:val="5FEA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DD2ACD"/>
    <w:multiLevelType w:val="hybridMultilevel"/>
    <w:tmpl w:val="95369BB6"/>
    <w:lvl w:ilvl="0" w:tplc="9B581D2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771969"/>
    <w:multiLevelType w:val="multilevel"/>
    <w:tmpl w:val="FA006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EFC3D7E"/>
    <w:multiLevelType w:val="multilevel"/>
    <w:tmpl w:val="9A367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946A6D"/>
    <w:multiLevelType w:val="multilevel"/>
    <w:tmpl w:val="2E70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8E5905"/>
    <w:multiLevelType w:val="multilevel"/>
    <w:tmpl w:val="AA18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151947">
    <w:abstractNumId w:val="1"/>
  </w:num>
  <w:num w:numId="2" w16cid:durableId="419109835">
    <w:abstractNumId w:val="5"/>
  </w:num>
  <w:num w:numId="3" w16cid:durableId="509029584">
    <w:abstractNumId w:val="4"/>
  </w:num>
  <w:num w:numId="4" w16cid:durableId="1818373953">
    <w:abstractNumId w:val="3"/>
  </w:num>
  <w:num w:numId="5" w16cid:durableId="1665815251">
    <w:abstractNumId w:val="0"/>
  </w:num>
  <w:num w:numId="6" w16cid:durableId="281618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4E"/>
    <w:rsid w:val="0000283F"/>
    <w:rsid w:val="000A25DF"/>
    <w:rsid w:val="000B704B"/>
    <w:rsid w:val="00133E08"/>
    <w:rsid w:val="00191A2C"/>
    <w:rsid w:val="002B5AE9"/>
    <w:rsid w:val="00311084"/>
    <w:rsid w:val="00313AD7"/>
    <w:rsid w:val="00354907"/>
    <w:rsid w:val="003644B5"/>
    <w:rsid w:val="003656EB"/>
    <w:rsid w:val="003F558B"/>
    <w:rsid w:val="004214C6"/>
    <w:rsid w:val="00524207"/>
    <w:rsid w:val="00593C21"/>
    <w:rsid w:val="0065404E"/>
    <w:rsid w:val="00664E87"/>
    <w:rsid w:val="00681BF7"/>
    <w:rsid w:val="006E0F4E"/>
    <w:rsid w:val="006F3E28"/>
    <w:rsid w:val="006F4734"/>
    <w:rsid w:val="007148BC"/>
    <w:rsid w:val="007267FD"/>
    <w:rsid w:val="00792B82"/>
    <w:rsid w:val="007E79E3"/>
    <w:rsid w:val="00840880"/>
    <w:rsid w:val="00856FBF"/>
    <w:rsid w:val="00893FCB"/>
    <w:rsid w:val="00897E1F"/>
    <w:rsid w:val="008D688B"/>
    <w:rsid w:val="00A103E9"/>
    <w:rsid w:val="00A42EE4"/>
    <w:rsid w:val="00A94EFF"/>
    <w:rsid w:val="00AB17A8"/>
    <w:rsid w:val="00BC62CB"/>
    <w:rsid w:val="00C80357"/>
    <w:rsid w:val="00D55407"/>
    <w:rsid w:val="00D93BDA"/>
    <w:rsid w:val="00E91B97"/>
    <w:rsid w:val="00EE1896"/>
    <w:rsid w:val="00F754F9"/>
    <w:rsid w:val="00FB60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5C028"/>
  <w15:chartTrackingRefBased/>
  <w15:docId w15:val="{A66187A6-CEF5-2E44-8313-EC881A83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0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40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40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40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40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40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40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40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40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0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40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40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40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40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40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40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40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404E"/>
    <w:rPr>
      <w:rFonts w:eastAsiaTheme="majorEastAsia" w:cstheme="majorBidi"/>
      <w:color w:val="272727" w:themeColor="text1" w:themeTint="D8"/>
    </w:rPr>
  </w:style>
  <w:style w:type="paragraph" w:styleId="Title">
    <w:name w:val="Title"/>
    <w:basedOn w:val="Normal"/>
    <w:next w:val="Normal"/>
    <w:link w:val="TitleChar"/>
    <w:uiPriority w:val="10"/>
    <w:qFormat/>
    <w:rsid w:val="00654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40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40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40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404E"/>
    <w:pPr>
      <w:spacing w:before="160"/>
      <w:jc w:val="center"/>
    </w:pPr>
    <w:rPr>
      <w:i/>
      <w:iCs/>
      <w:color w:val="404040" w:themeColor="text1" w:themeTint="BF"/>
    </w:rPr>
  </w:style>
  <w:style w:type="character" w:customStyle="1" w:styleId="QuoteChar">
    <w:name w:val="Quote Char"/>
    <w:basedOn w:val="DefaultParagraphFont"/>
    <w:link w:val="Quote"/>
    <w:uiPriority w:val="29"/>
    <w:rsid w:val="0065404E"/>
    <w:rPr>
      <w:i/>
      <w:iCs/>
      <w:color w:val="404040" w:themeColor="text1" w:themeTint="BF"/>
    </w:rPr>
  </w:style>
  <w:style w:type="paragraph" w:styleId="ListParagraph">
    <w:name w:val="List Paragraph"/>
    <w:basedOn w:val="Normal"/>
    <w:uiPriority w:val="34"/>
    <w:qFormat/>
    <w:rsid w:val="0065404E"/>
    <w:pPr>
      <w:ind w:left="720"/>
      <w:contextualSpacing/>
    </w:pPr>
  </w:style>
  <w:style w:type="character" w:styleId="IntenseEmphasis">
    <w:name w:val="Intense Emphasis"/>
    <w:basedOn w:val="DefaultParagraphFont"/>
    <w:uiPriority w:val="21"/>
    <w:qFormat/>
    <w:rsid w:val="0065404E"/>
    <w:rPr>
      <w:i/>
      <w:iCs/>
      <w:color w:val="0F4761" w:themeColor="accent1" w:themeShade="BF"/>
    </w:rPr>
  </w:style>
  <w:style w:type="paragraph" w:styleId="IntenseQuote">
    <w:name w:val="Intense Quote"/>
    <w:basedOn w:val="Normal"/>
    <w:next w:val="Normal"/>
    <w:link w:val="IntenseQuoteChar"/>
    <w:uiPriority w:val="30"/>
    <w:qFormat/>
    <w:rsid w:val="006540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404E"/>
    <w:rPr>
      <w:i/>
      <w:iCs/>
      <w:color w:val="0F4761" w:themeColor="accent1" w:themeShade="BF"/>
    </w:rPr>
  </w:style>
  <w:style w:type="character" w:styleId="IntenseReference">
    <w:name w:val="Intense Reference"/>
    <w:basedOn w:val="DefaultParagraphFont"/>
    <w:uiPriority w:val="32"/>
    <w:qFormat/>
    <w:rsid w:val="0065404E"/>
    <w:rPr>
      <w:b/>
      <w:bCs/>
      <w:smallCaps/>
      <w:color w:val="0F4761" w:themeColor="accent1" w:themeShade="BF"/>
      <w:spacing w:val="5"/>
    </w:rPr>
  </w:style>
  <w:style w:type="character" w:styleId="Hyperlink">
    <w:name w:val="Hyperlink"/>
    <w:basedOn w:val="DefaultParagraphFont"/>
    <w:uiPriority w:val="99"/>
    <w:unhideWhenUsed/>
    <w:rsid w:val="00C80357"/>
    <w:rPr>
      <w:color w:val="467886" w:themeColor="hyperlink"/>
      <w:u w:val="single"/>
    </w:rPr>
  </w:style>
  <w:style w:type="character" w:styleId="UnresolvedMention">
    <w:name w:val="Unresolved Mention"/>
    <w:basedOn w:val="DefaultParagraphFont"/>
    <w:uiPriority w:val="99"/>
    <w:semiHidden/>
    <w:unhideWhenUsed/>
    <w:rsid w:val="00C80357"/>
    <w:rPr>
      <w:color w:val="605E5C"/>
      <w:shd w:val="clear" w:color="auto" w:fill="E1DFDD"/>
    </w:rPr>
  </w:style>
  <w:style w:type="paragraph" w:styleId="NormalWeb">
    <w:name w:val="Normal (Web)"/>
    <w:basedOn w:val="Normal"/>
    <w:uiPriority w:val="99"/>
    <w:semiHidden/>
    <w:unhideWhenUsed/>
    <w:rsid w:val="00FB606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B6068"/>
    <w:rPr>
      <w:b/>
      <w:bCs/>
    </w:rPr>
  </w:style>
  <w:style w:type="character" w:styleId="HTMLCode">
    <w:name w:val="HTML Code"/>
    <w:basedOn w:val="DefaultParagraphFont"/>
    <w:uiPriority w:val="99"/>
    <w:semiHidden/>
    <w:unhideWhenUsed/>
    <w:rsid w:val="00FB6068"/>
    <w:rPr>
      <w:rFonts w:ascii="Courier New" w:eastAsia="Times New Roman" w:hAnsi="Courier New" w:cs="Courier New"/>
      <w:sz w:val="20"/>
      <w:szCs w:val="20"/>
    </w:rPr>
  </w:style>
  <w:style w:type="character" w:styleId="Emphasis">
    <w:name w:val="Emphasis"/>
    <w:basedOn w:val="DefaultParagraphFont"/>
    <w:uiPriority w:val="20"/>
    <w:qFormat/>
    <w:rsid w:val="00FB60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aude.ai/share/2e4460c6-7ee5-487e-8375-60aacfc72649" TargetMode="External"/><Relationship Id="rId5" Type="http://schemas.openxmlformats.org/officeDocument/2006/relationships/hyperlink" Target="https://cehd.uchicago.edu/?page_id=774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1013</TotalTime>
  <Pages>1</Pages>
  <Words>1175</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Ohl, Jeffrey</dc:creator>
  <cp:keywords/>
  <dc:description/>
  <cp:lastModifiedBy>Ohl, Jeffrey</cp:lastModifiedBy>
  <cp:revision>36</cp:revision>
  <dcterms:created xsi:type="dcterms:W3CDTF">2026-01-21T14:41:00Z</dcterms:created>
  <dcterms:modified xsi:type="dcterms:W3CDTF">2026-01-22T14:48:00Z</dcterms:modified>
</cp:coreProperties>
</file>