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8A6E" w14:textId="77777777" w:rsidR="00E26CFF" w:rsidRDefault="00E26CFF" w:rsidP="27A2FC5A">
      <w:pPr>
        <w:pStyle w:val="Title"/>
      </w:pPr>
      <w:r w:rsidRPr="0037429B">
        <w:rPr>
          <w:color w:val="E4322C"/>
          <w:sz w:val="56"/>
          <w:szCs w:val="56"/>
        </w:rPr>
        <w:t>Procurement Legal Playbook</w:t>
      </w:r>
    </w:p>
    <w:p w14:paraId="389FB46F" w14:textId="2DFEFC6C" w:rsidR="27A2FC5A" w:rsidRDefault="27A2FC5A" w:rsidP="27A2FC5A">
      <w:pPr>
        <w:pStyle w:val="Subtitle"/>
      </w:pPr>
      <w:r w:rsidRPr="21938266">
        <w:rPr>
          <w:color w:val="255B63" w:themeColor="accent6"/>
        </w:rPr>
        <w:t>Protecting peak-season supply—not just reviewing a contract.</w:t>
      </w:r>
    </w:p>
    <w:p w14:paraId="2E01D2D7" w14:textId="14B6ED53" w:rsidR="27A2FC5A" w:rsidRDefault="27A2FC5A">
      <w:r w:rsidRPr="27A2FC5A">
        <w:rPr>
          <w:b/>
          <w:bCs/>
          <w:color w:val="68757A" w:themeColor="accent2"/>
          <w:sz w:val="20"/>
          <w:szCs w:val="20"/>
        </w:rPr>
        <w:t>FICTIONAL DEMO — NOT CCI POLICY — NOT FOR EXECUTION</w:t>
      </w:r>
    </w:p>
    <w:p w14:paraId="47F3655B" w14:textId="43B96982" w:rsidR="27A2FC5A" w:rsidRDefault="27A2FC5A">
      <w:r>
        <w:t>Version 1.0 | 5 October 2026 | Prepared for Jeffrey Sonola’s CCI Review Contract demonstration</w:t>
      </w:r>
    </w:p>
    <w:p w14:paraId="497FFFDB" w14:textId="5C7D7BFC" w:rsidR="27A2FC5A" w:rsidRDefault="27A2FC5A">
      <w:r>
        <w:t>Audience: Supply Chain, Legal and Sales digital advocates. This theoretical training playbook uses synthetic commercial positions and approval roles. It is legal-document assistance, not legal advice. Local counsel must validate any drafting intended for real use.</w:t>
      </w:r>
    </w:p>
    <w:p w14:paraId="17D37127" w14:textId="77777777" w:rsidR="00E26CFF" w:rsidRDefault="00E26CFF" w:rsidP="27A2FC5A">
      <w:pPr>
        <w:pStyle w:val="Heading1"/>
      </w:pPr>
      <w:r w:rsidRPr="0037429B">
        <w:rPr>
          <w:color w:val="E4322C"/>
          <w:sz w:val="40"/>
          <w:szCs w:val="40"/>
        </w:rPr>
        <w:t>Purpose, scenario and business value</w:t>
      </w:r>
    </w:p>
    <w:p w14:paraId="237B3C93" w14:textId="49C2818F" w:rsidR="27A2FC5A" w:rsidRDefault="59A4F532">
      <w:r>
        <w:t>Procurement is onboarding a secondary supplier for PET bottle preforms and matching food-contact closures for a fictional 2027 peak-season ramp-up. CCI Demonstration Buyer is not an actual CCI entity; Anatolia Packaging Demo Ltd. is fictional. The term is 1 January–31 December 2027. Estimated annual demand is 10,000,000 sets, a nonbinding planning forecast under this playbook.</w:t>
      </w:r>
    </w:p>
    <w:p w14:paraId="7B76DA85" w14:textId="2914641E" w:rsidR="27A2FC5A" w:rsidRDefault="59A4F532">
      <w:r>
        <w:t xml:space="preserve">A lower price creates value only if supply, quality and recourse remain usable. Supply Chain evaluates capacity and continuity, Legal judges drafting and enforceability, and Sales advocates connect reliable packaging </w:t>
      </w:r>
      <w:proofErr w:type="gramStart"/>
      <w:r>
        <w:t>supply</w:t>
      </w:r>
      <w:proofErr w:type="gramEnd"/>
      <w:r>
        <w:t xml:space="preserve"> to customer service. </w:t>
      </w:r>
      <w:proofErr w:type="gramStart"/>
      <w:r>
        <w:t>The exercise</w:t>
      </w:r>
      <w:proofErr w:type="gramEnd"/>
      <w:r>
        <w:t xml:space="preserve"> exposes trade-offs, preserves alternate sourcing and routes decisions to people; it does not promise risk elimination.</w:t>
      </w:r>
    </w:p>
    <w:p w14:paraId="56077F94" w14:textId="194C6AD6" w:rsidR="27A2FC5A" w:rsidRDefault="59A4F532">
      <w:r>
        <w:t xml:space="preserve">At 10,000,000 sets, the fictional EUR 0.24 quote gives estimated annual spend of EUR 2,400,000. The EUR 0.25 comparison quote for the same scope gives EUR 2,500,000: an illustrative EUR 100,000 difference, or 4% of the comparison estimate. This is not realized </w:t>
      </w:r>
      <w:proofErr w:type="gramStart"/>
      <w:r>
        <w:t>saving,</w:t>
      </w:r>
      <w:proofErr w:type="gramEnd"/>
      <w:r>
        <w:t xml:space="preserve"> binding spend or actual CCI procurement data.</w:t>
      </w:r>
    </w:p>
    <w:p w14:paraId="2AB71EA3" w14:textId="11782239" w:rsidR="3D0606E9" w:rsidRDefault="15B25D25">
      <w:r>
        <w:t>CCI’s Responsible Procurement page describes supplying Supplier Guiding Principles before relationships and incorporating them into contracts where applicable, alongside operational excellence for efficiency, quality and error reduction. That context informs this demo; its thresholds are not CCI policy. Source: CCI, Responsible Procurement, https://www.cci.com.tr/en/sustainability/our-focus-areas/responsible-procurement</w:t>
      </w:r>
    </w:p>
    <w:p w14:paraId="0311D42C" w14:textId="77777777" w:rsidR="00E26CFF" w:rsidRDefault="00E26CFF" w:rsidP="79D84CC9">
      <w:pPr>
        <w:pStyle w:val="Heading2"/>
      </w:pPr>
      <w:r w:rsidRPr="0037429B">
        <w:rPr>
          <w:color w:val="E4322C"/>
        </w:rPr>
        <w:t>How people use this playbook</w:t>
      </w:r>
    </w:p>
    <w:p w14:paraId="26F68D34" w14:textId="7716BF3E" w:rsidR="79D84CC9" w:rsidRDefault="5EDE100A">
      <w:r>
        <w:t>Review Contract is demonstrated as comparing an open contract with a selected or provided playbook: locating clauses, grouping topics, flagging missing or nonstandard terms and proposing redlines. People verify the complete agreement, schedules and cross-references. A suggestion is legal-document assistance, not legal advice, an approved position or an enforceability conclusion.</w:t>
      </w:r>
    </w:p>
    <w:p w14:paraId="489F4C46" w14:textId="6C1D9E4D" w:rsidR="79D84CC9" w:rsidRDefault="5EDE100A">
      <w:r>
        <w:lastRenderedPageBreak/>
        <w:t xml:space="preserve">For each topic, record a clause reference and quotation, or that no operative clause was located after checking the full text. Distinguish adverse text from absence. Record the business </w:t>
      </w:r>
      <w:proofErr w:type="gramStart"/>
      <w:r>
        <w:t>consequence</w:t>
      </w:r>
      <w:proofErr w:type="gramEnd"/>
      <w:r>
        <w:t xml:space="preserve">, proposed wording, open evidence </w:t>
      </w:r>
      <w:proofErr w:type="gramStart"/>
      <w:r>
        <w:t>request</w:t>
      </w:r>
      <w:proofErr w:type="gramEnd"/>
      <w:r>
        <w:t xml:space="preserve"> and decision owner. A heading, general promise or insurance certificate is not an operative remedy.</w:t>
      </w:r>
    </w:p>
    <w:p w14:paraId="19ACDF1C" w14:textId="1DBFA9AD" w:rsidR="79D84CC9" w:rsidRDefault="79D84CC9">
      <w:r>
        <w:t>Mandatory means a protection that must be present unless the named exception owners expressly approve a departure. Preferred is the target negotiating position. An acceptable fallback is usable only within its stated conditions and approval route; silence does not authorize another fallback. Legal retains judgment. Procurement cannot self-approve nonstandard legal or financial risk. Green means the topic matches the stated control, not that the entire contract is approved or ready for execution.</w:t>
      </w:r>
    </w:p>
    <w:p w14:paraId="6EA79ACB" w14:textId="1D47C155" w:rsidR="79D84CC9" w:rsidRDefault="79D84CC9">
      <w:r>
        <w:t xml:space="preserve">Every role, threshold and deadline in PB01–PB16 is hypothetical. The role combinations </w:t>
      </w:r>
      <w:proofErr w:type="gramStart"/>
      <w:r>
        <w:t>identify</w:t>
      </w:r>
      <w:proofErr w:type="gramEnd"/>
      <w:r>
        <w:t xml:space="preserve"> joint review, not real CCI delegated authority. Keep technical releases, supplier checks and any required organizational approvals separate from document comparison. A complete review includes </w:t>
      </w:r>
      <w:proofErr w:type="gramStart"/>
      <w:r>
        <w:t>missing-clause</w:t>
      </w:r>
      <w:proofErr w:type="gramEnd"/>
      <w:r>
        <w:t xml:space="preserve"> checks and reconciles PB06, PB09 and PB10 so recoverability, caps and remedies work together.</w:t>
      </w:r>
    </w:p>
    <w:tbl>
      <w:tblPr>
        <w:tblStyle w:val="LightShading-Accent1"/>
        <w:tblW w:w="0" w:type="auto"/>
        <w:tblLook w:val="04A0" w:firstRow="1" w:lastRow="0" w:firstColumn="1" w:lastColumn="0" w:noHBand="0" w:noVBand="1"/>
      </w:tblPr>
      <w:tblGrid>
        <w:gridCol w:w="1700"/>
        <w:gridCol w:w="3650"/>
        <w:gridCol w:w="4010"/>
      </w:tblGrid>
      <w:tr w:rsidR="79D84CC9" w14:paraId="607FF921" w14:textId="77777777" w:rsidTr="4438D30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700" w:type="dxa"/>
          </w:tcPr>
          <w:p w14:paraId="697BBBA2" w14:textId="0C2F577F" w:rsidR="79D84CC9" w:rsidRDefault="79D84CC9">
            <w:r w:rsidRPr="79D84CC9">
              <w:rPr>
                <w:color w:val="1A1A1A" w:themeColor="text1"/>
              </w:rPr>
              <w:t>Review category</w:t>
            </w:r>
          </w:p>
        </w:tc>
        <w:tc>
          <w:tcPr>
            <w:tcW w:w="3650" w:type="dxa"/>
          </w:tcPr>
          <w:p w14:paraId="3FF5A6A6" w14:textId="050D3E43" w:rsidR="79D84CC9" w:rsidRDefault="79D84CC9">
            <w:pPr>
              <w:cnfStyle w:val="100000000000" w:firstRow="1" w:lastRow="0" w:firstColumn="0" w:lastColumn="0" w:oddVBand="0" w:evenVBand="0" w:oddHBand="0" w:evenHBand="0" w:firstRowFirstColumn="0" w:firstRowLastColumn="0" w:lastRowFirstColumn="0" w:lastRowLastColumn="0"/>
            </w:pPr>
            <w:r w:rsidRPr="79D84CC9">
              <w:rPr>
                <w:color w:val="1A1A1A" w:themeColor="text1"/>
              </w:rPr>
              <w:t>Business meaning</w:t>
            </w:r>
          </w:p>
        </w:tc>
        <w:tc>
          <w:tcPr>
            <w:tcW w:w="4010" w:type="dxa"/>
          </w:tcPr>
          <w:p w14:paraId="1883BAC1" w14:textId="7DEB2507" w:rsidR="79D84CC9" w:rsidRDefault="79D84CC9">
            <w:pPr>
              <w:cnfStyle w:val="100000000000" w:firstRow="1" w:lastRow="0" w:firstColumn="0" w:lastColumn="0" w:oddVBand="0" w:evenVBand="0" w:oddHBand="0" w:evenHBand="0" w:firstRowFirstColumn="0" w:firstRowLastColumn="0" w:lastRowFirstColumn="0" w:lastRowLastColumn="0"/>
            </w:pPr>
            <w:r w:rsidRPr="79D84CC9">
              <w:rPr>
                <w:color w:val="1A1A1A" w:themeColor="text1"/>
              </w:rPr>
              <w:t>Decision route</w:t>
            </w:r>
          </w:p>
        </w:tc>
      </w:tr>
      <w:tr w:rsidR="79D84CC9" w14:paraId="17B1BE41" w14:textId="77777777" w:rsidTr="4438D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2238174" w14:textId="1500857C" w:rsidR="79D84CC9" w:rsidRDefault="79D84CC9">
            <w:r w:rsidRPr="79D84CC9">
              <w:rPr>
                <w:color w:val="1A1A1A" w:themeColor="text1"/>
              </w:rPr>
              <w:t>High</w:t>
            </w:r>
          </w:p>
        </w:tc>
        <w:tc>
          <w:tcPr>
            <w:tcW w:w="3650" w:type="dxa"/>
          </w:tcPr>
          <w:p w14:paraId="7A962DF9" w14:textId="4353D860" w:rsidR="79D84CC9" w:rsidRDefault="60795CBB">
            <w:pPr>
              <w:cnfStyle w:val="000000100000" w:firstRow="0" w:lastRow="0" w:firstColumn="0" w:lastColumn="0" w:oddVBand="0" w:evenVBand="0" w:oddHBand="1" w:evenHBand="0" w:firstRowFirstColumn="0" w:firstRowLastColumn="0" w:lastRowFirstColumn="0" w:lastRowLastColumn="0"/>
            </w:pPr>
            <w:r w:rsidRPr="60795CBB">
              <w:rPr>
                <w:color w:val="1A1A1A" w:themeColor="text1"/>
              </w:rPr>
              <w:t>Material supply, safety or financial exposure</w:t>
            </w:r>
          </w:p>
        </w:tc>
        <w:tc>
          <w:tcPr>
            <w:tcW w:w="4010" w:type="dxa"/>
          </w:tcPr>
          <w:p w14:paraId="44210945" w14:textId="6EA9B888" w:rsidR="79D84CC9" w:rsidRDefault="60795CBB">
            <w:pPr>
              <w:cnfStyle w:val="000000100000" w:firstRow="0" w:lastRow="0" w:firstColumn="0" w:lastColumn="0" w:oddVBand="0" w:evenVBand="0" w:oddHBand="1" w:evenHBand="0" w:firstRowFirstColumn="0" w:firstRowLastColumn="0" w:lastRowFirstColumn="0" w:lastRowLastColumn="0"/>
            </w:pPr>
            <w:r w:rsidRPr="60795CBB">
              <w:rPr>
                <w:color w:val="1A1A1A" w:themeColor="text1"/>
              </w:rPr>
              <w:t>Hold the issue for the named joint owners</w:t>
            </w:r>
          </w:p>
        </w:tc>
      </w:tr>
      <w:tr w:rsidR="79D84CC9" w14:paraId="7A3FC644" w14:textId="77777777" w:rsidTr="4438D307">
        <w:tc>
          <w:tcPr>
            <w:cnfStyle w:val="001000000000" w:firstRow="0" w:lastRow="0" w:firstColumn="1" w:lastColumn="0" w:oddVBand="0" w:evenVBand="0" w:oddHBand="0" w:evenHBand="0" w:firstRowFirstColumn="0" w:firstRowLastColumn="0" w:lastRowFirstColumn="0" w:lastRowLastColumn="0"/>
            <w:tcW w:w="1700" w:type="dxa"/>
          </w:tcPr>
          <w:p w14:paraId="290EF4A3" w14:textId="1DD1B379" w:rsidR="79D84CC9" w:rsidRDefault="79D84CC9">
            <w:r w:rsidRPr="79D84CC9">
              <w:rPr>
                <w:color w:val="1A1A1A" w:themeColor="text1"/>
              </w:rPr>
              <w:t>Medium</w:t>
            </w:r>
          </w:p>
        </w:tc>
        <w:tc>
          <w:tcPr>
            <w:tcW w:w="3650" w:type="dxa"/>
          </w:tcPr>
          <w:p w14:paraId="345D56A5" w14:textId="7BA53F96" w:rsidR="79D84CC9" w:rsidRDefault="60795CBB">
            <w:pPr>
              <w:cnfStyle w:val="000000000000" w:firstRow="0" w:lastRow="0" w:firstColumn="0" w:lastColumn="0" w:oddVBand="0" w:evenVBand="0" w:oddHBand="0" w:evenHBand="0" w:firstRowFirstColumn="0" w:firstRowLastColumn="0" w:lastRowFirstColumn="0" w:lastRowLastColumn="0"/>
            </w:pPr>
            <w:r w:rsidRPr="60795CBB">
              <w:rPr>
                <w:color w:val="1A1A1A" w:themeColor="text1"/>
              </w:rPr>
              <w:t>Negotiable operating or process exposure</w:t>
            </w:r>
          </w:p>
        </w:tc>
        <w:tc>
          <w:tcPr>
            <w:tcW w:w="4010" w:type="dxa"/>
          </w:tcPr>
          <w:p w14:paraId="1C5F00B3" w14:textId="0F8D8101" w:rsidR="79D84CC9" w:rsidRDefault="671C536B">
            <w:pPr>
              <w:cnfStyle w:val="000000000000" w:firstRow="0" w:lastRow="0" w:firstColumn="0" w:lastColumn="0" w:oddVBand="0" w:evenVBand="0" w:oddHBand="0" w:evenHBand="0" w:firstRowFirstColumn="0" w:firstRowLastColumn="0" w:lastRowFirstColumn="0" w:lastRowLastColumn="0"/>
            </w:pPr>
            <w:r w:rsidRPr="4438D307">
              <w:rPr>
                <w:color w:val="1A1A1A" w:themeColor="text1"/>
              </w:rPr>
              <w:t>Obtain the specified exception approval</w:t>
            </w:r>
          </w:p>
        </w:tc>
      </w:tr>
      <w:tr w:rsidR="79D84CC9" w14:paraId="7A8FF828" w14:textId="77777777" w:rsidTr="4438D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F51DF98" w14:textId="3B20124D" w:rsidR="79D84CC9" w:rsidRDefault="60795CBB">
            <w:r w:rsidRPr="60795CBB">
              <w:rPr>
                <w:color w:val="1A1A1A" w:themeColor="text1"/>
              </w:rPr>
              <w:t>Green control</w:t>
            </w:r>
          </w:p>
        </w:tc>
        <w:tc>
          <w:tcPr>
            <w:tcW w:w="3650" w:type="dxa"/>
          </w:tcPr>
          <w:p w14:paraId="58BF88CE" w14:textId="064F41BC" w:rsidR="79D84CC9" w:rsidRDefault="60795CBB">
            <w:pPr>
              <w:cnfStyle w:val="000000100000" w:firstRow="0" w:lastRow="0" w:firstColumn="0" w:lastColumn="0" w:oddVBand="0" w:evenVBand="0" w:oddHBand="1" w:evenHBand="0" w:firstRowFirstColumn="0" w:firstRowLastColumn="0" w:lastRowFirstColumn="0" w:lastRowLastColumn="0"/>
            </w:pPr>
            <w:r w:rsidRPr="60795CBB">
              <w:rPr>
                <w:color w:val="1A1A1A" w:themeColor="text1"/>
              </w:rPr>
              <w:t>The topic meets the demo requirements</w:t>
            </w:r>
          </w:p>
        </w:tc>
        <w:tc>
          <w:tcPr>
            <w:tcW w:w="4010" w:type="dxa"/>
          </w:tcPr>
          <w:p w14:paraId="19331809" w14:textId="185EAEFE" w:rsidR="79D84CC9" w:rsidRDefault="671C536B">
            <w:pPr>
              <w:cnfStyle w:val="000000100000" w:firstRow="0" w:lastRow="0" w:firstColumn="0" w:lastColumn="0" w:oddVBand="0" w:evenVBand="0" w:oddHBand="1" w:evenHBand="0" w:firstRowFirstColumn="0" w:firstRowLastColumn="0" w:lastRowFirstColumn="0" w:lastRowLastColumn="0"/>
            </w:pPr>
            <w:r w:rsidRPr="4438D307">
              <w:rPr>
                <w:color w:val="1A1A1A" w:themeColor="text1"/>
              </w:rPr>
              <w:t>Confirm context; no automatic execution</w:t>
            </w:r>
          </w:p>
        </w:tc>
      </w:tr>
    </w:tbl>
    <w:p w14:paraId="642D1BE1" w14:textId="77777777" w:rsidR="00E26CFF" w:rsidRDefault="00E26CFF" w:rsidP="21938266">
      <w:pPr>
        <w:pStyle w:val="Heading1"/>
      </w:pPr>
      <w:r w:rsidRPr="0037429B">
        <w:rPr>
          <w:color w:val="E4322C"/>
        </w:rPr>
        <w:t>Commercial commitment and continuity</w:t>
      </w:r>
    </w:p>
    <w:p w14:paraId="3C192137" w14:textId="77777777" w:rsidR="00E26CFF" w:rsidRDefault="00E26CFF" w:rsidP="4438D307">
      <w:pPr>
        <w:pStyle w:val="Heading2"/>
      </w:pPr>
      <w:r w:rsidRPr="0037429B">
        <w:rPr>
          <w:color w:val="E4322C"/>
        </w:rPr>
        <w:t>PB01 Scope and forecasts</w:t>
      </w:r>
    </w:p>
    <w:p w14:paraId="56727C12" w14:textId="5AC18D52" w:rsidR="4438D307" w:rsidRDefault="2CE4A728">
      <w:r>
        <w:t>Priority: High. Evidence: Sections 1–2 and Schedule A. Fictional joint exception owners: Legal, Procurement and Finance.</w:t>
      </w:r>
    </w:p>
    <w:p w14:paraId="75EAB64D" w14:textId="5118E6D1" w:rsidR="4438D307" w:rsidRDefault="4438D307">
      <w:r>
        <w:t xml:space="preserve">Mandatory protection is </w:t>
      </w:r>
      <w:proofErr w:type="gramStart"/>
      <w:r>
        <w:t>a defined</w:t>
      </w:r>
      <w:proofErr w:type="gramEnd"/>
      <w:r>
        <w:t xml:space="preserve"> product scope, nonbinding forecasts and purchase obligations arising only from accepted written purchase orders. Preferred terms preserve the buyer’s right to use other suppliers without penalty. No standard fallback permits a minimum purchase, take-or-pay amount or exclusivity; each requires a documented joint exception with the quantity, term, economics and capacity justification identified. Accepted Orders must not be reduced unilaterally by the supplier.</w:t>
      </w:r>
    </w:p>
    <w:p w14:paraId="7F7E32C0" w14:textId="136AEE7B" w:rsidR="4438D307" w:rsidRDefault="4438D307">
      <w:r>
        <w:t xml:space="preserve">Sample preferred language: “Forecasts, including the estimated annual volume, are for planning only and create no minimum purchase or payment obligation. </w:t>
      </w:r>
      <w:proofErr w:type="gramStart"/>
      <w:r>
        <w:t>Buyer</w:t>
      </w:r>
      <w:proofErr w:type="gramEnd"/>
      <w:r>
        <w:t xml:space="preserve"> may source equivalent goods from other suppliers. Only an Order accepted in writing binds the parties as to quantity and delivery date. Neither party may reduce an accepted Order without the other’s written agreement.”</w:t>
      </w:r>
    </w:p>
    <w:p w14:paraId="36D096C9" w14:textId="2493238F" w:rsidR="4438D307" w:rsidRDefault="2CE4A728">
      <w:r>
        <w:lastRenderedPageBreak/>
        <w:t>Reconcile the annual estimate with any minimum, shortfall invoice or exclusivity promise. The consequence is paying for unused packaging while losing alternate sourcing. A favorable unit price does not cure a volume obligation.</w:t>
      </w:r>
    </w:p>
    <w:p w14:paraId="244DBB65" w14:textId="77777777" w:rsidR="00E26CFF" w:rsidRDefault="00E26CFF" w:rsidP="758B75B5">
      <w:pPr>
        <w:pStyle w:val="Heading2"/>
      </w:pPr>
      <w:r w:rsidRPr="0037429B">
        <w:rPr>
          <w:color w:val="E4322C"/>
        </w:rPr>
        <w:t>PB02 Prices and payment</w:t>
      </w:r>
    </w:p>
    <w:p w14:paraId="40128749" w14:textId="56D76A09" w:rsidR="758B75B5" w:rsidRDefault="60885BA0">
      <w:r>
        <w:t xml:space="preserve">Priority: </w:t>
      </w:r>
      <w:proofErr w:type="gramStart"/>
      <w:r>
        <w:t>High for</w:t>
      </w:r>
      <w:proofErr w:type="gramEnd"/>
      <w:r>
        <w:t xml:space="preserve"> price changes; Medium for payment. Evidence: Section 3, Orders and Schedule A. Fictional joint owners: Finance, Procurement and Legal.</w:t>
      </w:r>
    </w:p>
    <w:p w14:paraId="39A2074D" w14:textId="70CE35EB" w:rsidR="758B75B5" w:rsidRDefault="33D02E88">
      <w:r>
        <w:t>Mandatory terms prohibit unilateral repricing of accepted Orders and require signed consent for changes. Preferred price is fixed for the 12-month term. Acceptable fallback, with Finance, Procurement and Legal approval, is a documented input-index change with 60 days’ notice, capped at 5% once per year, prospective only, excluding accepted Orders and allowing Buyer to reject future orders without penalty. Preferred payment is 60 days after a valid invoice; approved fallback is 30 days. Shorter payment or another mechanism is a separate exception.</w:t>
      </w:r>
    </w:p>
    <w:p w14:paraId="6AC0FC4E" w14:textId="25CD108C" w:rsidR="758B75B5" w:rsidRDefault="758B75B5">
      <w:r>
        <w:t xml:space="preserve">Sample preferred language: “The </w:t>
      </w:r>
      <w:proofErr w:type="gramStart"/>
      <w:r>
        <w:t>EUR 0.24 unit</w:t>
      </w:r>
      <w:proofErr w:type="gramEnd"/>
      <w:r>
        <w:t xml:space="preserve"> price is fixed during the term. Any amendment requires a written agreement signed by both parties and applies only as expressly agreed. Buyer shall pay undisputed amounts within 60 days after receipt of a valid invoice identifying the relevant Order and delivery. A good-faith dispute does not delay payment of the undisputed balance.”</w:t>
      </w:r>
    </w:p>
    <w:p w14:paraId="6D86E5E1" w14:textId="77D81E98" w:rsidR="758B75B5" w:rsidRDefault="60885BA0">
      <w:r>
        <w:t>Check notice, index evidence, frequency, ceiling and accepted Orders separately. Repricing can erase the illustrative saving; short payment changes working capital. Price and payment require separate severity and approval decisions.</w:t>
      </w:r>
    </w:p>
    <w:p w14:paraId="1E7A641D" w14:textId="77777777" w:rsidR="00E26CFF" w:rsidRDefault="00E26CFF" w:rsidP="758B75B5">
      <w:pPr>
        <w:pStyle w:val="Heading2"/>
      </w:pPr>
      <w:r w:rsidRPr="0037429B">
        <w:rPr>
          <w:color w:val="E4322C"/>
        </w:rPr>
        <w:t>PB03 Delivery and supply continuity</w:t>
      </w:r>
    </w:p>
    <w:p w14:paraId="4B2E5737" w14:textId="747AC786" w:rsidR="758B75B5" w:rsidRDefault="60885BA0">
      <w:r>
        <w:t>Priority: High. Evidence: Sections 2, 4 and 9, and accepted Orders. Fictional joint owners: Supply Chain and Legal.</w:t>
      </w:r>
    </w:p>
    <w:p w14:paraId="70169912" w14:textId="6B4564B5" w:rsidR="758B75B5" w:rsidRDefault="758B75B5">
      <w:r>
        <w:t xml:space="preserve">Mandatory terms make accepted delivery dates binding, require notice of an actual or anticipated shortage within 24 hours of awareness and require a recovery plan within two business days. Preferred terms permit reasonable alternative supply and recovery of documented incremental cover costs attributable to supplier breach as direct costs under PB09. No standard fallback removes these protections. An operationally justified alternative requires the joint owners’ written </w:t>
      </w:r>
      <w:proofErr w:type="gramStart"/>
      <w:r>
        <w:t>exception</w:t>
      </w:r>
      <w:proofErr w:type="gramEnd"/>
      <w:r>
        <w:t xml:space="preserve"> and a credible capacity and recovery assessment.</w:t>
      </w:r>
    </w:p>
    <w:p w14:paraId="1B620747" w14:textId="2FD4B12A" w:rsidR="758B75B5" w:rsidRDefault="758B75B5">
      <w:r>
        <w:t>Sample preferred language: “Supplier shall meet accepted Order dates and quantities, notify Buyer of an actual or anticipated shortage within 24 hours of awareness, and provide a recovery plan within two business days. Where Supplier breaches an Order, Buyer may obtain reasonable alternative supply and recover documented reasonable incremental cover costs attributable to that breach as direct costs, subject to the applicable liability cap. Buyer shall reasonably mitigate such costs.”</w:t>
      </w:r>
    </w:p>
    <w:p w14:paraId="6BAD6F41" w14:textId="6BD53F68" w:rsidR="758B75B5" w:rsidRDefault="60885BA0">
      <w:r>
        <w:t>Check allocation discretion, indicative dates, notification triggers and overriding exclusions. The consequence is a peak-season packaging shortfall and customer-service exposure. Recovery must remain attributable, documented and nonduplicative.</w:t>
      </w:r>
    </w:p>
    <w:p w14:paraId="7875DA3F" w14:textId="77777777" w:rsidR="00E26CFF" w:rsidRDefault="00E26CFF" w:rsidP="21938266">
      <w:pPr>
        <w:pStyle w:val="Heading1"/>
      </w:pPr>
      <w:r w:rsidRPr="0037429B">
        <w:rPr>
          <w:color w:val="E4322C"/>
        </w:rPr>
        <w:lastRenderedPageBreak/>
        <w:t>Quality, safety and stewardship</w:t>
      </w:r>
    </w:p>
    <w:p w14:paraId="51643538" w14:textId="77777777" w:rsidR="00E26CFF" w:rsidRDefault="00E26CFF" w:rsidP="7B6F0158">
      <w:pPr>
        <w:pStyle w:val="Heading2"/>
      </w:pPr>
      <w:r w:rsidRPr="0037429B">
        <w:rPr>
          <w:color w:val="E4322C"/>
        </w:rPr>
        <w:t>PB04 Quality, change control and acceptance</w:t>
      </w:r>
    </w:p>
    <w:p w14:paraId="41659A1C" w14:textId="0CA22EC9" w:rsidR="7B6F0158" w:rsidRDefault="393CAAD1">
      <w:r>
        <w:t>Priority: High. Evidence: Section 5, Schedule A and Sections 6 and 9. Fictional joint owners: Quality Assurance (QA) and Legal.</w:t>
      </w:r>
    </w:p>
    <w:p w14:paraId="1B902EF9" w14:textId="006FA635" w:rsidR="7B6F0158" w:rsidRDefault="7B6F0158">
      <w:r>
        <w:t>Mandatory terms require buyer QA approval before any material, manufacturing-source or process change affecting the Goods. Preferred initial inspection is ten business days after delivery, with latent-defect claims surviving acceptance and use. Safety concerns are escalated immediately internally, with the supplier notification obligation specified in PB06. No standard fallback permits unilateral substitutions or extinguishes latent-defect rights; an alternative inspection process needs QA and Legal approval without losing those protections.</w:t>
      </w:r>
    </w:p>
    <w:p w14:paraId="1C5AE9CA" w14:textId="7375F4C5" w:rsidR="7B6F0158" w:rsidRDefault="7B6F0158">
      <w:r>
        <w:t xml:space="preserve">Sample preferred language: “Supplier shall obtain Buyer’s written QA approval before changing materials, manufacturing source or process. Buyer has ten business days after delivery for initial inspection. Acceptance, inspection, payment or use does not waive claims for latent defects or nonconformity not reasonably discoverable on initial inspection, nor the warranty and safety remedies. Approved drawings, traceability and food-contact documentation remain </w:t>
      </w:r>
      <w:proofErr w:type="gramStart"/>
      <w:r>
        <w:t>required.”</w:t>
      </w:r>
      <w:proofErr w:type="gramEnd"/>
    </w:p>
    <w:p w14:paraId="1ACC0D9B" w14:textId="119D60F6" w:rsidR="7B6F0158" w:rsidRDefault="393CAAD1">
      <w:r>
        <w:t>Find the operative approval right and reconcile rejection, acceptance and warranty. A short window can push undiscovered defects into production. Qualified technical personnel must validate actual specifications and food-contact evidence; this playbook certifies neither.</w:t>
      </w:r>
    </w:p>
    <w:p w14:paraId="5EE35781" w14:textId="77777777" w:rsidR="00E26CFF" w:rsidRDefault="00E26CFF" w:rsidP="7B6F0158">
      <w:pPr>
        <w:pStyle w:val="Heading2"/>
      </w:pPr>
      <w:r w:rsidRPr="0037429B">
        <w:rPr>
          <w:color w:val="E4322C"/>
        </w:rPr>
        <w:t>PB05 Warranty and remedies</w:t>
      </w:r>
    </w:p>
    <w:p w14:paraId="7B9E720B" w14:textId="7A22BE64" w:rsidR="7B6F0158" w:rsidRDefault="393CAAD1">
      <w:r>
        <w:t>Priority: High. Evidence: Sections 5–6 and 9. Fictional joint owners: QA and Legal.</w:t>
      </w:r>
    </w:p>
    <w:p w14:paraId="70A2807A" w14:textId="1B1C91FA" w:rsidR="7B6F0158" w:rsidRDefault="7B6F0158">
      <w:r>
        <w:t>Mandatory terms preserve effective remedies for defective Goods and do not make replacement the exclusive response to urgent continuity or recall needs. Preferred warranty is 12 months from delivery with a reasonable buyer election of repair, replacement or refund. A six-month warranty is the acceptable fallback only with QA and Legal approval. Shorter duration, a remedy entirely controlled by the supplier or an exclusive replacement obligation is outside the standard fallback.</w:t>
      </w:r>
    </w:p>
    <w:p w14:paraId="1F0EBBDA" w14:textId="1FD9A3D3" w:rsidR="7B6F0158" w:rsidRDefault="7B6F0158">
      <w:r>
        <w:t>Sample preferred language: “Supplier warrants that Goods conform to the approved specification and are free from defects for 12 months from delivery. For a substantiated defect, Buyer may reasonably elect prompt repair, replacement or refund, taking account of operational urgency. These remedies do not restrict the alternative-supply and safety remedies expressly provided in this Agreement, subject to the applicable liability provisions and no double recovery.”</w:t>
      </w:r>
    </w:p>
    <w:p w14:paraId="1F638DE5" w14:textId="3743BC0B" w:rsidR="7B6F0158" w:rsidRDefault="0B5895E8">
      <w:r>
        <w:t>Check the start date, claim notice, remedy election and latent-defect rights. Slow exclusive replacement may leave the buyer funding urgent substitute stock. Reconcile warranty with safety costs and caps.</w:t>
      </w:r>
    </w:p>
    <w:p w14:paraId="42B7C692" w14:textId="77777777" w:rsidR="00E26CFF" w:rsidRDefault="00E26CFF" w:rsidP="63008F08">
      <w:pPr>
        <w:pStyle w:val="Heading2"/>
      </w:pPr>
      <w:r w:rsidRPr="0037429B">
        <w:rPr>
          <w:color w:val="E4322C"/>
        </w:rPr>
        <w:t>PB06 Product safety and recall</w:t>
      </w:r>
    </w:p>
    <w:p w14:paraId="2A6DC615" w14:textId="5D480A51" w:rsidR="63008F08" w:rsidRDefault="596C99FE">
      <w:r>
        <w:t>Priority: High; missing-clause check. Evidence: the full agreement, especially Sections 5–6 and 9, and Schedule A. Fictional joint owners: QA, Legal and Supply Chain.</w:t>
      </w:r>
    </w:p>
    <w:p w14:paraId="65E24A60" w14:textId="14D5EAC5" w:rsidR="63008F08" w:rsidRDefault="63008F08">
      <w:r>
        <w:lastRenderedPageBreak/>
        <w:t>Mandatory terms require notice within 24 hours after awareness of a suspected product-safety incident affecting the Goods, cooperation, lot traceability and corrective action. Preferred terms expressly recover attributable, documented reasonable recall, withdrawal, testing and destruction costs as direct costs, subject to the applicable PB09 cap. No standard fallback removes notification or cooperation. Any narrower cost allocation requires joint exception approval, without implying automatic supplier responsibility for buyer-caused losses.</w:t>
      </w:r>
    </w:p>
    <w:p w14:paraId="5E63B6CB" w14:textId="1C3A41B9" w:rsidR="63008F08" w:rsidRDefault="596C99FE">
      <w:r>
        <w:t>Sample addition: “Supplier shall notify Buyer within 24 hours after becoming aware of a suspected safety incident affecting the Goods, preserve traceability records and cooperate promptly in containment, investigation and corrective action. Supplier shall reimburse documented reasonable recall, withdrawal, testing and destruction costs to the extent attributable to defective Goods or Supplier’s breach, reduced to reflect Buyer’s or another claimant’s contributing fault. These are recoverable direct costs subject to the safety super-cap specified in the liability clause, without double recovery.”</w:t>
      </w:r>
    </w:p>
    <w:p w14:paraId="7FD7CF52" w14:textId="7F203FCF" w:rsidR="63008F08" w:rsidRDefault="596C99FE">
      <w:r>
        <w:t>Find an express trigger, deadline and response duty; traceability alone is insufficient. Check cost exclusions and PB10 third-party claims. The consequence is delayed containment and uncertain withdrawal funding. Local counsel and QA validate real-use requirements.</w:t>
      </w:r>
    </w:p>
    <w:p w14:paraId="2347785B" w14:textId="77777777" w:rsidR="00E26CFF" w:rsidRDefault="00E26CFF" w:rsidP="63008F08">
      <w:pPr>
        <w:pStyle w:val="Heading2"/>
      </w:pPr>
      <w:r w:rsidRPr="0037429B">
        <w:rPr>
          <w:color w:val="E4322C"/>
        </w:rPr>
        <w:t>PB07 Confidentiality</w:t>
      </w:r>
    </w:p>
    <w:p w14:paraId="62F85FB7" w14:textId="24BC09E2" w:rsidR="63008F08" w:rsidRDefault="596C99FE">
      <w:r>
        <w:t xml:space="preserve">Priority: Green control if all requirements match. Evidence: Section 7 and </w:t>
      </w:r>
      <w:proofErr w:type="gramStart"/>
      <w:r>
        <w:t>disclosure</w:t>
      </w:r>
      <w:proofErr w:type="gramEnd"/>
      <w:r>
        <w:t xml:space="preserve"> rights elsewhere. Fictional owner: Legal.</w:t>
      </w:r>
    </w:p>
    <w:p w14:paraId="4B1CF2BC" w14:textId="60212183" w:rsidR="63008F08" w:rsidRDefault="63008F08">
      <w:r>
        <w:t>Mandatory and preferred terms are mutual protection of marked information and information reasonably understood to be confidential, purpose-limited use, need-to-know recipients under equivalent duties and reasonable care. Customary exceptions cover public information, lawful prior knowledge, independent development and lawful unrestricted third-party receipt. Compelled disclosure is limited to what is required, with lawful advance notice and assistance. Duties survive five years; trade secrets remain protected while secret. Return or destruction may allow legally required and inaccessible backup retention under continuing protection. No broader fallback is automatic; deviations require Legal approval.</w:t>
      </w:r>
    </w:p>
    <w:p w14:paraId="48339D60" w14:textId="19612A32" w:rsidR="63008F08" w:rsidRDefault="63008F08">
      <w:r>
        <w:t xml:space="preserve">Sample preferred language: “Each party shall protect information marked confidential or reasonably understood to be confidential, use it only for this Agreement and disclose it only on a protected need-to-know basis. Customary lawful exceptions apply. Required disclosure shall be limited, with advance notice </w:t>
      </w:r>
      <w:proofErr w:type="gramStart"/>
      <w:r>
        <w:t>where</w:t>
      </w:r>
      <w:proofErr w:type="gramEnd"/>
      <w:r>
        <w:t xml:space="preserve"> lawful. On request, information shall be returned or destroyed, subject to protected legal and backup retention. Duties survive five years, and trade-secret protection continues while the information remains </w:t>
      </w:r>
      <w:proofErr w:type="gramStart"/>
      <w:r>
        <w:t>secret.”</w:t>
      </w:r>
      <w:proofErr w:type="gramEnd"/>
    </w:p>
    <w:p w14:paraId="550A02ED" w14:textId="66A51BBB" w:rsidR="63008F08" w:rsidRDefault="596C99FE">
      <w:r>
        <w:t xml:space="preserve">Verify mutual duties, definition, exceptions, lawful disclosure and survival together. Record a match without inventing a </w:t>
      </w:r>
      <w:proofErr w:type="gramStart"/>
      <w:r>
        <w:t>redline</w:t>
      </w:r>
      <w:proofErr w:type="gramEnd"/>
      <w:r>
        <w:t>. Green is a topic-level control, not approval of the agreement.</w:t>
      </w:r>
    </w:p>
    <w:p w14:paraId="3265C20E" w14:textId="77777777" w:rsidR="00E26CFF" w:rsidRDefault="00E26CFF" w:rsidP="63008F08">
      <w:pPr>
        <w:pStyle w:val="Heading2"/>
      </w:pPr>
      <w:r w:rsidRPr="0037429B">
        <w:rPr>
          <w:color w:val="E4322C"/>
        </w:rPr>
        <w:t>PB08 Intellectual property and tooling</w:t>
      </w:r>
    </w:p>
    <w:p w14:paraId="45219FD9" w14:textId="6095E3AF" w:rsidR="071DA1FA" w:rsidRDefault="38ECF048">
      <w:r>
        <w:t>Priority: Green control if all requirements match. Evidence: Section 8 and publicity or retention terms elsewhere. Fictional owner: Legal; Procurement confirms custody.</w:t>
      </w:r>
    </w:p>
    <w:p w14:paraId="3729A3A7" w14:textId="498188C6" w:rsidR="071DA1FA" w:rsidRDefault="071DA1FA">
      <w:r>
        <w:lastRenderedPageBreak/>
        <w:t xml:space="preserve">Mandatory and preferred terms preserve buyer ownership of supplied marks, artwork, drawings and tooling, restrict supplier use to </w:t>
      </w:r>
      <w:proofErr w:type="gramStart"/>
      <w:r>
        <w:t>performing</w:t>
      </w:r>
      <w:proofErr w:type="gramEnd"/>
      <w:r>
        <w:t xml:space="preserve"> buyer Orders and prohibit publicity without prior consent. Tooling must be identified, protected and returnable on request or expiry, without a supplier </w:t>
      </w:r>
      <w:proofErr w:type="gramStart"/>
      <w:r>
        <w:t>lien</w:t>
      </w:r>
      <w:proofErr w:type="gramEnd"/>
      <w:r>
        <w:t xml:space="preserve">. Supplier background know-how may remain </w:t>
      </w:r>
      <w:proofErr w:type="gramStart"/>
      <w:r>
        <w:t>supplier-owned</w:t>
      </w:r>
      <w:proofErr w:type="gramEnd"/>
      <w:r>
        <w:t>. An acceptable fallback may adjust return logistics, with Legal approval, but cannot transfer ownership or permit unauthorized use or publicity.</w:t>
      </w:r>
    </w:p>
    <w:p w14:paraId="483D1F91" w14:textId="59091C36" w:rsidR="071DA1FA" w:rsidRDefault="071DA1FA">
      <w:r>
        <w:t xml:space="preserve">Sample preferred language: “Buyer retains ownership of its supplied marks, artwork, drawings and tooling. </w:t>
      </w:r>
      <w:proofErr w:type="gramStart"/>
      <w:r>
        <w:t>Supplier</w:t>
      </w:r>
      <w:proofErr w:type="gramEnd"/>
      <w:r>
        <w:t xml:space="preserve"> may use them only to perform Buyer’s Orders, shall protect and identify Buyer-owned tooling and shall return it on request or expiry without asserting a </w:t>
      </w:r>
      <w:proofErr w:type="gramStart"/>
      <w:r>
        <w:t>lien</w:t>
      </w:r>
      <w:proofErr w:type="gramEnd"/>
      <w:r>
        <w:t xml:space="preserve">. </w:t>
      </w:r>
      <w:proofErr w:type="gramStart"/>
      <w:r>
        <w:t>Supplier</w:t>
      </w:r>
      <w:proofErr w:type="gramEnd"/>
      <w:r>
        <w:t xml:space="preserve"> shall not use Buyer’s name or marks in publicity or customer references without prior written consent. Supplier retains its pre-existing general manufacturing know-how.”</w:t>
      </w:r>
    </w:p>
    <w:p w14:paraId="12625A5B" w14:textId="24F38481" w:rsidR="071DA1FA" w:rsidRDefault="38ECF048">
      <w:r>
        <w:t>Verify ownership, permitted use, return and consent. Ordinary supplier background-IP retention is not automatically a defect. A gap risks asset control or unauthorized association; a matched control is not blanket approval.</w:t>
      </w:r>
    </w:p>
    <w:p w14:paraId="3C48F2A8" w14:textId="77777777" w:rsidR="00E26CFF" w:rsidRDefault="00E26CFF" w:rsidP="21938266">
      <w:pPr>
        <w:pStyle w:val="Heading1"/>
      </w:pPr>
      <w:r w:rsidRPr="0037429B">
        <w:rPr>
          <w:color w:val="E4322C"/>
        </w:rPr>
        <w:t>Allocation of risk and exit resilience</w:t>
      </w:r>
    </w:p>
    <w:p w14:paraId="6E8946F2" w14:textId="77777777" w:rsidR="00E26CFF" w:rsidRDefault="00E26CFF" w:rsidP="071DA1FA">
      <w:pPr>
        <w:pStyle w:val="Heading2"/>
      </w:pPr>
      <w:r w:rsidRPr="0037429B">
        <w:rPr>
          <w:color w:val="E4322C"/>
        </w:rPr>
        <w:t>PB09 Liability and recoverable costs</w:t>
      </w:r>
    </w:p>
    <w:p w14:paraId="2FF9BCC8" w14:textId="2E95EBA0" w:rsidR="071DA1FA" w:rsidRDefault="38ECF048">
      <w:r>
        <w:t>Priority: High. Evidence: Section 9 and exclusive remedies or exclusions in Sections 4 and 6. Fictional joint owners: Legal and Finance.</w:t>
      </w:r>
    </w:p>
    <w:p w14:paraId="63769256" w14:textId="43693FEB" w:rsidR="071DA1FA" w:rsidRDefault="071DA1FA">
      <w:r>
        <w:t>Mandatory terms preserve expressly recoverable direct continuity and recall costs and specify meaningful aggregate caps. Preferred base cap is the greater of 100% of fees paid or payable in the preceding 12 months and estimated annual agreement value, giving this demo a EUR 2,400,000 floor. A separate safety, recall and indemnity super-cap is twice estimated annual value, EUR 4,800,000, not annual fees counted twice. The base fallback is at least EUR 1,000,000 with Legal and Finance signoff. Any uncapped position or alternative super-cap also requires their approval.</w:t>
      </w:r>
    </w:p>
    <w:p w14:paraId="31ECD06D" w14:textId="200448A2" w:rsidR="071DA1FA" w:rsidRDefault="071DA1FA">
      <w:r>
        <w:t xml:space="preserve">Sample preferred language: “Supplier’s base aggregate liability is capped at the greater of 100% of fees paid or payable under this Agreement in the 12 months preceding the event giving rise to the claim and EUR 2,400,000. Safety, recall and indemnity claims are subject instead to a separate aggregate cap of EUR 4,800,000. Each cap is a single agreement-term bucket; related claims aggregate in the applicable </w:t>
      </w:r>
      <w:proofErr w:type="gramStart"/>
      <w:r>
        <w:t>bucket</w:t>
      </w:r>
      <w:proofErr w:type="gramEnd"/>
      <w:r>
        <w:t xml:space="preserve"> and no claim is counted in both. Fraud, willful misconduct and liabilities that cannot lawfully be limited are outside both caps.”</w:t>
      </w:r>
    </w:p>
    <w:p w14:paraId="2429B930" w14:textId="4EB27583" w:rsidR="071DA1FA" w:rsidRDefault="071DA1FA">
      <w:r>
        <w:t xml:space="preserve">Sample coordinating addition: “An exclusion of indirect or consequential loss does not exclude the documented reasonable incremental cover costs or recall, withdrawal, testing and destruction costs expressly recoverable as direct costs under this Agreement. Recovery is limited to attributable loss after reasonable mitigation and allocation of contributing </w:t>
      </w:r>
      <w:proofErr w:type="gramStart"/>
      <w:r>
        <w:t>fault</w:t>
      </w:r>
      <w:proofErr w:type="gramEnd"/>
      <w:r>
        <w:t xml:space="preserve">. There shall be no double recovery for the same loss under a warranty, reimbursement, indemnity, insurance recovery or other </w:t>
      </w:r>
      <w:proofErr w:type="gramStart"/>
      <w:r>
        <w:t>remedy.”</w:t>
      </w:r>
      <w:proofErr w:type="gramEnd"/>
    </w:p>
    <w:p w14:paraId="5EE90AB9" w14:textId="5FCEBF62" w:rsidR="071DA1FA" w:rsidRDefault="1636F381">
      <w:r>
        <w:lastRenderedPageBreak/>
        <w:t>Local counsel checks aggregation, mandatory-law limits and gross negligence. Reconcile PB06 and PB10 with the floor and cap period. A broad exclusion can defeat a higher cap; insurance does not prove recoverability.</w:t>
      </w:r>
    </w:p>
    <w:p w14:paraId="23B8C583" w14:textId="77777777" w:rsidR="00E26CFF" w:rsidRDefault="00E26CFF" w:rsidP="0F0A7D93">
      <w:pPr>
        <w:pStyle w:val="Heading2"/>
      </w:pPr>
      <w:r w:rsidRPr="0037429B">
        <w:rPr>
          <w:color w:val="E4322C"/>
        </w:rPr>
        <w:t>PB10 Supplier indemnity</w:t>
      </w:r>
    </w:p>
    <w:p w14:paraId="428DA482" w14:textId="578D3C70" w:rsidR="0F0A7D93" w:rsidRDefault="1E73185B">
      <w:r>
        <w:t xml:space="preserve">Priority: High; missing-clause check. Evidence: the full agreement, especially Sections 6, 8–9 and 14. Fictional joint owners: Legal and Finance. Direct recall costs </w:t>
      </w:r>
      <w:proofErr w:type="gramStart"/>
      <w:r>
        <w:t>belong</w:t>
      </w:r>
      <w:proofErr w:type="gramEnd"/>
      <w:r>
        <w:t xml:space="preserve"> under PB06.</w:t>
      </w:r>
    </w:p>
    <w:p w14:paraId="6BF5FD9B" w14:textId="6785B1FA" w:rsidR="0F0A7D93" w:rsidRDefault="0F0A7D93">
      <w:r>
        <w:t>Mandatory protection is a proportionate supplier indemnity for third-party bodily injury or property damage from defective supplied Goods, supplier IP infringement and supplier legal breaches. Preferred terms include prompt claim notice, reasonable defense control, buyer participation and settlement consent protections. The indemnity uses PB09’s separate super-cap and lawful exclusions, not a second recovery for the same loss. No standard fallback accepts omission; narrower scope or an alternative cap needs a documented Legal and Finance exception.</w:t>
      </w:r>
    </w:p>
    <w:p w14:paraId="790D4A5D" w14:textId="43549A2D" w:rsidR="0F0A7D93" w:rsidRDefault="0F0A7D93">
      <w:r>
        <w:t xml:space="preserve">Sample addition: “Supplier shall indemnify Buyer for third-party claims and reasonable defense costs to the extent caused by defective Goods causing bodily injury or property damage, Supplier’s infringement of third-party IP, or Supplier’s breach of applicable law. Liability shall be reduced for the contributing fault of Buyer or the claimant. </w:t>
      </w:r>
      <w:proofErr w:type="gramStart"/>
      <w:r>
        <w:t>Buyer</w:t>
      </w:r>
      <w:proofErr w:type="gramEnd"/>
      <w:r>
        <w:t xml:space="preserve"> shall give prompt notice, with delayed notice affecting recovery only to the extent Supplier is prejudiced. Supplier may control the defense with competent counsel; Buyer may participate. No settlement may admit Buyer’s fault or impose obligations on Buyer without </w:t>
      </w:r>
      <w:proofErr w:type="gramStart"/>
      <w:r>
        <w:t>its</w:t>
      </w:r>
      <w:proofErr w:type="gramEnd"/>
      <w:r>
        <w:t xml:space="preserve"> consent, not unreasonably withheld. The liability clause’s indemnity super-cap and lawful exclusions apply; duplicate recovery is prohibited.”</w:t>
      </w:r>
    </w:p>
    <w:p w14:paraId="364A2A54" w14:textId="56940792" w:rsidR="0F0A7D93" w:rsidRDefault="1E73185B">
      <w:r>
        <w:t>Find an operative indemnity, not just ownership, warranty or insurance. Check claim scope, defense and settlement against the cap. Omission leaves third-party exposure uncertain; local counsel adapts real-use allocation.</w:t>
      </w:r>
    </w:p>
    <w:p w14:paraId="232D9E27" w14:textId="77777777" w:rsidR="00E26CFF" w:rsidRDefault="00E26CFF" w:rsidP="0F0A7D93">
      <w:pPr>
        <w:pStyle w:val="Heading2"/>
      </w:pPr>
      <w:r w:rsidRPr="0037429B">
        <w:rPr>
          <w:color w:val="E4322C"/>
        </w:rPr>
        <w:t>PB11 Insurance</w:t>
      </w:r>
    </w:p>
    <w:p w14:paraId="74D8C7DF" w14:textId="746249ED" w:rsidR="0F0A7D93" w:rsidRDefault="1E73185B">
      <w:r>
        <w:t>Priority: Medium. Evidence: Section 10, certificates and policy information. Fictional joint owners: Legal and Finance.</w:t>
      </w:r>
    </w:p>
    <w:p w14:paraId="4A231450" w14:textId="5F50A054" w:rsidR="0F0A7D93" w:rsidRDefault="0F0A7D93">
      <w:r>
        <w:t>Mandatory terms require appropriate public and products liability insurance and annual evidence. Preferred limit is EUR 5,000,000 per occurrence during the term. The acceptable fallback is EUR 2,000,000 per occurrence with Legal and Finance approval; a lower limit or certificate-on-request-only arrangement is outside that fallback. Verification must consider policy scope, exclusions, period, insurer and any aggregate limit rather than treating the stated occurrence limit as guaranteed recovery.</w:t>
      </w:r>
    </w:p>
    <w:p w14:paraId="2C02C93E" w14:textId="4A20C3EC" w:rsidR="0F0A7D93" w:rsidRDefault="0F0A7D93">
      <w:r>
        <w:t xml:space="preserve">Sample preferred language: “Supplier shall maintain public and products liability insurance of at least EUR 5,000,000 per occurrence during the term and provide certificates at commencement and annually, with reasonable supporting coverage information on request. Insurance does not limit Supplier’s contractual obligations or represent that any specific claim is covered. Supplier shall advise Buyer of cancellation or a material reduction in required cover promptly after </w:t>
      </w:r>
      <w:proofErr w:type="gramStart"/>
      <w:r>
        <w:t>awareness.”</w:t>
      </w:r>
      <w:proofErr w:type="gramEnd"/>
    </w:p>
    <w:p w14:paraId="402EA81A" w14:textId="4FA53DEF" w:rsidR="0F0A7D93" w:rsidRDefault="021FB19B">
      <w:r>
        <w:lastRenderedPageBreak/>
        <w:t>Treat certificates as evidence requests until checked. Inadequate cover can leave the supplier unable to fund recourse. The insurance limit is not the contractual damages cap.</w:t>
      </w:r>
    </w:p>
    <w:p w14:paraId="79A4DC12" w14:textId="77777777" w:rsidR="00E26CFF" w:rsidRDefault="00E26CFF" w:rsidP="3768058B">
      <w:pPr>
        <w:pStyle w:val="Heading2"/>
      </w:pPr>
      <w:r w:rsidRPr="0037429B">
        <w:rPr>
          <w:color w:val="E4322C"/>
        </w:rPr>
        <w:t>PB12 Termination and transition</w:t>
      </w:r>
    </w:p>
    <w:p w14:paraId="5AE4FCFB" w14:textId="49BA9BCC" w:rsidR="3768058B" w:rsidRDefault="01A34DB0">
      <w:r>
        <w:t xml:space="preserve">Priority: High. Evidence: Section 11 and Sections 2 and 8. Fictional joint owners: Legal and Supply Chain; Procurement coordinates </w:t>
      </w:r>
      <w:proofErr w:type="gramStart"/>
      <w:r>
        <w:t>exit</w:t>
      </w:r>
      <w:proofErr w:type="gramEnd"/>
      <w:r>
        <w:t>.</w:t>
      </w:r>
    </w:p>
    <w:p w14:paraId="4152CBC2" w14:textId="7B125968" w:rsidR="3768058B" w:rsidRDefault="3768058B">
      <w:r>
        <w:t xml:space="preserve">Mandatory terms preserve </w:t>
      </w:r>
      <w:proofErr w:type="gramStart"/>
      <w:r>
        <w:t>a workable</w:t>
      </w:r>
      <w:proofErr w:type="gramEnd"/>
      <w:r>
        <w:t xml:space="preserve"> buyer exit and urgent safety protection. Preferred positions are buyer convenience termination on 30 days’ notice, a 30-day cure for remediable material breach, immediate safety suspension and termination for serious or nonremediable compliance breaches. Supplier convenience notice is at least 90 days. Supplier provides 60 days of reasonable transition support at existing prices. No standard fallback shortens supplier notice, removes transition or lengthens cure; any alternative requires joint approval of a documented continuity plan.</w:t>
      </w:r>
    </w:p>
    <w:p w14:paraId="5A76D413" w14:textId="2BE32580" w:rsidR="3768058B" w:rsidRDefault="3768058B">
      <w:r>
        <w:t xml:space="preserve">Sample preferred language: “Buyer may terminate for convenience on 30 days’ notice or for material breach not cured within 30 days after notice. </w:t>
      </w:r>
      <w:proofErr w:type="gramStart"/>
      <w:r>
        <w:t>Buyer</w:t>
      </w:r>
      <w:proofErr w:type="gramEnd"/>
      <w:r>
        <w:t xml:space="preserve"> may immediately suspend affected supply for safety concerns and </w:t>
      </w:r>
      <w:proofErr w:type="gramStart"/>
      <w:r>
        <w:t>terminate for</w:t>
      </w:r>
      <w:proofErr w:type="gramEnd"/>
      <w:r>
        <w:t xml:space="preserve"> serious or </w:t>
      </w:r>
      <w:proofErr w:type="gramStart"/>
      <w:r>
        <w:t>nonremediable</w:t>
      </w:r>
      <w:proofErr w:type="gramEnd"/>
      <w:r>
        <w:t xml:space="preserve"> compliance breach. Supplier may terminate for convenience only on at least 90 days’ notice. For 60 days after notice or expiry, Supplier shall provide reasonable transition assistance and continue agreed transitional supply at existing prices, subject to safe and lawful performance.”</w:t>
      </w:r>
    </w:p>
    <w:p w14:paraId="20D61D83" w14:textId="5DA8766B" w:rsidR="3768058B" w:rsidRDefault="01A34DB0">
      <w:r>
        <w:t xml:space="preserve">Review Order survival, payment, tooling and transition together. A short supplier exit can </w:t>
      </w:r>
      <w:proofErr w:type="gramStart"/>
      <w:r>
        <w:t>strand</w:t>
      </w:r>
      <w:proofErr w:type="gramEnd"/>
      <w:r>
        <w:t xml:space="preserve"> production. Transition cannot compel unsafe supply; reconcile exit shortfalls with PB01.</w:t>
      </w:r>
    </w:p>
    <w:p w14:paraId="60E2209B" w14:textId="77777777" w:rsidR="00E26CFF" w:rsidRDefault="00E26CFF" w:rsidP="3768058B">
      <w:pPr>
        <w:pStyle w:val="Heading2"/>
      </w:pPr>
      <w:r w:rsidRPr="0037429B">
        <w:rPr>
          <w:color w:val="E4322C"/>
        </w:rPr>
        <w:t>PB13 Force majeure</w:t>
      </w:r>
    </w:p>
    <w:p w14:paraId="342D09BC" w14:textId="34931D3E" w:rsidR="3768058B" w:rsidRDefault="01A34DB0">
      <w:r>
        <w:t>Priority: High. Evidence: Section 12, delivery and termination terms. Fictional joint owners: Legal and Supply Chain.</w:t>
      </w:r>
    </w:p>
    <w:p w14:paraId="26412098" w14:textId="77806D9D" w:rsidR="3768058B" w:rsidRDefault="3768058B">
      <w:r>
        <w:t xml:space="preserve">Mandatory terms limit relief to unavoidable events outside reasonable control, require prompt notice, mitigation and reasonable restoration efforts, and preserve buyer termination after 30 days of material interruption. Preferred terms expressly exclude mere cost increases and ordinary manageable raw-material or avoidable labor shortages. No standard fallback permits open-ended suspension without mitigation or a </w:t>
      </w:r>
      <w:proofErr w:type="gramStart"/>
      <w:r>
        <w:t>long-stop</w:t>
      </w:r>
      <w:proofErr w:type="gramEnd"/>
      <w:r>
        <w:t xml:space="preserve"> exit. Any alternative definition or long-stop period requires joint approval against the operational exposure.</w:t>
      </w:r>
    </w:p>
    <w:p w14:paraId="5C92A008" w14:textId="702D336D" w:rsidR="3768058B" w:rsidRDefault="3768058B">
      <w:r>
        <w:t>Sample preferred language: “A party is excused only to the extent an unavoidable event outside its reasonable control prevents performance despite reasonable precautions. It shall promptly notify the other party, describe the impact and take reasonable mitigation and restoration steps. Mere cost increases, ordinary manageable shortages and avoidable staffing shortages are not qualifying events. Buyer may terminate affected Orders or this Agreement after 30 days of material interruption, without penalty for undelivered quantities.”</w:t>
      </w:r>
    </w:p>
    <w:p w14:paraId="130335D2" w14:textId="1ECD87B3" w:rsidR="3768058B" w:rsidRDefault="01A34DB0">
      <w:r>
        <w:lastRenderedPageBreak/>
        <w:t>Check event definition, causation, notice, mitigation and exit separately. Broad relief can make ordinary shortages indefinite while payment continues. Local counsel validates actual-law interaction.</w:t>
      </w:r>
    </w:p>
    <w:p w14:paraId="1918929B" w14:textId="77777777" w:rsidR="00E26CFF" w:rsidRDefault="00E26CFF" w:rsidP="21938266">
      <w:pPr>
        <w:pStyle w:val="Heading1"/>
      </w:pPr>
      <w:r w:rsidRPr="0037429B">
        <w:rPr>
          <w:color w:val="E4322C"/>
        </w:rPr>
        <w:t>Governance, responsible sourcing and forum</w:t>
      </w:r>
    </w:p>
    <w:p w14:paraId="6139C6CC" w14:textId="77777777" w:rsidR="00E26CFF" w:rsidRDefault="00E26CFF" w:rsidP="29E22F0F">
      <w:pPr>
        <w:pStyle w:val="Heading2"/>
      </w:pPr>
      <w:r w:rsidRPr="0037429B">
        <w:rPr>
          <w:color w:val="E4322C"/>
        </w:rPr>
        <w:t>PB14 Assignment and subcontracting</w:t>
      </w:r>
    </w:p>
    <w:p w14:paraId="696609E8" w14:textId="3199A79B" w:rsidR="29E22F0F" w:rsidRDefault="22A5F032">
      <w:r>
        <w:t>Priority: Medium. Evidence: Section 13 and change/compliance terms. Fictional joint owners: Legal and Procurement; QA and Supply Chain advise on affected operations.</w:t>
      </w:r>
    </w:p>
    <w:p w14:paraId="3736C564" w14:textId="75690BEC" w:rsidR="29E22F0F" w:rsidRDefault="29E22F0F">
      <w:r>
        <w:t>Mandatory terms require prior buyer consent for assignment or material subcontracting and keep the supplier accountable for subcontractors. Preferred wording prohibits a transfer that reduces performance or recourse. The acceptable fallback permits assignment to an affiliate without diminished performance, with notice and continuing accountability as agreed by Legal. It does not permit unrestricted onward transfer or a disclaimer of subcontractor conduct. Other exceptions require Legal and Procurement approval.</w:t>
      </w:r>
    </w:p>
    <w:p w14:paraId="5476216A" w14:textId="54006037" w:rsidR="29E22F0F" w:rsidRDefault="29E22F0F">
      <w:r>
        <w:t>Sample preferred language: “Supplier shall not assign this Agreement or materially subcontract its performance without Buyer’s prior written consent, except a permitted affiliate assignment notified to Buyer that does not diminish performance or Buyer’s rights. Supplier remains responsible for subcontractors’ acts, omissions, quality and compliance as for its own. Consent does not waive specification, change-control or responsible-sourcing obligations.”</w:t>
      </w:r>
    </w:p>
    <w:p w14:paraId="438F7EAB" w14:textId="6DFA5537" w:rsidR="29E22F0F" w:rsidRDefault="22A5F032">
      <w:r>
        <w:t>Check transfer consent and continuing responsibility independently. A disclaimer defeats accountability and can shift manufacturing or recourse to an unfamiliar entity. Bound the affiliate exception without bypassing QA.</w:t>
      </w:r>
    </w:p>
    <w:p w14:paraId="12CF7939" w14:textId="77777777" w:rsidR="00E26CFF" w:rsidRDefault="00E26CFF" w:rsidP="29E22F0F">
      <w:pPr>
        <w:pStyle w:val="Heading2"/>
      </w:pPr>
      <w:r w:rsidRPr="00BC09EC">
        <w:rPr>
          <w:color w:val="E4322C"/>
        </w:rPr>
        <w:t>PB15 Responsible sourcing, compliance and audits</w:t>
      </w:r>
    </w:p>
    <w:p w14:paraId="4415B1CC" w14:textId="5AB6C6D8" w:rsidR="29E22F0F" w:rsidRDefault="22A5F032">
      <w:r>
        <w:t>Priority: High; missing-clause and missing-schedule checks. Evidence: Section 14, Schedule A and the full text. Fictional joint owners: Legal, Procurement and QA.</w:t>
      </w:r>
    </w:p>
    <w:p w14:paraId="241068F1" w14:textId="712DC7D8" w:rsidR="29E22F0F" w:rsidRDefault="29E22F0F">
      <w:r>
        <w:t>Mandatory terms expressly incorporate an attached, identified hypothetical supplier-principles schedule, require applicable food-contact and compliance evidence and permit proportionate quality and ethical audits. Preferred access is on reasonable notice, except urgent safety matters, with remediation and serious-breach consequences. No standard fallback permits no commitment or no access; a narrower audit protocol requires joint approval without undermining urgent protection. For real use the approved actual principles must be supplied, identified and incorporated. These sample commitments are not the actual CCI Supplier Guiding Principles.</w:t>
      </w:r>
    </w:p>
    <w:p w14:paraId="73310F30" w14:textId="67FF7672" w:rsidR="29E22F0F" w:rsidRDefault="29E22F0F">
      <w:r>
        <w:t xml:space="preserve">Sample addition: “Supplier shall comply with the attached Hypothetical Supplier Principles, provide applicable food-contact and compliance documentation and permit proportionate quality and ethical audits on reasonable notice, or promptly for an urgent safety concern. Audits shall protect legitimate confidentiality and avoid unnecessary disruption. </w:t>
      </w:r>
      <w:proofErr w:type="gramStart"/>
      <w:r>
        <w:t>Supplier</w:t>
      </w:r>
      <w:proofErr w:type="gramEnd"/>
      <w:r>
        <w:t xml:space="preserve"> shall implement agreed </w:t>
      </w:r>
      <w:r>
        <w:lastRenderedPageBreak/>
        <w:t>corrective actions within a reasonable risk-based period. Serious or nonremediable breaches permit suspension or termination under the termination clause.”</w:t>
      </w:r>
    </w:p>
    <w:p w14:paraId="448DAD8A" w14:textId="4D62FAC6" w:rsidR="29E22F0F" w:rsidRDefault="57E38267">
      <w:r>
        <w:t xml:space="preserve">The model below is proposed material, not incorporated into the draft. Verify an identified attachment, operative commitment, audit access and remediation. Omission leaves </w:t>
      </w:r>
      <w:proofErr w:type="gramStart"/>
      <w:r>
        <w:t>oversight voluntary</w:t>
      </w:r>
      <w:proofErr w:type="gramEnd"/>
      <w:r>
        <w:t>; audits and documents do not certify compliance.</w:t>
      </w:r>
    </w:p>
    <w:p w14:paraId="3712809D" w14:textId="77777777" w:rsidR="00E26CFF" w:rsidRDefault="00E26CFF" w:rsidP="6CCE48AF">
      <w:pPr>
        <w:pStyle w:val="Heading2"/>
      </w:pPr>
      <w:r w:rsidRPr="0037429B">
        <w:rPr>
          <w:color w:val="E4322C"/>
        </w:rPr>
        <w:t>PB16 Governing law and disputes</w:t>
      </w:r>
    </w:p>
    <w:p w14:paraId="6F146745" w14:textId="1A1F7D03" w:rsidR="6CCE48AF" w:rsidRDefault="7386C627">
      <w:r>
        <w:t>Priority: Medium. Evidence: Section 16, Section 15 notices and any conflicting Order terms. Fictional owner: Legal.</w:t>
      </w:r>
    </w:p>
    <w:p w14:paraId="5534CFDB" w14:textId="14531109" w:rsidR="6CCE48AF" w:rsidRDefault="6CCE48AF">
      <w:r>
        <w:t>Mandatory governance is an express law and forum, with Legal approval of departures. Preferred demo-only position is Türkiye law and Istanbul courts. An external forum requires a Legal exception considering dispute costs and counsel input. No Turkish enforceability is asserted; qualified local counsel must validate real-use drafting.</w:t>
      </w:r>
    </w:p>
    <w:p w14:paraId="1C6B758D" w14:textId="631E55F4" w:rsidR="6CCE48AF" w:rsidRDefault="6CCE48AF">
      <w:r>
        <w:t>Sample preferred language for local-counsel adaptation: “This Agreement and disputes arising out of or in connection with it are governed by the laws of Türkiye. The competent courts of Istanbul shall have exclusive jurisdiction, subject to applicable mandatory law.” An approved external forum may replace this sample; it is not a universal purchasing rule.</w:t>
      </w:r>
    </w:p>
    <w:p w14:paraId="70A95953" w14:textId="2269444E" w:rsidR="6CCE48AF" w:rsidRDefault="7386C627">
      <w:r>
        <w:t>Record law and forum separately from the demo preference. Explain management and counsel implications without enforceability claims. A different forum is a Legal exception, not automatic rejection or permission to accept other risks.</w:t>
      </w:r>
    </w:p>
    <w:p w14:paraId="4D9C5ADE" w14:textId="77777777" w:rsidR="00E26CFF" w:rsidRDefault="00E26CFF" w:rsidP="21938266">
      <w:pPr>
        <w:pStyle w:val="Heading1"/>
      </w:pPr>
      <w:r w:rsidRPr="0037429B">
        <w:rPr>
          <w:color w:val="E4322C"/>
          <w:sz w:val="40"/>
          <w:szCs w:val="40"/>
        </w:rPr>
        <w:t>Model attachment: Hypothetical Supplier Principles</w:t>
      </w:r>
    </w:p>
    <w:p w14:paraId="38ED92BD" w14:textId="68462A6A" w:rsidR="6CCE48AF" w:rsidRDefault="26CF1A48">
      <w:r>
        <w:t>Training model, version 1.0, 5 October 2026. Proposed PB15 attachment only: not incorporated into the supplier draft, not CCI’s actual Supplier Guiding Principles and not a complete compliance framework. Supply approved actual principles for real use.</w:t>
      </w:r>
    </w:p>
    <w:p w14:paraId="108B1401" w14:textId="283924CC" w:rsidR="6CCE48AF" w:rsidRDefault="26CF1A48">
      <w:r>
        <w:t>Sample hypothetical principles: “Supplier shall act lawfully and ethically, prohibit bribery, forced labor and child labor, respect workers’ human rights, provide safe working conditions, comply with environmental law and maintain accurate product records. Relevant subcontractors shall receive these commitments; Supplier remains accountable.”</w:t>
      </w:r>
    </w:p>
    <w:p w14:paraId="68B97CDB" w14:textId="7026B52D" w:rsidR="6CCE48AF" w:rsidRDefault="26CF1A48">
      <w:r>
        <w:t xml:space="preserve">“Supplier shall maintain applicable food-contact evidence and lot traceability, cooperate with proportionate confidential audits and urgent safety investigations, and implement risk-based remediation. Serious or </w:t>
      </w:r>
      <w:proofErr w:type="gramStart"/>
      <w:r>
        <w:t>nonremediable</w:t>
      </w:r>
      <w:proofErr w:type="gramEnd"/>
      <w:r>
        <w:t xml:space="preserve"> breaches engage agreed suspension or termination rights. Incorporation, audit arrangements and remedies require express </w:t>
      </w:r>
      <w:proofErr w:type="gramStart"/>
      <w:r>
        <w:t>agreement.”</w:t>
      </w:r>
      <w:proofErr w:type="gramEnd"/>
    </w:p>
    <w:p w14:paraId="158E8258" w14:textId="77777777" w:rsidR="00E26CFF" w:rsidRDefault="00E26CFF" w:rsidP="21938266">
      <w:pPr>
        <w:pStyle w:val="Heading1"/>
      </w:pPr>
      <w:r w:rsidRPr="0037429B">
        <w:rPr>
          <w:color w:val="E4322C"/>
          <w:sz w:val="40"/>
          <w:szCs w:val="40"/>
        </w:rPr>
        <w:lastRenderedPageBreak/>
        <w:t>Human decision record and closeout</w:t>
      </w:r>
    </w:p>
    <w:p w14:paraId="52651F59" w14:textId="10196F4E" w:rsidR="7202DC47" w:rsidRDefault="3C89CF8C">
      <w:r>
        <w:t>The decision record identifies PB topic, clause or absence, business consequence, proposed wording, evidence and owners. Separate controls, unresolved issues, standard fallbacks and further exceptions.</w:t>
      </w:r>
    </w:p>
    <w:p w14:paraId="1637D08D" w14:textId="7003D2EC" w:rsidR="7202DC47" w:rsidRDefault="3C89CF8C">
      <w:r>
        <w:t xml:space="preserve">Legal validates law and drafting; QA validates safety and product terms; Supply Chain assesses continuity; Finance reviews economics and recourse. Procurement coordinates, </w:t>
      </w:r>
      <w:proofErr w:type="gramStart"/>
      <w:r>
        <w:t>never self-</w:t>
      </w:r>
      <w:proofErr w:type="gramEnd"/>
      <w:r>
        <w:t>approves departures. Reconcile cross-references and exclusions. Green controls and redlines do not authorize execution. These inputs do not assert that Review Contract has run.</w:t>
      </w:r>
    </w:p>
    <w:sectPr w:rsidR="7202DC4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A1CC" w14:textId="77777777" w:rsidR="00E25F96" w:rsidRDefault="00E25F96">
      <w:pPr>
        <w:spacing w:after="0" w:line="240" w:lineRule="auto"/>
      </w:pPr>
      <w:r>
        <w:separator/>
      </w:r>
    </w:p>
  </w:endnote>
  <w:endnote w:type="continuationSeparator" w:id="0">
    <w:p w14:paraId="0F8E0361" w14:textId="77777777" w:rsidR="00E25F96" w:rsidRDefault="00E2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C259" w14:textId="77777777" w:rsidR="00E26CFF" w:rsidRDefault="00E26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69BD" w14:textId="77777777" w:rsidR="00E26CFF" w:rsidRDefault="00E26C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2B8A" w14:textId="77777777" w:rsidR="00E26CFF" w:rsidRDefault="00E26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7096" w14:textId="77777777" w:rsidR="00E25F96" w:rsidRDefault="00E25F96">
      <w:pPr>
        <w:spacing w:after="0" w:line="240" w:lineRule="auto"/>
      </w:pPr>
      <w:r>
        <w:separator/>
      </w:r>
    </w:p>
  </w:footnote>
  <w:footnote w:type="continuationSeparator" w:id="0">
    <w:p w14:paraId="2BB2D2E7" w14:textId="77777777" w:rsidR="00E25F96" w:rsidRDefault="00E25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BCB0" w14:textId="77777777" w:rsidR="00E26CFF" w:rsidRDefault="00E26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54F2" w14:textId="16CE7C9E" w:rsidR="27A2FC5A" w:rsidRDefault="27A2FC5A">
    <w:r>
      <w:t>FICTIONAL DEMO — NOT CCI POLICY — NOT FOR EXECUTION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5959" w14:textId="77777777" w:rsidR="00E26CFF" w:rsidRDefault="00E26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01981">
    <w:abstractNumId w:val="8"/>
  </w:num>
  <w:num w:numId="2" w16cid:durableId="428358583">
    <w:abstractNumId w:val="6"/>
  </w:num>
  <w:num w:numId="3" w16cid:durableId="474759851">
    <w:abstractNumId w:val="5"/>
  </w:num>
  <w:num w:numId="4" w16cid:durableId="1077094437">
    <w:abstractNumId w:val="4"/>
  </w:num>
  <w:num w:numId="5" w16cid:durableId="2121953080">
    <w:abstractNumId w:val="7"/>
  </w:num>
  <w:num w:numId="6" w16cid:durableId="1302230648">
    <w:abstractNumId w:val="3"/>
  </w:num>
  <w:num w:numId="7" w16cid:durableId="963535133">
    <w:abstractNumId w:val="2"/>
  </w:num>
  <w:num w:numId="8" w16cid:durableId="1576935627">
    <w:abstractNumId w:val="1"/>
  </w:num>
  <w:num w:numId="9" w16cid:durableId="65217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7D4"/>
    <w:rsid w:val="001350CE"/>
    <w:rsid w:val="0015074B"/>
    <w:rsid w:val="0029639D"/>
    <w:rsid w:val="00326F90"/>
    <w:rsid w:val="0037429B"/>
    <w:rsid w:val="006D1E6A"/>
    <w:rsid w:val="00AA1D8D"/>
    <w:rsid w:val="00B47730"/>
    <w:rsid w:val="00BC09EC"/>
    <w:rsid w:val="00CB0664"/>
    <w:rsid w:val="00E25F96"/>
    <w:rsid w:val="00E26CFF"/>
    <w:rsid w:val="00FC693F"/>
    <w:rsid w:val="01A34DB0"/>
    <w:rsid w:val="021FB19B"/>
    <w:rsid w:val="04717FC4"/>
    <w:rsid w:val="071DA1FA"/>
    <w:rsid w:val="0853DA3A"/>
    <w:rsid w:val="0B5895E8"/>
    <w:rsid w:val="0D9DCE8E"/>
    <w:rsid w:val="0E781277"/>
    <w:rsid w:val="0F0A7D93"/>
    <w:rsid w:val="11DE5D33"/>
    <w:rsid w:val="14CA26DB"/>
    <w:rsid w:val="15B25D25"/>
    <w:rsid w:val="1636F381"/>
    <w:rsid w:val="16676D3A"/>
    <w:rsid w:val="1A072382"/>
    <w:rsid w:val="1AC4A19A"/>
    <w:rsid w:val="1D8F1BDA"/>
    <w:rsid w:val="1E55C4F3"/>
    <w:rsid w:val="1E73185B"/>
    <w:rsid w:val="2069537B"/>
    <w:rsid w:val="21938266"/>
    <w:rsid w:val="22A5F032"/>
    <w:rsid w:val="22E2E68D"/>
    <w:rsid w:val="232511C0"/>
    <w:rsid w:val="238636F0"/>
    <w:rsid w:val="2495C764"/>
    <w:rsid w:val="26BA6178"/>
    <w:rsid w:val="26CF1A48"/>
    <w:rsid w:val="27A2FC5A"/>
    <w:rsid w:val="2848A7CD"/>
    <w:rsid w:val="28EC6CF8"/>
    <w:rsid w:val="29E22F0F"/>
    <w:rsid w:val="2A6BDE60"/>
    <w:rsid w:val="2CE4A728"/>
    <w:rsid w:val="2CEECDE6"/>
    <w:rsid w:val="2E4374E8"/>
    <w:rsid w:val="2FD04D94"/>
    <w:rsid w:val="306C6664"/>
    <w:rsid w:val="3323DC3D"/>
    <w:rsid w:val="334E3285"/>
    <w:rsid w:val="33D02E88"/>
    <w:rsid w:val="35A3AE11"/>
    <w:rsid w:val="3768058B"/>
    <w:rsid w:val="38ECF048"/>
    <w:rsid w:val="3929124D"/>
    <w:rsid w:val="393CAAD1"/>
    <w:rsid w:val="3A2AD188"/>
    <w:rsid w:val="3AA6FD27"/>
    <w:rsid w:val="3BE47450"/>
    <w:rsid w:val="3C89CF8C"/>
    <w:rsid w:val="3D0606E9"/>
    <w:rsid w:val="3F19F8FF"/>
    <w:rsid w:val="3FED95D8"/>
    <w:rsid w:val="410D6018"/>
    <w:rsid w:val="413EEC67"/>
    <w:rsid w:val="42348558"/>
    <w:rsid w:val="42643AE5"/>
    <w:rsid w:val="4438D307"/>
    <w:rsid w:val="4C9DCC6A"/>
    <w:rsid w:val="4FE36238"/>
    <w:rsid w:val="50137B02"/>
    <w:rsid w:val="51849CE0"/>
    <w:rsid w:val="52A0CD9A"/>
    <w:rsid w:val="57E38267"/>
    <w:rsid w:val="596C99FE"/>
    <w:rsid w:val="59A4F532"/>
    <w:rsid w:val="5EDE100A"/>
    <w:rsid w:val="5EF937D3"/>
    <w:rsid w:val="601688C2"/>
    <w:rsid w:val="603C057F"/>
    <w:rsid w:val="60795CBB"/>
    <w:rsid w:val="60885BA0"/>
    <w:rsid w:val="6168E840"/>
    <w:rsid w:val="63008F08"/>
    <w:rsid w:val="65555D84"/>
    <w:rsid w:val="667B122A"/>
    <w:rsid w:val="669F9859"/>
    <w:rsid w:val="671C536B"/>
    <w:rsid w:val="6B346C81"/>
    <w:rsid w:val="6CB2C4CB"/>
    <w:rsid w:val="6CCE48AF"/>
    <w:rsid w:val="6D1764C3"/>
    <w:rsid w:val="6FD63018"/>
    <w:rsid w:val="70C65739"/>
    <w:rsid w:val="7116E7FB"/>
    <w:rsid w:val="7202DC47"/>
    <w:rsid w:val="7241B64E"/>
    <w:rsid w:val="7386C627"/>
    <w:rsid w:val="758B75B5"/>
    <w:rsid w:val="75BF84A3"/>
    <w:rsid w:val="79D84CC9"/>
    <w:rsid w:val="7B6F0158"/>
    <w:rsid w:val="7F82FAF2"/>
    <w:rsid w:val="7FF8FE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FE27EB-8AD7-403A-8C3D-76363799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349"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5B63"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55B63"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55B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22D3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22D3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255B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4349"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55B6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55B63" w:themeColor="accent1"/>
    </w:rPr>
  </w:style>
  <w:style w:type="paragraph" w:styleId="Title">
    <w:name w:val="Title"/>
    <w:basedOn w:val="Normal"/>
    <w:next w:val="Normal"/>
    <w:link w:val="TitleChar"/>
    <w:uiPriority w:val="10"/>
    <w:qFormat/>
    <w:rsid w:val="00FC693F"/>
    <w:pPr>
      <w:pBdr>
        <w:bottom w:val="single" w:sz="8" w:space="4" w:color="255B63" w:themeColor="accent1"/>
      </w:pBdr>
      <w:spacing w:after="300" w:line="240" w:lineRule="auto"/>
      <w:contextualSpacing/>
    </w:pPr>
    <w:rPr>
      <w:rFonts w:asciiTheme="majorHAnsi" w:eastAsiaTheme="majorEastAsia" w:hAnsiTheme="majorHAnsi" w:cstheme="majorBidi"/>
      <w:color w:val="1B4349"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4349"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55B63"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55B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customStyle="1" w:styleId="QuoteChar">
    <w:name w:val="Quote Char"/>
    <w:basedOn w:val="DefaultParagraphFont"/>
    <w:link w:val="Quote"/>
    <w:uiPriority w:val="29"/>
    <w:rsid w:val="00FC693F"/>
    <w:rPr>
      <w:i/>
      <w:iCs/>
      <w:color w:val="1A1A1A"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55B6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22D3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22D3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3535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55B6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55B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255B63" w:themeColor="accent1"/>
      </w:pBdr>
      <w:spacing w:before="200" w:after="280"/>
      <w:ind w:left="936" w:right="936"/>
    </w:pPr>
    <w:rPr>
      <w:b/>
      <w:bCs/>
      <w:i/>
      <w:iCs/>
      <w:color w:val="255B63" w:themeColor="accent1"/>
    </w:rPr>
  </w:style>
  <w:style w:type="character" w:customStyle="1" w:styleId="IntenseQuoteChar">
    <w:name w:val="Intense Quote Char"/>
    <w:basedOn w:val="DefaultParagraphFont"/>
    <w:link w:val="IntenseQuote"/>
    <w:uiPriority w:val="30"/>
    <w:rsid w:val="00FC693F"/>
    <w:rPr>
      <w:b/>
      <w:bCs/>
      <w:i/>
      <w:iCs/>
      <w:color w:val="255B63"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255B63" w:themeColor="accent1"/>
    </w:rPr>
  </w:style>
  <w:style w:type="character" w:styleId="SubtleReference">
    <w:name w:val="Subtle Reference"/>
    <w:basedOn w:val="DefaultParagraphFont"/>
    <w:uiPriority w:val="31"/>
    <w:qFormat/>
    <w:rsid w:val="00FC693F"/>
    <w:rPr>
      <w:smallCaps/>
      <w:color w:val="68757A" w:themeColor="accent2"/>
      <w:u w:val="single"/>
    </w:rPr>
  </w:style>
  <w:style w:type="character" w:styleId="IntenseReference">
    <w:name w:val="Intense Reference"/>
    <w:basedOn w:val="DefaultParagraphFont"/>
    <w:uiPriority w:val="32"/>
    <w:qFormat/>
    <w:rsid w:val="00FC693F"/>
    <w:rPr>
      <w:b/>
      <w:bCs/>
      <w:smallCaps/>
      <w:color w:val="6875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B4349" w:themeColor="accent1" w:themeShade="BF"/>
    </w:rPr>
    <w:tblPr>
      <w:tblStyleRowBandSize w:val="1"/>
      <w:tblStyleColBandSize w:val="1"/>
      <w:tblBorders>
        <w:top w:val="single" w:sz="8" w:space="0" w:color="255B63" w:themeColor="accent1"/>
        <w:bottom w:val="single" w:sz="8" w:space="0" w:color="255B63" w:themeColor="accent1"/>
      </w:tblBorders>
    </w:tblPr>
    <w:tblStylePr w:type="fir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la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left w:val="nil"/>
          <w:right w:val="nil"/>
          <w:insideH w:val="nil"/>
          <w:insideV w:val="nil"/>
        </w:tcBorders>
        <w:shd w:val="clear" w:color="auto" w:fill="BBE0E5" w:themeFill="accent1" w:themeFillTint="3F"/>
      </w:tcPr>
    </w:tblStylePr>
  </w:style>
  <w:style w:type="table" w:styleId="LightShading-Accent2">
    <w:name w:val="Light Shading Accent 2"/>
    <w:basedOn w:val="TableNormal"/>
    <w:uiPriority w:val="60"/>
    <w:rsid w:val="00FC693F"/>
    <w:pPr>
      <w:spacing w:after="0" w:line="240" w:lineRule="auto"/>
    </w:pPr>
    <w:rPr>
      <w:color w:val="4D575B" w:themeColor="accent2" w:themeShade="BF"/>
    </w:rPr>
    <w:tblPr>
      <w:tblStyleRowBandSize w:val="1"/>
      <w:tblStyleColBandSize w:val="1"/>
      <w:tblBorders>
        <w:top w:val="single" w:sz="8" w:space="0" w:color="68757A" w:themeColor="accent2"/>
        <w:bottom w:val="single" w:sz="8" w:space="0" w:color="68757A" w:themeColor="accent2"/>
      </w:tblBorders>
    </w:tblPr>
    <w:tblStylePr w:type="fir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la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left w:val="nil"/>
          <w:right w:val="nil"/>
          <w:insideH w:val="nil"/>
          <w:insideV w:val="nil"/>
        </w:tcBorders>
        <w:shd w:val="clear" w:color="auto" w:fill="D9DDDE" w:themeFill="accent2" w:themeFillTint="3F"/>
      </w:tcPr>
    </w:tblStylePr>
  </w:style>
  <w:style w:type="table" w:styleId="LightShading-Accent3">
    <w:name w:val="Light Shading Accent 3"/>
    <w:basedOn w:val="TableNormal"/>
    <w:uiPriority w:val="60"/>
    <w:rsid w:val="00FC693F"/>
    <w:pPr>
      <w:spacing w:after="0" w:line="240" w:lineRule="auto"/>
    </w:pPr>
    <w:rPr>
      <w:color w:val="1B4349" w:themeColor="accent3" w:themeShade="BF"/>
    </w:rPr>
    <w:tblPr>
      <w:tblStyleRowBandSize w:val="1"/>
      <w:tblStyleColBandSize w:val="1"/>
      <w:tblBorders>
        <w:top w:val="single" w:sz="8" w:space="0" w:color="255B63" w:themeColor="accent3"/>
        <w:bottom w:val="single" w:sz="8" w:space="0" w:color="255B63" w:themeColor="accent3"/>
      </w:tblBorders>
    </w:tblPr>
    <w:tblStylePr w:type="fir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la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left w:val="nil"/>
          <w:right w:val="nil"/>
          <w:insideH w:val="nil"/>
          <w:insideV w:val="nil"/>
        </w:tcBorders>
        <w:shd w:val="clear" w:color="auto" w:fill="BBE0E5" w:themeFill="accent3" w:themeFillTint="3F"/>
      </w:tcPr>
    </w:tblStylePr>
  </w:style>
  <w:style w:type="table" w:styleId="LightShading-Accent4">
    <w:name w:val="Light Shading Accent 4"/>
    <w:basedOn w:val="TableNormal"/>
    <w:uiPriority w:val="60"/>
    <w:rsid w:val="00FC693F"/>
    <w:pPr>
      <w:spacing w:after="0" w:line="240" w:lineRule="auto"/>
    </w:pPr>
    <w:rPr>
      <w:color w:val="1B4349" w:themeColor="accent4" w:themeShade="BF"/>
    </w:rPr>
    <w:tblPr>
      <w:tblStyleRowBandSize w:val="1"/>
      <w:tblStyleColBandSize w:val="1"/>
      <w:tblBorders>
        <w:top w:val="single" w:sz="8" w:space="0" w:color="255B63" w:themeColor="accent4"/>
        <w:bottom w:val="single" w:sz="8" w:space="0" w:color="255B63" w:themeColor="accent4"/>
      </w:tblBorders>
    </w:tblPr>
    <w:tblStylePr w:type="fir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la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left w:val="nil"/>
          <w:right w:val="nil"/>
          <w:insideH w:val="nil"/>
          <w:insideV w:val="nil"/>
        </w:tcBorders>
        <w:shd w:val="clear" w:color="auto" w:fill="BBE0E5" w:themeFill="accent4" w:themeFillTint="3F"/>
      </w:tcPr>
    </w:tblStylePr>
  </w:style>
  <w:style w:type="table" w:styleId="LightShading-Accent5">
    <w:name w:val="Light Shading Accent 5"/>
    <w:basedOn w:val="TableNormal"/>
    <w:uiPriority w:val="60"/>
    <w:rsid w:val="00FC693F"/>
    <w:pPr>
      <w:spacing w:after="0" w:line="240" w:lineRule="auto"/>
    </w:pPr>
    <w:rPr>
      <w:color w:val="1B4349" w:themeColor="accent5" w:themeShade="BF"/>
    </w:rPr>
    <w:tblPr>
      <w:tblStyleRowBandSize w:val="1"/>
      <w:tblStyleColBandSize w:val="1"/>
      <w:tblBorders>
        <w:top w:val="single" w:sz="8" w:space="0" w:color="255B63" w:themeColor="accent5"/>
        <w:bottom w:val="single" w:sz="8" w:space="0" w:color="255B63" w:themeColor="accent5"/>
      </w:tblBorders>
    </w:tblPr>
    <w:tblStylePr w:type="fir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la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left w:val="nil"/>
          <w:right w:val="nil"/>
          <w:insideH w:val="nil"/>
          <w:insideV w:val="nil"/>
        </w:tcBorders>
        <w:shd w:val="clear" w:color="auto" w:fill="BBE0E5" w:themeFill="accent5" w:themeFillTint="3F"/>
      </w:tcPr>
    </w:tblStylePr>
  </w:style>
  <w:style w:type="table" w:styleId="LightShading-Accent6">
    <w:name w:val="Light Shading Accent 6"/>
    <w:basedOn w:val="TableNormal"/>
    <w:uiPriority w:val="60"/>
    <w:rsid w:val="00FC693F"/>
    <w:pPr>
      <w:spacing w:after="0" w:line="240" w:lineRule="auto"/>
    </w:pPr>
    <w:rPr>
      <w:color w:val="1B4349" w:themeColor="accent6" w:themeShade="BF"/>
    </w:rPr>
    <w:tblPr>
      <w:tblStyleRowBandSize w:val="1"/>
      <w:tblStyleColBandSize w:val="1"/>
      <w:tblBorders>
        <w:top w:val="single" w:sz="8" w:space="0" w:color="255B63" w:themeColor="accent6"/>
        <w:bottom w:val="single" w:sz="8" w:space="0" w:color="255B63" w:themeColor="accent6"/>
      </w:tblBorders>
    </w:tblPr>
    <w:tblStylePr w:type="fir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la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left w:val="nil"/>
          <w:right w:val="nil"/>
          <w:insideH w:val="nil"/>
          <w:insideV w:val="nil"/>
        </w:tcBorders>
        <w:shd w:val="clear" w:color="auto" w:fill="BBE0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pPr>
        <w:spacing w:before="0" w:after="0" w:line="240" w:lineRule="auto"/>
      </w:pPr>
      <w:rPr>
        <w:b/>
        <w:bCs/>
        <w:color w:val="FFFFFF" w:themeColor="background1"/>
      </w:rPr>
      <w:tblPr/>
      <w:tcPr>
        <w:shd w:val="clear" w:color="auto" w:fill="255B63" w:themeFill="accent1"/>
      </w:tcPr>
    </w:tblStylePr>
    <w:tblStylePr w:type="lastRow">
      <w:pPr>
        <w:spacing w:before="0" w:after="0" w:line="240" w:lineRule="auto"/>
      </w:pPr>
      <w:rPr>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tcBorders>
      </w:tcPr>
    </w:tblStylePr>
    <w:tblStylePr w:type="firstCol">
      <w:rPr>
        <w:b/>
        <w:bCs/>
      </w:rPr>
    </w:tblStylePr>
    <w:tblStylePr w:type="lastCol">
      <w:rPr>
        <w:b/>
        <w:bCs/>
      </w:r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pPr>
        <w:spacing w:before="0" w:after="0" w:line="240" w:lineRule="auto"/>
      </w:pPr>
      <w:rPr>
        <w:b/>
        <w:bCs/>
        <w:color w:val="FFFFFF" w:themeColor="background1"/>
      </w:rPr>
      <w:tblPr/>
      <w:tcPr>
        <w:shd w:val="clear" w:color="auto" w:fill="68757A" w:themeFill="accent2"/>
      </w:tcPr>
    </w:tblStylePr>
    <w:tblStylePr w:type="lastRow">
      <w:pPr>
        <w:spacing w:before="0" w:after="0" w:line="240" w:lineRule="auto"/>
      </w:pPr>
      <w:rPr>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tcBorders>
      </w:tcPr>
    </w:tblStylePr>
    <w:tblStylePr w:type="firstCol">
      <w:rPr>
        <w:b/>
        <w:bCs/>
      </w:rPr>
    </w:tblStylePr>
    <w:tblStylePr w:type="lastCol">
      <w:rPr>
        <w:b/>
        <w:bCs/>
      </w:r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pPr>
        <w:spacing w:before="0" w:after="0" w:line="240" w:lineRule="auto"/>
      </w:pPr>
      <w:rPr>
        <w:b/>
        <w:bCs/>
        <w:color w:val="FFFFFF" w:themeColor="background1"/>
      </w:rPr>
      <w:tblPr/>
      <w:tcPr>
        <w:shd w:val="clear" w:color="auto" w:fill="255B63" w:themeFill="accent3"/>
      </w:tcPr>
    </w:tblStylePr>
    <w:tblStylePr w:type="lastRow">
      <w:pPr>
        <w:spacing w:before="0" w:after="0" w:line="240" w:lineRule="auto"/>
      </w:pPr>
      <w:rPr>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tcBorders>
      </w:tcPr>
    </w:tblStylePr>
    <w:tblStylePr w:type="firstCol">
      <w:rPr>
        <w:b/>
        <w:bCs/>
      </w:rPr>
    </w:tblStylePr>
    <w:tblStylePr w:type="lastCol">
      <w:rPr>
        <w:b/>
        <w:bCs/>
      </w:r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pPr>
        <w:spacing w:before="0" w:after="0" w:line="240" w:lineRule="auto"/>
      </w:pPr>
      <w:rPr>
        <w:b/>
        <w:bCs/>
        <w:color w:val="FFFFFF" w:themeColor="background1"/>
      </w:rPr>
      <w:tblPr/>
      <w:tcPr>
        <w:shd w:val="clear" w:color="auto" w:fill="255B63" w:themeFill="accent4"/>
      </w:tcPr>
    </w:tblStylePr>
    <w:tblStylePr w:type="lastRow">
      <w:pPr>
        <w:spacing w:before="0" w:after="0" w:line="240" w:lineRule="auto"/>
      </w:pPr>
      <w:rPr>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tcBorders>
      </w:tcPr>
    </w:tblStylePr>
    <w:tblStylePr w:type="firstCol">
      <w:rPr>
        <w:b/>
        <w:bCs/>
      </w:rPr>
    </w:tblStylePr>
    <w:tblStylePr w:type="lastCol">
      <w:rPr>
        <w:b/>
        <w:bCs/>
      </w:r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pPr>
        <w:spacing w:before="0" w:after="0" w:line="240" w:lineRule="auto"/>
      </w:pPr>
      <w:rPr>
        <w:b/>
        <w:bCs/>
        <w:color w:val="FFFFFF" w:themeColor="background1"/>
      </w:rPr>
      <w:tblPr/>
      <w:tcPr>
        <w:shd w:val="clear" w:color="auto" w:fill="255B63" w:themeFill="accent5"/>
      </w:tcPr>
    </w:tblStylePr>
    <w:tblStylePr w:type="lastRow">
      <w:pPr>
        <w:spacing w:before="0" w:after="0" w:line="240" w:lineRule="auto"/>
      </w:pPr>
      <w:rPr>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tcBorders>
      </w:tcPr>
    </w:tblStylePr>
    <w:tblStylePr w:type="firstCol">
      <w:rPr>
        <w:b/>
        <w:bCs/>
      </w:rPr>
    </w:tblStylePr>
    <w:tblStylePr w:type="lastCol">
      <w:rPr>
        <w:b/>
        <w:bCs/>
      </w:r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pPr>
        <w:spacing w:before="0" w:after="0" w:line="240" w:lineRule="auto"/>
      </w:pPr>
      <w:rPr>
        <w:b/>
        <w:bCs/>
        <w:color w:val="FFFFFF" w:themeColor="background1"/>
      </w:rPr>
      <w:tblPr/>
      <w:tcPr>
        <w:shd w:val="clear" w:color="auto" w:fill="255B63" w:themeFill="accent6"/>
      </w:tcPr>
    </w:tblStylePr>
    <w:tblStylePr w:type="lastRow">
      <w:pPr>
        <w:spacing w:before="0" w:after="0" w:line="240" w:lineRule="auto"/>
      </w:pPr>
      <w:rPr>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tcBorders>
      </w:tcPr>
    </w:tblStylePr>
    <w:tblStylePr w:type="firstCol">
      <w:rPr>
        <w:b/>
        <w:bCs/>
      </w:rPr>
    </w:tblStylePr>
    <w:tblStylePr w:type="lastCol">
      <w:rPr>
        <w:b/>
        <w:bCs/>
      </w:r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18" w:space="0" w:color="255B63" w:themeColor="accent1"/>
          <w:right w:val="single" w:sz="8" w:space="0" w:color="255B63" w:themeColor="accent1"/>
          <w:insideH w:val="nil"/>
          <w:insideV w:val="single" w:sz="8" w:space="0" w:color="255B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insideH w:val="nil"/>
          <w:insideV w:val="single" w:sz="8" w:space="0" w:color="255B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shd w:val="clear" w:color="auto" w:fill="BBE0E5" w:themeFill="accent1" w:themeFillTint="3F"/>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shd w:val="clear" w:color="auto" w:fill="BBE0E5" w:themeFill="accent1" w:themeFillTint="3F"/>
      </w:tcPr>
    </w:tblStylePr>
    <w:tblStylePr w:type="band2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18" w:space="0" w:color="68757A" w:themeColor="accent2"/>
          <w:right w:val="single" w:sz="8" w:space="0" w:color="68757A" w:themeColor="accent2"/>
          <w:insideH w:val="nil"/>
          <w:insideV w:val="single" w:sz="8" w:space="0" w:color="687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insideH w:val="nil"/>
          <w:insideV w:val="single" w:sz="8" w:space="0" w:color="687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shd w:val="clear" w:color="auto" w:fill="D9DDDE" w:themeFill="accent2" w:themeFillTint="3F"/>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shd w:val="clear" w:color="auto" w:fill="D9DDDE" w:themeFill="accent2" w:themeFillTint="3F"/>
      </w:tcPr>
    </w:tblStylePr>
    <w:tblStylePr w:type="band2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18" w:space="0" w:color="255B63" w:themeColor="accent3"/>
          <w:right w:val="single" w:sz="8" w:space="0" w:color="255B63" w:themeColor="accent3"/>
          <w:insideH w:val="nil"/>
          <w:insideV w:val="single" w:sz="8" w:space="0" w:color="255B6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insideH w:val="nil"/>
          <w:insideV w:val="single" w:sz="8" w:space="0" w:color="255B6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shd w:val="clear" w:color="auto" w:fill="BBE0E5" w:themeFill="accent3" w:themeFillTint="3F"/>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shd w:val="clear" w:color="auto" w:fill="BBE0E5" w:themeFill="accent3" w:themeFillTint="3F"/>
      </w:tcPr>
    </w:tblStylePr>
    <w:tblStylePr w:type="band2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18" w:space="0" w:color="255B63" w:themeColor="accent4"/>
          <w:right w:val="single" w:sz="8" w:space="0" w:color="255B63" w:themeColor="accent4"/>
          <w:insideH w:val="nil"/>
          <w:insideV w:val="single" w:sz="8" w:space="0" w:color="255B6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insideH w:val="nil"/>
          <w:insideV w:val="single" w:sz="8" w:space="0" w:color="255B6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shd w:val="clear" w:color="auto" w:fill="BBE0E5" w:themeFill="accent4" w:themeFillTint="3F"/>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shd w:val="clear" w:color="auto" w:fill="BBE0E5" w:themeFill="accent4" w:themeFillTint="3F"/>
      </w:tcPr>
    </w:tblStylePr>
    <w:tblStylePr w:type="band2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18" w:space="0" w:color="255B63" w:themeColor="accent5"/>
          <w:right w:val="single" w:sz="8" w:space="0" w:color="255B63" w:themeColor="accent5"/>
          <w:insideH w:val="nil"/>
          <w:insideV w:val="single" w:sz="8" w:space="0" w:color="255B6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insideH w:val="nil"/>
          <w:insideV w:val="single" w:sz="8" w:space="0" w:color="255B6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shd w:val="clear" w:color="auto" w:fill="BBE0E5" w:themeFill="accent5" w:themeFillTint="3F"/>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shd w:val="clear" w:color="auto" w:fill="BBE0E5" w:themeFill="accent5" w:themeFillTint="3F"/>
      </w:tcPr>
    </w:tblStylePr>
    <w:tblStylePr w:type="band2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18" w:space="0" w:color="255B63" w:themeColor="accent6"/>
          <w:right w:val="single" w:sz="8" w:space="0" w:color="255B63" w:themeColor="accent6"/>
          <w:insideH w:val="nil"/>
          <w:insideV w:val="single" w:sz="8" w:space="0" w:color="255B6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insideH w:val="nil"/>
          <w:insideV w:val="single" w:sz="8" w:space="0" w:color="255B6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shd w:val="clear" w:color="auto" w:fill="BBE0E5" w:themeFill="accent6" w:themeFillTint="3F"/>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shd w:val="clear" w:color="auto" w:fill="BBE0E5" w:themeFill="accent6" w:themeFillTint="3F"/>
      </w:tcPr>
    </w:tblStylePr>
    <w:tblStylePr w:type="band2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tblBorders>
    </w:tblPr>
    <w:tblStylePr w:type="firstRow">
      <w:pPr>
        <w:spacing w:before="0" w:after="0" w:line="240" w:lineRule="auto"/>
      </w:pPr>
      <w:rPr>
        <w:b/>
        <w:bCs/>
        <w:color w:val="FFFFFF" w:themeColor="background1"/>
      </w:rPr>
      <w:tblPr/>
      <w:tcPr>
        <w:tc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shd w:val="clear" w:color="auto" w:fill="255B63" w:themeFill="accent1"/>
      </w:tcPr>
    </w:tblStylePr>
    <w:tblStylePr w:type="lastRow">
      <w:pPr>
        <w:spacing w:before="0" w:after="0" w:line="240" w:lineRule="auto"/>
      </w:pPr>
      <w:rPr>
        <w:b/>
        <w:bCs/>
      </w:rPr>
      <w:tblPr/>
      <w:tcPr>
        <w:tcBorders>
          <w:top w:val="double" w:sz="6"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1" w:themeFillTint="3F"/>
      </w:tcPr>
    </w:tblStylePr>
    <w:tblStylePr w:type="band1Horz">
      <w:tblPr/>
      <w:tcPr>
        <w:tcBorders>
          <w:insideH w:val="nil"/>
          <w:insideV w:val="nil"/>
        </w:tcBorders>
        <w:shd w:val="clear" w:color="auto" w:fill="BBE0E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tblBorders>
    </w:tblPr>
    <w:tblStylePr w:type="firstRow">
      <w:pPr>
        <w:spacing w:before="0" w:after="0" w:line="240" w:lineRule="auto"/>
      </w:pPr>
      <w:rPr>
        <w:b/>
        <w:bCs/>
        <w:color w:val="FFFFFF" w:themeColor="background1"/>
      </w:rPr>
      <w:tblPr/>
      <w:tcPr>
        <w:tc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shd w:val="clear" w:color="auto" w:fill="68757A" w:themeFill="accent2"/>
      </w:tcPr>
    </w:tblStylePr>
    <w:tblStylePr w:type="lastRow">
      <w:pPr>
        <w:spacing w:before="0" w:after="0" w:line="240" w:lineRule="auto"/>
      </w:pPr>
      <w:rPr>
        <w:b/>
        <w:bCs/>
      </w:rPr>
      <w:tblPr/>
      <w:tcPr>
        <w:tcBorders>
          <w:top w:val="double" w:sz="6"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DDE" w:themeFill="accent2" w:themeFillTint="3F"/>
      </w:tcPr>
    </w:tblStylePr>
    <w:tblStylePr w:type="band1Horz">
      <w:tblPr/>
      <w:tcPr>
        <w:tcBorders>
          <w:insideH w:val="nil"/>
          <w:insideV w:val="nil"/>
        </w:tcBorders>
        <w:shd w:val="clear" w:color="auto" w:fill="D9DD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tblBorders>
    </w:tblPr>
    <w:tblStylePr w:type="firstRow">
      <w:pPr>
        <w:spacing w:before="0" w:after="0" w:line="240" w:lineRule="auto"/>
      </w:pPr>
      <w:rPr>
        <w:b/>
        <w:bCs/>
        <w:color w:val="FFFFFF" w:themeColor="background1"/>
      </w:rPr>
      <w:tblPr/>
      <w:tcPr>
        <w:tc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shd w:val="clear" w:color="auto" w:fill="255B63" w:themeFill="accent3"/>
      </w:tcPr>
    </w:tblStylePr>
    <w:tblStylePr w:type="lastRow">
      <w:pPr>
        <w:spacing w:before="0" w:after="0" w:line="240" w:lineRule="auto"/>
      </w:pPr>
      <w:rPr>
        <w:b/>
        <w:bCs/>
      </w:rPr>
      <w:tblPr/>
      <w:tcPr>
        <w:tcBorders>
          <w:top w:val="double" w:sz="6"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3" w:themeFillTint="3F"/>
      </w:tcPr>
    </w:tblStylePr>
    <w:tblStylePr w:type="band1Horz">
      <w:tblPr/>
      <w:tcPr>
        <w:tcBorders>
          <w:insideH w:val="nil"/>
          <w:insideV w:val="nil"/>
        </w:tcBorders>
        <w:shd w:val="clear" w:color="auto" w:fill="BBE0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tblBorders>
    </w:tblPr>
    <w:tblStylePr w:type="firstRow">
      <w:pPr>
        <w:spacing w:before="0" w:after="0" w:line="240" w:lineRule="auto"/>
      </w:pPr>
      <w:rPr>
        <w:b/>
        <w:bCs/>
        <w:color w:val="FFFFFF" w:themeColor="background1"/>
      </w:rPr>
      <w:tblPr/>
      <w:tcPr>
        <w:tc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shd w:val="clear" w:color="auto" w:fill="255B63" w:themeFill="accent4"/>
      </w:tcPr>
    </w:tblStylePr>
    <w:tblStylePr w:type="lastRow">
      <w:pPr>
        <w:spacing w:before="0" w:after="0" w:line="240" w:lineRule="auto"/>
      </w:pPr>
      <w:rPr>
        <w:b/>
        <w:bCs/>
      </w:rPr>
      <w:tblPr/>
      <w:tcPr>
        <w:tcBorders>
          <w:top w:val="double" w:sz="6"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4" w:themeFillTint="3F"/>
      </w:tcPr>
    </w:tblStylePr>
    <w:tblStylePr w:type="band1Horz">
      <w:tblPr/>
      <w:tcPr>
        <w:tcBorders>
          <w:insideH w:val="nil"/>
          <w:insideV w:val="nil"/>
        </w:tcBorders>
        <w:shd w:val="clear" w:color="auto" w:fill="BBE0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tblBorders>
    </w:tblPr>
    <w:tblStylePr w:type="firstRow">
      <w:pPr>
        <w:spacing w:before="0" w:after="0" w:line="240" w:lineRule="auto"/>
      </w:pPr>
      <w:rPr>
        <w:b/>
        <w:bCs/>
        <w:color w:val="FFFFFF" w:themeColor="background1"/>
      </w:rPr>
      <w:tblPr/>
      <w:tcPr>
        <w:tc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shd w:val="clear" w:color="auto" w:fill="255B63" w:themeFill="accent5"/>
      </w:tcPr>
    </w:tblStylePr>
    <w:tblStylePr w:type="lastRow">
      <w:pPr>
        <w:spacing w:before="0" w:after="0" w:line="240" w:lineRule="auto"/>
      </w:pPr>
      <w:rPr>
        <w:b/>
        <w:bCs/>
      </w:rPr>
      <w:tblPr/>
      <w:tcPr>
        <w:tcBorders>
          <w:top w:val="double" w:sz="6"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5" w:themeFillTint="3F"/>
      </w:tcPr>
    </w:tblStylePr>
    <w:tblStylePr w:type="band1Horz">
      <w:tblPr/>
      <w:tcPr>
        <w:tcBorders>
          <w:insideH w:val="nil"/>
          <w:insideV w:val="nil"/>
        </w:tcBorders>
        <w:shd w:val="clear" w:color="auto" w:fill="BBE0E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tblBorders>
    </w:tblPr>
    <w:tblStylePr w:type="firstRow">
      <w:pPr>
        <w:spacing w:before="0" w:after="0" w:line="240" w:lineRule="auto"/>
      </w:pPr>
      <w:rPr>
        <w:b/>
        <w:bCs/>
        <w:color w:val="FFFFFF" w:themeColor="background1"/>
      </w:rPr>
      <w:tblPr/>
      <w:tcPr>
        <w:tc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shd w:val="clear" w:color="auto" w:fill="255B63" w:themeFill="accent6"/>
      </w:tcPr>
    </w:tblStylePr>
    <w:tblStylePr w:type="lastRow">
      <w:pPr>
        <w:spacing w:before="0" w:after="0" w:line="240" w:lineRule="auto"/>
      </w:pPr>
      <w:rPr>
        <w:b/>
        <w:bCs/>
      </w:rPr>
      <w:tblPr/>
      <w:tcPr>
        <w:tcBorders>
          <w:top w:val="double" w:sz="6"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6" w:themeFillTint="3F"/>
      </w:tcPr>
    </w:tblStylePr>
    <w:tblStylePr w:type="band1Horz">
      <w:tblPr/>
      <w:tcPr>
        <w:tcBorders>
          <w:insideH w:val="nil"/>
          <w:insideV w:val="nil"/>
        </w:tcBorders>
        <w:shd w:val="clear" w:color="auto" w:fill="BBE0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1"/>
      </w:tcPr>
    </w:tblStylePr>
    <w:tblStylePr w:type="lastCol">
      <w:rPr>
        <w:b/>
        <w:bCs/>
        <w:color w:val="FFFFFF" w:themeColor="background1"/>
      </w:rPr>
      <w:tblPr/>
      <w:tcPr>
        <w:tcBorders>
          <w:left w:val="nil"/>
          <w:right w:val="nil"/>
          <w:insideH w:val="nil"/>
          <w:insideV w:val="nil"/>
        </w:tcBorders>
        <w:shd w:val="clear" w:color="auto" w:fill="255B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87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8757A" w:themeFill="accent2"/>
      </w:tcPr>
    </w:tblStylePr>
    <w:tblStylePr w:type="lastCol">
      <w:rPr>
        <w:b/>
        <w:bCs/>
        <w:color w:val="FFFFFF" w:themeColor="background1"/>
      </w:rPr>
      <w:tblPr/>
      <w:tcPr>
        <w:tcBorders>
          <w:left w:val="nil"/>
          <w:right w:val="nil"/>
          <w:insideH w:val="nil"/>
          <w:insideV w:val="nil"/>
        </w:tcBorders>
        <w:shd w:val="clear" w:color="auto" w:fill="687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3"/>
      </w:tcPr>
    </w:tblStylePr>
    <w:tblStylePr w:type="lastCol">
      <w:rPr>
        <w:b/>
        <w:bCs/>
        <w:color w:val="FFFFFF" w:themeColor="background1"/>
      </w:rPr>
      <w:tblPr/>
      <w:tcPr>
        <w:tcBorders>
          <w:left w:val="nil"/>
          <w:right w:val="nil"/>
          <w:insideH w:val="nil"/>
          <w:insideV w:val="nil"/>
        </w:tcBorders>
        <w:shd w:val="clear" w:color="auto" w:fill="255B6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4"/>
      </w:tcPr>
    </w:tblStylePr>
    <w:tblStylePr w:type="lastCol">
      <w:rPr>
        <w:b/>
        <w:bCs/>
        <w:color w:val="FFFFFF" w:themeColor="background1"/>
      </w:rPr>
      <w:tblPr/>
      <w:tcPr>
        <w:tcBorders>
          <w:left w:val="nil"/>
          <w:right w:val="nil"/>
          <w:insideH w:val="nil"/>
          <w:insideV w:val="nil"/>
        </w:tcBorders>
        <w:shd w:val="clear" w:color="auto" w:fill="255B6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5"/>
      </w:tcPr>
    </w:tblStylePr>
    <w:tblStylePr w:type="lastCol">
      <w:rPr>
        <w:b/>
        <w:bCs/>
        <w:color w:val="FFFFFF" w:themeColor="background1"/>
      </w:rPr>
      <w:tblPr/>
      <w:tcPr>
        <w:tcBorders>
          <w:left w:val="nil"/>
          <w:right w:val="nil"/>
          <w:insideH w:val="nil"/>
          <w:insideV w:val="nil"/>
        </w:tcBorders>
        <w:shd w:val="clear" w:color="auto" w:fill="255B6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6"/>
      </w:tcPr>
    </w:tblStylePr>
    <w:tblStylePr w:type="lastCol">
      <w:rPr>
        <w:b/>
        <w:bCs/>
        <w:color w:val="FFFFFF" w:themeColor="background1"/>
      </w:rPr>
      <w:tblPr/>
      <w:tcPr>
        <w:tcBorders>
          <w:left w:val="nil"/>
          <w:right w:val="nil"/>
          <w:insideH w:val="nil"/>
          <w:insideV w:val="nil"/>
        </w:tcBorders>
        <w:shd w:val="clear" w:color="auto" w:fill="255B6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255B63"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1"/>
        <w:bottom w:val="single" w:sz="8" w:space="0" w:color="255B63" w:themeColor="accent1"/>
      </w:tblBorders>
    </w:tblPr>
    <w:tblStylePr w:type="firstRow">
      <w:rPr>
        <w:rFonts w:asciiTheme="majorHAnsi" w:eastAsiaTheme="majorEastAsia" w:hAnsiTheme="majorHAnsi" w:cstheme="majorBidi"/>
      </w:rPr>
      <w:tblPr/>
      <w:tcPr>
        <w:tcBorders>
          <w:top w:val="nil"/>
          <w:bottom w:val="single" w:sz="8" w:space="0" w:color="255B63" w:themeColor="accent1"/>
        </w:tcBorders>
      </w:tcPr>
    </w:tblStylePr>
    <w:tblStylePr w:type="lastRow">
      <w:rPr>
        <w:b/>
        <w:bCs/>
        <w:color w:val="255B63" w:themeColor="text2"/>
      </w:rPr>
      <w:tblPr/>
      <w:tcPr>
        <w:tcBorders>
          <w:top w:val="single" w:sz="8" w:space="0" w:color="255B63" w:themeColor="accent1"/>
          <w:bottom w:val="single" w:sz="8" w:space="0" w:color="255B63" w:themeColor="accent1"/>
        </w:tcBorders>
      </w:tcPr>
    </w:tblStylePr>
    <w:tblStylePr w:type="firstCol">
      <w:rPr>
        <w:b/>
        <w:bCs/>
      </w:rPr>
    </w:tblStylePr>
    <w:tblStylePr w:type="lastCol">
      <w:rPr>
        <w:b/>
        <w:bCs/>
      </w:rPr>
      <w:tblPr/>
      <w:tcPr>
        <w:tcBorders>
          <w:top w:val="single" w:sz="8" w:space="0" w:color="255B63" w:themeColor="accent1"/>
          <w:bottom w:val="single" w:sz="8" w:space="0" w:color="255B63" w:themeColor="accent1"/>
        </w:tcBorders>
      </w:tcPr>
    </w:tblStylePr>
    <w:tblStylePr w:type="band1Vert">
      <w:tblPr/>
      <w:tcPr>
        <w:shd w:val="clear" w:color="auto" w:fill="BBE0E5" w:themeFill="accent1" w:themeFillTint="3F"/>
      </w:tcPr>
    </w:tblStylePr>
    <w:tblStylePr w:type="band1Horz">
      <w:tblPr/>
      <w:tcPr>
        <w:shd w:val="clear" w:color="auto" w:fill="BBE0E5"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sz="8" w:space="0" w:color="68757A" w:themeColor="accent2"/>
        <w:bottom w:val="single" w:sz="8" w:space="0" w:color="68757A" w:themeColor="accent2"/>
      </w:tblBorders>
    </w:tblPr>
    <w:tblStylePr w:type="firstRow">
      <w:rPr>
        <w:rFonts w:asciiTheme="majorHAnsi" w:eastAsiaTheme="majorEastAsia" w:hAnsiTheme="majorHAnsi" w:cstheme="majorBidi"/>
      </w:rPr>
      <w:tblPr/>
      <w:tcPr>
        <w:tcBorders>
          <w:top w:val="nil"/>
          <w:bottom w:val="single" w:sz="8" w:space="0" w:color="68757A" w:themeColor="accent2"/>
        </w:tcBorders>
      </w:tcPr>
    </w:tblStylePr>
    <w:tblStylePr w:type="lastRow">
      <w:rPr>
        <w:b/>
        <w:bCs/>
        <w:color w:val="255B63" w:themeColor="text2"/>
      </w:rPr>
      <w:tblPr/>
      <w:tcPr>
        <w:tcBorders>
          <w:top w:val="single" w:sz="8" w:space="0" w:color="68757A" w:themeColor="accent2"/>
          <w:bottom w:val="single" w:sz="8" w:space="0" w:color="68757A" w:themeColor="accent2"/>
        </w:tcBorders>
      </w:tcPr>
    </w:tblStylePr>
    <w:tblStylePr w:type="firstCol">
      <w:rPr>
        <w:b/>
        <w:bCs/>
      </w:rPr>
    </w:tblStylePr>
    <w:tblStylePr w:type="lastCol">
      <w:rPr>
        <w:b/>
        <w:bCs/>
      </w:rPr>
      <w:tblPr/>
      <w:tcPr>
        <w:tcBorders>
          <w:top w:val="single" w:sz="8" w:space="0" w:color="68757A" w:themeColor="accent2"/>
          <w:bottom w:val="single" w:sz="8" w:space="0" w:color="68757A" w:themeColor="accent2"/>
        </w:tcBorders>
      </w:tcPr>
    </w:tblStylePr>
    <w:tblStylePr w:type="band1Vert">
      <w:tblPr/>
      <w:tcPr>
        <w:shd w:val="clear" w:color="auto" w:fill="D9DDDE" w:themeFill="accent2" w:themeFillTint="3F"/>
      </w:tcPr>
    </w:tblStylePr>
    <w:tblStylePr w:type="band1Horz">
      <w:tblPr/>
      <w:tcPr>
        <w:shd w:val="clear" w:color="auto" w:fill="D9DDDE"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3"/>
        <w:bottom w:val="single" w:sz="8" w:space="0" w:color="255B63" w:themeColor="accent3"/>
      </w:tblBorders>
    </w:tblPr>
    <w:tblStylePr w:type="firstRow">
      <w:rPr>
        <w:rFonts w:asciiTheme="majorHAnsi" w:eastAsiaTheme="majorEastAsia" w:hAnsiTheme="majorHAnsi" w:cstheme="majorBidi"/>
      </w:rPr>
      <w:tblPr/>
      <w:tcPr>
        <w:tcBorders>
          <w:top w:val="nil"/>
          <w:bottom w:val="single" w:sz="8" w:space="0" w:color="255B63" w:themeColor="accent3"/>
        </w:tcBorders>
      </w:tcPr>
    </w:tblStylePr>
    <w:tblStylePr w:type="lastRow">
      <w:rPr>
        <w:b/>
        <w:bCs/>
        <w:color w:val="255B63" w:themeColor="text2"/>
      </w:rPr>
      <w:tblPr/>
      <w:tcPr>
        <w:tcBorders>
          <w:top w:val="single" w:sz="8" w:space="0" w:color="255B63" w:themeColor="accent3"/>
          <w:bottom w:val="single" w:sz="8" w:space="0" w:color="255B63" w:themeColor="accent3"/>
        </w:tcBorders>
      </w:tcPr>
    </w:tblStylePr>
    <w:tblStylePr w:type="firstCol">
      <w:rPr>
        <w:b/>
        <w:bCs/>
      </w:rPr>
    </w:tblStylePr>
    <w:tblStylePr w:type="lastCol">
      <w:rPr>
        <w:b/>
        <w:bCs/>
      </w:rPr>
      <w:tblPr/>
      <w:tcPr>
        <w:tcBorders>
          <w:top w:val="single" w:sz="8" w:space="0" w:color="255B63" w:themeColor="accent3"/>
          <w:bottom w:val="single" w:sz="8" w:space="0" w:color="255B63" w:themeColor="accent3"/>
        </w:tcBorders>
      </w:tcPr>
    </w:tblStylePr>
    <w:tblStylePr w:type="band1Vert">
      <w:tblPr/>
      <w:tcPr>
        <w:shd w:val="clear" w:color="auto" w:fill="BBE0E5" w:themeFill="accent3" w:themeFillTint="3F"/>
      </w:tcPr>
    </w:tblStylePr>
    <w:tblStylePr w:type="band1Horz">
      <w:tblPr/>
      <w:tcPr>
        <w:shd w:val="clear" w:color="auto" w:fill="BBE0E5"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4"/>
        <w:bottom w:val="single" w:sz="8" w:space="0" w:color="255B63" w:themeColor="accent4"/>
      </w:tblBorders>
    </w:tblPr>
    <w:tblStylePr w:type="firstRow">
      <w:rPr>
        <w:rFonts w:asciiTheme="majorHAnsi" w:eastAsiaTheme="majorEastAsia" w:hAnsiTheme="majorHAnsi" w:cstheme="majorBidi"/>
      </w:rPr>
      <w:tblPr/>
      <w:tcPr>
        <w:tcBorders>
          <w:top w:val="nil"/>
          <w:bottom w:val="single" w:sz="8" w:space="0" w:color="255B63" w:themeColor="accent4"/>
        </w:tcBorders>
      </w:tcPr>
    </w:tblStylePr>
    <w:tblStylePr w:type="lastRow">
      <w:rPr>
        <w:b/>
        <w:bCs/>
        <w:color w:val="255B63" w:themeColor="text2"/>
      </w:rPr>
      <w:tblPr/>
      <w:tcPr>
        <w:tcBorders>
          <w:top w:val="single" w:sz="8" w:space="0" w:color="255B63" w:themeColor="accent4"/>
          <w:bottom w:val="single" w:sz="8" w:space="0" w:color="255B63" w:themeColor="accent4"/>
        </w:tcBorders>
      </w:tcPr>
    </w:tblStylePr>
    <w:tblStylePr w:type="firstCol">
      <w:rPr>
        <w:b/>
        <w:bCs/>
      </w:rPr>
    </w:tblStylePr>
    <w:tblStylePr w:type="lastCol">
      <w:rPr>
        <w:b/>
        <w:bCs/>
      </w:rPr>
      <w:tblPr/>
      <w:tcPr>
        <w:tcBorders>
          <w:top w:val="single" w:sz="8" w:space="0" w:color="255B63" w:themeColor="accent4"/>
          <w:bottom w:val="single" w:sz="8" w:space="0" w:color="255B63" w:themeColor="accent4"/>
        </w:tcBorders>
      </w:tcPr>
    </w:tblStylePr>
    <w:tblStylePr w:type="band1Vert">
      <w:tblPr/>
      <w:tcPr>
        <w:shd w:val="clear" w:color="auto" w:fill="BBE0E5" w:themeFill="accent4" w:themeFillTint="3F"/>
      </w:tcPr>
    </w:tblStylePr>
    <w:tblStylePr w:type="band1Horz">
      <w:tblPr/>
      <w:tcPr>
        <w:shd w:val="clear" w:color="auto" w:fill="BBE0E5"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5"/>
        <w:bottom w:val="single" w:sz="8" w:space="0" w:color="255B63" w:themeColor="accent5"/>
      </w:tblBorders>
    </w:tblPr>
    <w:tblStylePr w:type="firstRow">
      <w:rPr>
        <w:rFonts w:asciiTheme="majorHAnsi" w:eastAsiaTheme="majorEastAsia" w:hAnsiTheme="majorHAnsi" w:cstheme="majorBidi"/>
      </w:rPr>
      <w:tblPr/>
      <w:tcPr>
        <w:tcBorders>
          <w:top w:val="nil"/>
          <w:bottom w:val="single" w:sz="8" w:space="0" w:color="255B63" w:themeColor="accent5"/>
        </w:tcBorders>
      </w:tcPr>
    </w:tblStylePr>
    <w:tblStylePr w:type="lastRow">
      <w:rPr>
        <w:b/>
        <w:bCs/>
        <w:color w:val="255B63" w:themeColor="text2"/>
      </w:rPr>
      <w:tblPr/>
      <w:tcPr>
        <w:tcBorders>
          <w:top w:val="single" w:sz="8" w:space="0" w:color="255B63" w:themeColor="accent5"/>
          <w:bottom w:val="single" w:sz="8" w:space="0" w:color="255B63" w:themeColor="accent5"/>
        </w:tcBorders>
      </w:tcPr>
    </w:tblStylePr>
    <w:tblStylePr w:type="firstCol">
      <w:rPr>
        <w:b/>
        <w:bCs/>
      </w:rPr>
    </w:tblStylePr>
    <w:tblStylePr w:type="lastCol">
      <w:rPr>
        <w:b/>
        <w:bCs/>
      </w:rPr>
      <w:tblPr/>
      <w:tcPr>
        <w:tcBorders>
          <w:top w:val="single" w:sz="8" w:space="0" w:color="255B63" w:themeColor="accent5"/>
          <w:bottom w:val="single" w:sz="8" w:space="0" w:color="255B63" w:themeColor="accent5"/>
        </w:tcBorders>
      </w:tcPr>
    </w:tblStylePr>
    <w:tblStylePr w:type="band1Vert">
      <w:tblPr/>
      <w:tcPr>
        <w:shd w:val="clear" w:color="auto" w:fill="BBE0E5" w:themeFill="accent5" w:themeFillTint="3F"/>
      </w:tcPr>
    </w:tblStylePr>
    <w:tblStylePr w:type="band1Horz">
      <w:tblPr/>
      <w:tcPr>
        <w:shd w:val="clear" w:color="auto" w:fill="BBE0E5"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6"/>
        <w:bottom w:val="single" w:sz="8" w:space="0" w:color="255B63" w:themeColor="accent6"/>
      </w:tblBorders>
    </w:tblPr>
    <w:tblStylePr w:type="firstRow">
      <w:rPr>
        <w:rFonts w:asciiTheme="majorHAnsi" w:eastAsiaTheme="majorEastAsia" w:hAnsiTheme="majorHAnsi" w:cstheme="majorBidi"/>
      </w:rPr>
      <w:tblPr/>
      <w:tcPr>
        <w:tcBorders>
          <w:top w:val="nil"/>
          <w:bottom w:val="single" w:sz="8" w:space="0" w:color="255B63" w:themeColor="accent6"/>
        </w:tcBorders>
      </w:tcPr>
    </w:tblStylePr>
    <w:tblStylePr w:type="lastRow">
      <w:rPr>
        <w:b/>
        <w:bCs/>
        <w:color w:val="255B63" w:themeColor="text2"/>
      </w:rPr>
      <w:tblPr/>
      <w:tcPr>
        <w:tcBorders>
          <w:top w:val="single" w:sz="8" w:space="0" w:color="255B63" w:themeColor="accent6"/>
          <w:bottom w:val="single" w:sz="8" w:space="0" w:color="255B63" w:themeColor="accent6"/>
        </w:tcBorders>
      </w:tcPr>
    </w:tblStylePr>
    <w:tblStylePr w:type="firstCol">
      <w:rPr>
        <w:b/>
        <w:bCs/>
      </w:rPr>
    </w:tblStylePr>
    <w:tblStylePr w:type="lastCol">
      <w:rPr>
        <w:b/>
        <w:bCs/>
      </w:rPr>
      <w:tblPr/>
      <w:tcPr>
        <w:tcBorders>
          <w:top w:val="single" w:sz="8" w:space="0" w:color="255B63" w:themeColor="accent6"/>
          <w:bottom w:val="single" w:sz="8" w:space="0" w:color="255B63" w:themeColor="accent6"/>
        </w:tcBorders>
      </w:tcPr>
    </w:tblStylePr>
    <w:tblStylePr w:type="band1Vert">
      <w:tblPr/>
      <w:tcPr>
        <w:shd w:val="clear" w:color="auto" w:fill="BBE0E5" w:themeFill="accent6" w:themeFillTint="3F"/>
      </w:tcPr>
    </w:tblStylePr>
    <w:tblStylePr w:type="band1Horz">
      <w:tblPr/>
      <w:tcPr>
        <w:shd w:val="clear" w:color="auto" w:fill="BBE0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rPr>
        <w:sz w:val="24"/>
        <w:szCs w:val="24"/>
      </w:rPr>
      <w:tblPr/>
      <w:tcPr>
        <w:tcBorders>
          <w:top w:val="nil"/>
          <w:left w:val="nil"/>
          <w:bottom w:val="single" w:sz="24" w:space="0" w:color="255B63" w:themeColor="accent1"/>
          <w:right w:val="nil"/>
          <w:insideH w:val="nil"/>
          <w:insideV w:val="nil"/>
        </w:tcBorders>
        <w:shd w:val="clear" w:color="auto" w:fill="FFFFFF" w:themeFill="background1"/>
      </w:tcPr>
    </w:tblStylePr>
    <w:tblStylePr w:type="lastRow">
      <w:tblPr/>
      <w:tcPr>
        <w:tcBorders>
          <w:top w:val="single" w:sz="8" w:space="0" w:color="255B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1"/>
          <w:insideH w:val="nil"/>
          <w:insideV w:val="nil"/>
        </w:tcBorders>
        <w:shd w:val="clear" w:color="auto" w:fill="FFFFFF" w:themeFill="background1"/>
      </w:tcPr>
    </w:tblStylePr>
    <w:tblStylePr w:type="lastCol">
      <w:tblPr/>
      <w:tcPr>
        <w:tcBorders>
          <w:top w:val="nil"/>
          <w:left w:val="single" w:sz="8" w:space="0" w:color="255B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top w:val="nil"/>
          <w:bottom w:val="nil"/>
          <w:insideH w:val="nil"/>
          <w:insideV w:val="nil"/>
        </w:tcBorders>
        <w:shd w:val="clear" w:color="auto" w:fill="BBE0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rPr>
        <w:sz w:val="24"/>
        <w:szCs w:val="24"/>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tblPr/>
      <w:tcPr>
        <w:tcBorders>
          <w:top w:val="single" w:sz="8" w:space="0" w:color="68757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8757A" w:themeColor="accent2"/>
          <w:insideH w:val="nil"/>
          <w:insideV w:val="nil"/>
        </w:tcBorders>
        <w:shd w:val="clear" w:color="auto" w:fill="FFFFFF" w:themeFill="background1"/>
      </w:tcPr>
    </w:tblStylePr>
    <w:tblStylePr w:type="lastCol">
      <w:tblPr/>
      <w:tcPr>
        <w:tcBorders>
          <w:top w:val="nil"/>
          <w:left w:val="single" w:sz="8" w:space="0" w:color="687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top w:val="nil"/>
          <w:bottom w:val="nil"/>
          <w:insideH w:val="nil"/>
          <w:insideV w:val="nil"/>
        </w:tcBorders>
        <w:shd w:val="clear" w:color="auto" w:fill="D9DD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rPr>
        <w:sz w:val="24"/>
        <w:szCs w:val="24"/>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tblPr/>
      <w:tcPr>
        <w:tcBorders>
          <w:top w:val="single" w:sz="8" w:space="0" w:color="255B6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3"/>
          <w:insideH w:val="nil"/>
          <w:insideV w:val="nil"/>
        </w:tcBorders>
        <w:shd w:val="clear" w:color="auto" w:fill="FFFFFF" w:themeFill="background1"/>
      </w:tcPr>
    </w:tblStylePr>
    <w:tblStylePr w:type="lastCol">
      <w:tblPr/>
      <w:tcPr>
        <w:tcBorders>
          <w:top w:val="nil"/>
          <w:left w:val="single" w:sz="8" w:space="0" w:color="255B6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top w:val="nil"/>
          <w:bottom w:val="nil"/>
          <w:insideH w:val="nil"/>
          <w:insideV w:val="nil"/>
        </w:tcBorders>
        <w:shd w:val="clear" w:color="auto" w:fill="BBE0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rPr>
        <w:sz w:val="24"/>
        <w:szCs w:val="24"/>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tblPr/>
      <w:tcPr>
        <w:tcBorders>
          <w:top w:val="single" w:sz="8" w:space="0" w:color="255B6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4"/>
          <w:insideH w:val="nil"/>
          <w:insideV w:val="nil"/>
        </w:tcBorders>
        <w:shd w:val="clear" w:color="auto" w:fill="FFFFFF" w:themeFill="background1"/>
      </w:tcPr>
    </w:tblStylePr>
    <w:tblStylePr w:type="lastCol">
      <w:tblPr/>
      <w:tcPr>
        <w:tcBorders>
          <w:top w:val="nil"/>
          <w:left w:val="single" w:sz="8" w:space="0" w:color="255B6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top w:val="nil"/>
          <w:bottom w:val="nil"/>
          <w:insideH w:val="nil"/>
          <w:insideV w:val="nil"/>
        </w:tcBorders>
        <w:shd w:val="clear" w:color="auto" w:fill="BBE0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rPr>
        <w:sz w:val="24"/>
        <w:szCs w:val="24"/>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tblPr/>
      <w:tcPr>
        <w:tcBorders>
          <w:top w:val="single" w:sz="8" w:space="0" w:color="255B6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5"/>
          <w:insideH w:val="nil"/>
          <w:insideV w:val="nil"/>
        </w:tcBorders>
        <w:shd w:val="clear" w:color="auto" w:fill="FFFFFF" w:themeFill="background1"/>
      </w:tcPr>
    </w:tblStylePr>
    <w:tblStylePr w:type="lastCol">
      <w:tblPr/>
      <w:tcPr>
        <w:tcBorders>
          <w:top w:val="nil"/>
          <w:left w:val="single" w:sz="8" w:space="0" w:color="255B6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top w:val="nil"/>
          <w:bottom w:val="nil"/>
          <w:insideH w:val="nil"/>
          <w:insideV w:val="nil"/>
        </w:tcBorders>
        <w:shd w:val="clear" w:color="auto" w:fill="BBE0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rPr>
        <w:sz w:val="24"/>
        <w:szCs w:val="24"/>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tblPr/>
      <w:tcPr>
        <w:tcBorders>
          <w:top w:val="single" w:sz="8" w:space="0" w:color="255B6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6"/>
          <w:insideH w:val="nil"/>
          <w:insideV w:val="nil"/>
        </w:tcBorders>
        <w:shd w:val="clear" w:color="auto" w:fill="FFFFFF" w:themeFill="background1"/>
      </w:tcPr>
    </w:tblStylePr>
    <w:tblStylePr w:type="lastCol">
      <w:tblPr/>
      <w:tcPr>
        <w:tcBorders>
          <w:top w:val="nil"/>
          <w:left w:val="single" w:sz="8" w:space="0" w:color="255B6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top w:val="nil"/>
          <w:bottom w:val="nil"/>
          <w:insideH w:val="nil"/>
          <w:insideV w:val="nil"/>
        </w:tcBorders>
        <w:shd w:val="clear" w:color="auto" w:fill="BBE0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insideV w:val="single" w:sz="8" w:space="0" w:color="3E99A7" w:themeColor="accent1" w:themeTint="BF"/>
      </w:tblBorders>
    </w:tblPr>
    <w:tcPr>
      <w:shd w:val="clear" w:color="auto" w:fill="BBE0E5" w:themeFill="accent1" w:themeFillTint="3F"/>
    </w:tcPr>
    <w:tblStylePr w:type="firstRow">
      <w:rPr>
        <w:b/>
        <w:bCs/>
      </w:rPr>
    </w:tblStylePr>
    <w:tblStylePr w:type="lastRow">
      <w:rPr>
        <w:b/>
        <w:bCs/>
      </w:rPr>
      <w:tblPr/>
      <w:tcPr>
        <w:tcBorders>
          <w:top w:val="single" w:sz="18" w:space="0" w:color="3E99A7" w:themeColor="accent1" w:themeTint="BF"/>
        </w:tcBorders>
      </w:tcPr>
    </w:tblStylePr>
    <w:tblStylePr w:type="firstCol">
      <w:rPr>
        <w:b/>
        <w:bCs/>
      </w:rPr>
    </w:tblStylePr>
    <w:tblStylePr w:type="lastCol">
      <w:rPr>
        <w:b/>
        <w:bCs/>
      </w:r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insideV w:val="single" w:sz="8" w:space="0" w:color="8C989D" w:themeColor="accent2" w:themeTint="BF"/>
      </w:tblBorders>
    </w:tblPr>
    <w:tcPr>
      <w:shd w:val="clear" w:color="auto" w:fill="D9DDDE" w:themeFill="accent2" w:themeFillTint="3F"/>
    </w:tcPr>
    <w:tblStylePr w:type="firstRow">
      <w:rPr>
        <w:b/>
        <w:bCs/>
      </w:rPr>
    </w:tblStylePr>
    <w:tblStylePr w:type="lastRow">
      <w:rPr>
        <w:b/>
        <w:bCs/>
      </w:rPr>
      <w:tblPr/>
      <w:tcPr>
        <w:tcBorders>
          <w:top w:val="single" w:sz="18" w:space="0" w:color="8C989D" w:themeColor="accent2" w:themeTint="BF"/>
        </w:tcBorders>
      </w:tcPr>
    </w:tblStylePr>
    <w:tblStylePr w:type="firstCol">
      <w:rPr>
        <w:b/>
        <w:bCs/>
      </w:rPr>
    </w:tblStylePr>
    <w:tblStylePr w:type="lastCol">
      <w:rPr>
        <w:b/>
        <w:bCs/>
      </w:r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insideV w:val="single" w:sz="8" w:space="0" w:color="3E99A7" w:themeColor="accent3" w:themeTint="BF"/>
      </w:tblBorders>
    </w:tblPr>
    <w:tcPr>
      <w:shd w:val="clear" w:color="auto" w:fill="BBE0E5" w:themeFill="accent3" w:themeFillTint="3F"/>
    </w:tcPr>
    <w:tblStylePr w:type="firstRow">
      <w:rPr>
        <w:b/>
        <w:bCs/>
      </w:rPr>
    </w:tblStylePr>
    <w:tblStylePr w:type="lastRow">
      <w:rPr>
        <w:b/>
        <w:bCs/>
      </w:rPr>
      <w:tblPr/>
      <w:tcPr>
        <w:tcBorders>
          <w:top w:val="single" w:sz="18" w:space="0" w:color="3E99A7" w:themeColor="accent3" w:themeTint="BF"/>
        </w:tcBorders>
      </w:tcPr>
    </w:tblStylePr>
    <w:tblStylePr w:type="firstCol">
      <w:rPr>
        <w:b/>
        <w:bCs/>
      </w:rPr>
    </w:tblStylePr>
    <w:tblStylePr w:type="lastCol">
      <w:rPr>
        <w:b/>
        <w:bCs/>
      </w:r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insideV w:val="single" w:sz="8" w:space="0" w:color="3E99A7" w:themeColor="accent4" w:themeTint="BF"/>
      </w:tblBorders>
    </w:tblPr>
    <w:tcPr>
      <w:shd w:val="clear" w:color="auto" w:fill="BBE0E5" w:themeFill="accent4" w:themeFillTint="3F"/>
    </w:tcPr>
    <w:tblStylePr w:type="firstRow">
      <w:rPr>
        <w:b/>
        <w:bCs/>
      </w:rPr>
    </w:tblStylePr>
    <w:tblStylePr w:type="lastRow">
      <w:rPr>
        <w:b/>
        <w:bCs/>
      </w:rPr>
      <w:tblPr/>
      <w:tcPr>
        <w:tcBorders>
          <w:top w:val="single" w:sz="18" w:space="0" w:color="3E99A7" w:themeColor="accent4" w:themeTint="BF"/>
        </w:tcBorders>
      </w:tcPr>
    </w:tblStylePr>
    <w:tblStylePr w:type="firstCol">
      <w:rPr>
        <w:b/>
        <w:bCs/>
      </w:rPr>
    </w:tblStylePr>
    <w:tblStylePr w:type="lastCol">
      <w:rPr>
        <w:b/>
        <w:bCs/>
      </w:r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insideV w:val="single" w:sz="8" w:space="0" w:color="3E99A7" w:themeColor="accent5" w:themeTint="BF"/>
      </w:tblBorders>
    </w:tblPr>
    <w:tcPr>
      <w:shd w:val="clear" w:color="auto" w:fill="BBE0E5" w:themeFill="accent5" w:themeFillTint="3F"/>
    </w:tcPr>
    <w:tblStylePr w:type="firstRow">
      <w:rPr>
        <w:b/>
        <w:bCs/>
      </w:rPr>
    </w:tblStylePr>
    <w:tblStylePr w:type="lastRow">
      <w:rPr>
        <w:b/>
        <w:bCs/>
      </w:rPr>
      <w:tblPr/>
      <w:tcPr>
        <w:tcBorders>
          <w:top w:val="single" w:sz="18" w:space="0" w:color="3E99A7" w:themeColor="accent5" w:themeTint="BF"/>
        </w:tcBorders>
      </w:tcPr>
    </w:tblStylePr>
    <w:tblStylePr w:type="firstCol">
      <w:rPr>
        <w:b/>
        <w:bCs/>
      </w:rPr>
    </w:tblStylePr>
    <w:tblStylePr w:type="lastCol">
      <w:rPr>
        <w:b/>
        <w:bCs/>
      </w:r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insideV w:val="single" w:sz="8" w:space="0" w:color="3E99A7" w:themeColor="accent6" w:themeTint="BF"/>
      </w:tblBorders>
    </w:tblPr>
    <w:tcPr>
      <w:shd w:val="clear" w:color="auto" w:fill="BBE0E5" w:themeFill="accent6" w:themeFillTint="3F"/>
    </w:tcPr>
    <w:tblStylePr w:type="firstRow">
      <w:rPr>
        <w:b/>
        <w:bCs/>
      </w:rPr>
    </w:tblStylePr>
    <w:tblStylePr w:type="lastRow">
      <w:rPr>
        <w:b/>
        <w:bCs/>
      </w:rPr>
      <w:tblPr/>
      <w:tcPr>
        <w:tcBorders>
          <w:top w:val="single" w:sz="18" w:space="0" w:color="3E99A7" w:themeColor="accent6" w:themeTint="BF"/>
        </w:tcBorders>
      </w:tcPr>
    </w:tblStylePr>
    <w:tblStylePr w:type="firstCol">
      <w:rPr>
        <w:b/>
        <w:bCs/>
      </w:rPr>
    </w:tblStylePr>
    <w:tblStylePr w:type="lastCol">
      <w:rPr>
        <w:b/>
        <w:bCs/>
      </w:r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cPr>
      <w:shd w:val="clear" w:color="auto" w:fill="BBE0E5" w:themeFill="accent1" w:themeFillTint="3F"/>
    </w:tcPr>
    <w:tblStylePr w:type="firstRow">
      <w:rPr>
        <w:b/>
        <w:bCs/>
        <w:color w:val="1A1A1A" w:themeColor="text1"/>
      </w:rPr>
      <w:tblPr/>
      <w:tcPr>
        <w:shd w:val="clear" w:color="auto" w:fill="E4F2F5"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1" w:themeFillTint="33"/>
      </w:tcPr>
    </w:tblStylePr>
    <w:tblStylePr w:type="band1Vert">
      <w:tblPr/>
      <w:tcPr>
        <w:shd w:val="clear" w:color="auto" w:fill="77C1CC" w:themeFill="accent1" w:themeFillTint="7F"/>
      </w:tcPr>
    </w:tblStylePr>
    <w:tblStylePr w:type="band1Horz">
      <w:tblPr/>
      <w:tcPr>
        <w:tcBorders>
          <w:insideH w:val="single" w:sz="6" w:space="0" w:color="255B63" w:themeColor="accent1"/>
          <w:insideV w:val="single" w:sz="6" w:space="0" w:color="255B63" w:themeColor="accent1"/>
        </w:tcBorders>
        <w:shd w:val="clear" w:color="auto" w:fill="77C1C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cPr>
      <w:shd w:val="clear" w:color="auto" w:fill="D9DDDE" w:themeFill="accent2" w:themeFillTint="3F"/>
    </w:tcPr>
    <w:tblStylePr w:type="firstRow">
      <w:rPr>
        <w:b/>
        <w:bCs/>
        <w:color w:val="1A1A1A" w:themeColor="text1"/>
      </w:rPr>
      <w:tblPr/>
      <w:tcPr>
        <w:shd w:val="clear" w:color="auto" w:fill="EFF1F2"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0E3E4" w:themeFill="accent2" w:themeFillTint="33"/>
      </w:tcPr>
    </w:tblStylePr>
    <w:tblStylePr w:type="band1Vert">
      <w:tblPr/>
      <w:tcPr>
        <w:shd w:val="clear" w:color="auto" w:fill="B2BABD" w:themeFill="accent2" w:themeFillTint="7F"/>
      </w:tcPr>
    </w:tblStylePr>
    <w:tblStylePr w:type="band1Horz">
      <w:tblPr/>
      <w:tcPr>
        <w:tcBorders>
          <w:insideH w:val="single" w:sz="6" w:space="0" w:color="68757A" w:themeColor="accent2"/>
          <w:insideV w:val="single" w:sz="6" w:space="0" w:color="68757A" w:themeColor="accent2"/>
        </w:tcBorders>
        <w:shd w:val="clear" w:color="auto" w:fill="B2BA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cPr>
      <w:shd w:val="clear" w:color="auto" w:fill="BBE0E5" w:themeFill="accent3" w:themeFillTint="3F"/>
    </w:tcPr>
    <w:tblStylePr w:type="firstRow">
      <w:rPr>
        <w:b/>
        <w:bCs/>
        <w:color w:val="1A1A1A" w:themeColor="text1"/>
      </w:rPr>
      <w:tblPr/>
      <w:tcPr>
        <w:shd w:val="clear" w:color="auto" w:fill="E4F2F5"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3" w:themeFillTint="33"/>
      </w:tcPr>
    </w:tblStylePr>
    <w:tblStylePr w:type="band1Vert">
      <w:tblPr/>
      <w:tcPr>
        <w:shd w:val="clear" w:color="auto" w:fill="77C1CC" w:themeFill="accent3" w:themeFillTint="7F"/>
      </w:tcPr>
    </w:tblStylePr>
    <w:tblStylePr w:type="band1Horz">
      <w:tblPr/>
      <w:tcPr>
        <w:tcBorders>
          <w:insideH w:val="single" w:sz="6" w:space="0" w:color="255B63" w:themeColor="accent3"/>
          <w:insideV w:val="single" w:sz="6" w:space="0" w:color="255B63" w:themeColor="accent3"/>
        </w:tcBorders>
        <w:shd w:val="clear" w:color="auto" w:fill="77C1C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cPr>
      <w:shd w:val="clear" w:color="auto" w:fill="BBE0E5" w:themeFill="accent4" w:themeFillTint="3F"/>
    </w:tcPr>
    <w:tblStylePr w:type="firstRow">
      <w:rPr>
        <w:b/>
        <w:bCs/>
        <w:color w:val="1A1A1A" w:themeColor="text1"/>
      </w:rPr>
      <w:tblPr/>
      <w:tcPr>
        <w:shd w:val="clear" w:color="auto" w:fill="E4F2F5"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4" w:themeFillTint="33"/>
      </w:tcPr>
    </w:tblStylePr>
    <w:tblStylePr w:type="band1Vert">
      <w:tblPr/>
      <w:tcPr>
        <w:shd w:val="clear" w:color="auto" w:fill="77C1CC" w:themeFill="accent4" w:themeFillTint="7F"/>
      </w:tcPr>
    </w:tblStylePr>
    <w:tblStylePr w:type="band1Horz">
      <w:tblPr/>
      <w:tcPr>
        <w:tcBorders>
          <w:insideH w:val="single" w:sz="6" w:space="0" w:color="255B63" w:themeColor="accent4"/>
          <w:insideV w:val="single" w:sz="6" w:space="0" w:color="255B63" w:themeColor="accent4"/>
        </w:tcBorders>
        <w:shd w:val="clear" w:color="auto" w:fill="77C1C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cPr>
      <w:shd w:val="clear" w:color="auto" w:fill="BBE0E5" w:themeFill="accent5" w:themeFillTint="3F"/>
    </w:tcPr>
    <w:tblStylePr w:type="firstRow">
      <w:rPr>
        <w:b/>
        <w:bCs/>
        <w:color w:val="1A1A1A" w:themeColor="text1"/>
      </w:rPr>
      <w:tblPr/>
      <w:tcPr>
        <w:shd w:val="clear" w:color="auto" w:fill="E4F2F5"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5" w:themeFillTint="33"/>
      </w:tcPr>
    </w:tblStylePr>
    <w:tblStylePr w:type="band1Vert">
      <w:tblPr/>
      <w:tcPr>
        <w:shd w:val="clear" w:color="auto" w:fill="77C1CC" w:themeFill="accent5" w:themeFillTint="7F"/>
      </w:tcPr>
    </w:tblStylePr>
    <w:tblStylePr w:type="band1Horz">
      <w:tblPr/>
      <w:tcPr>
        <w:tcBorders>
          <w:insideH w:val="single" w:sz="6" w:space="0" w:color="255B63" w:themeColor="accent5"/>
          <w:insideV w:val="single" w:sz="6" w:space="0" w:color="255B63" w:themeColor="accent5"/>
        </w:tcBorders>
        <w:shd w:val="clear" w:color="auto" w:fill="77C1C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cPr>
      <w:shd w:val="clear" w:color="auto" w:fill="BBE0E5" w:themeFill="accent6" w:themeFillTint="3F"/>
    </w:tcPr>
    <w:tblStylePr w:type="firstRow">
      <w:rPr>
        <w:b/>
        <w:bCs/>
        <w:color w:val="1A1A1A" w:themeColor="text1"/>
      </w:rPr>
      <w:tblPr/>
      <w:tcPr>
        <w:shd w:val="clear" w:color="auto" w:fill="E4F2F5"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6" w:themeFillTint="33"/>
      </w:tcPr>
    </w:tblStylePr>
    <w:tblStylePr w:type="band1Vert">
      <w:tblPr/>
      <w:tcPr>
        <w:shd w:val="clear" w:color="auto" w:fill="77C1CC" w:themeFill="accent6" w:themeFillTint="7F"/>
      </w:tcPr>
    </w:tblStylePr>
    <w:tblStylePr w:type="band1Horz">
      <w:tblPr/>
      <w:tcPr>
        <w:tcBorders>
          <w:insideH w:val="single" w:sz="6" w:space="0" w:color="255B63" w:themeColor="accent6"/>
          <w:insideV w:val="single" w:sz="6" w:space="0" w:color="255B63" w:themeColor="accent6"/>
        </w:tcBorders>
        <w:shd w:val="clear" w:color="auto" w:fill="77C1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D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87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87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A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ABD"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1" w:themeFillShade="BF"/>
      </w:tcPr>
    </w:tblStylePr>
    <w:tblStylePr w:type="band1Vert">
      <w:tblPr/>
      <w:tcPr>
        <w:tcBorders>
          <w:top w:val="nil"/>
          <w:left w:val="nil"/>
          <w:bottom w:val="nil"/>
          <w:right w:val="nil"/>
          <w:insideH w:val="nil"/>
          <w:insideV w:val="nil"/>
        </w:tcBorders>
        <w:shd w:val="clear" w:color="auto" w:fill="1B4349" w:themeFill="accent1" w:themeFillShade="BF"/>
      </w:tcPr>
    </w:tblStylePr>
    <w:tblStylePr w:type="band1Horz">
      <w:tblPr/>
      <w:tcPr>
        <w:tcBorders>
          <w:top w:val="nil"/>
          <w:left w:val="nil"/>
          <w:bottom w:val="nil"/>
          <w:right w:val="nil"/>
          <w:insideH w:val="nil"/>
          <w:insideV w:val="nil"/>
        </w:tcBorders>
        <w:shd w:val="clear" w:color="auto" w:fill="1B4349"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87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33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57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575B" w:themeFill="accent2" w:themeFillShade="BF"/>
      </w:tcPr>
    </w:tblStylePr>
    <w:tblStylePr w:type="band1Vert">
      <w:tblPr/>
      <w:tcPr>
        <w:tcBorders>
          <w:top w:val="nil"/>
          <w:left w:val="nil"/>
          <w:bottom w:val="nil"/>
          <w:right w:val="nil"/>
          <w:insideH w:val="nil"/>
          <w:insideV w:val="nil"/>
        </w:tcBorders>
        <w:shd w:val="clear" w:color="auto" w:fill="4D575B" w:themeFill="accent2" w:themeFillShade="BF"/>
      </w:tcPr>
    </w:tblStylePr>
    <w:tblStylePr w:type="band1Horz">
      <w:tblPr/>
      <w:tcPr>
        <w:tcBorders>
          <w:top w:val="nil"/>
          <w:left w:val="nil"/>
          <w:bottom w:val="nil"/>
          <w:right w:val="nil"/>
          <w:insideH w:val="nil"/>
          <w:insideV w:val="nil"/>
        </w:tcBorders>
        <w:shd w:val="clear" w:color="auto" w:fill="4D57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3" w:themeFillShade="BF"/>
      </w:tcPr>
    </w:tblStylePr>
    <w:tblStylePr w:type="band1Vert">
      <w:tblPr/>
      <w:tcPr>
        <w:tcBorders>
          <w:top w:val="nil"/>
          <w:left w:val="nil"/>
          <w:bottom w:val="nil"/>
          <w:right w:val="nil"/>
          <w:insideH w:val="nil"/>
          <w:insideV w:val="nil"/>
        </w:tcBorders>
        <w:shd w:val="clear" w:color="auto" w:fill="1B4349" w:themeFill="accent3" w:themeFillShade="BF"/>
      </w:tcPr>
    </w:tblStylePr>
    <w:tblStylePr w:type="band1Horz">
      <w:tblPr/>
      <w:tcPr>
        <w:tcBorders>
          <w:top w:val="nil"/>
          <w:left w:val="nil"/>
          <w:bottom w:val="nil"/>
          <w:right w:val="nil"/>
          <w:insideH w:val="nil"/>
          <w:insideV w:val="nil"/>
        </w:tcBorders>
        <w:shd w:val="clear" w:color="auto" w:fill="1B434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4" w:themeFillShade="BF"/>
      </w:tcPr>
    </w:tblStylePr>
    <w:tblStylePr w:type="band1Vert">
      <w:tblPr/>
      <w:tcPr>
        <w:tcBorders>
          <w:top w:val="nil"/>
          <w:left w:val="nil"/>
          <w:bottom w:val="nil"/>
          <w:right w:val="nil"/>
          <w:insideH w:val="nil"/>
          <w:insideV w:val="nil"/>
        </w:tcBorders>
        <w:shd w:val="clear" w:color="auto" w:fill="1B4349" w:themeFill="accent4" w:themeFillShade="BF"/>
      </w:tcPr>
    </w:tblStylePr>
    <w:tblStylePr w:type="band1Horz">
      <w:tblPr/>
      <w:tcPr>
        <w:tcBorders>
          <w:top w:val="nil"/>
          <w:left w:val="nil"/>
          <w:bottom w:val="nil"/>
          <w:right w:val="nil"/>
          <w:insideH w:val="nil"/>
          <w:insideV w:val="nil"/>
        </w:tcBorders>
        <w:shd w:val="clear" w:color="auto" w:fill="1B4349"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5" w:themeFillShade="BF"/>
      </w:tcPr>
    </w:tblStylePr>
    <w:tblStylePr w:type="band1Vert">
      <w:tblPr/>
      <w:tcPr>
        <w:tcBorders>
          <w:top w:val="nil"/>
          <w:left w:val="nil"/>
          <w:bottom w:val="nil"/>
          <w:right w:val="nil"/>
          <w:insideH w:val="nil"/>
          <w:insideV w:val="nil"/>
        </w:tcBorders>
        <w:shd w:val="clear" w:color="auto" w:fill="1B4349" w:themeFill="accent5" w:themeFillShade="BF"/>
      </w:tcPr>
    </w:tblStylePr>
    <w:tblStylePr w:type="band1Horz">
      <w:tblPr/>
      <w:tcPr>
        <w:tcBorders>
          <w:top w:val="nil"/>
          <w:left w:val="nil"/>
          <w:bottom w:val="nil"/>
          <w:right w:val="nil"/>
          <w:insideH w:val="nil"/>
          <w:insideV w:val="nil"/>
        </w:tcBorders>
        <w:shd w:val="clear" w:color="auto" w:fill="1B434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6" w:themeFillShade="BF"/>
      </w:tcPr>
    </w:tblStylePr>
    <w:tblStylePr w:type="band1Vert">
      <w:tblPr/>
      <w:tcPr>
        <w:tcBorders>
          <w:top w:val="nil"/>
          <w:left w:val="nil"/>
          <w:bottom w:val="nil"/>
          <w:right w:val="nil"/>
          <w:insideH w:val="nil"/>
          <w:insideV w:val="nil"/>
        </w:tcBorders>
        <w:shd w:val="clear" w:color="auto" w:fill="1B4349" w:themeFill="accent6" w:themeFillShade="BF"/>
      </w:tcPr>
    </w:tblStylePr>
    <w:tblStylePr w:type="band1Horz">
      <w:tblPr/>
      <w:tcPr>
        <w:tcBorders>
          <w:top w:val="nil"/>
          <w:left w:val="nil"/>
          <w:bottom w:val="nil"/>
          <w:right w:val="nil"/>
          <w:insideH w:val="nil"/>
          <w:insideV w:val="nil"/>
        </w:tcBorders>
        <w:shd w:val="clear" w:color="auto" w:fill="1B4349"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255B63" w:themeColor="accent1"/>
        <w:bottom w:val="single" w:sz="4" w:space="0" w:color="255B63" w:themeColor="accent1"/>
        <w:right w:val="single" w:sz="4" w:space="0" w:color="255B63" w:themeColor="accent1"/>
        <w:insideH w:val="single" w:sz="4" w:space="0" w:color="FFFFFF" w:themeColor="background1"/>
        <w:insideV w:val="single" w:sz="4" w:space="0" w:color="FFFFFF" w:themeColor="background1"/>
      </w:tblBorders>
    </w:tblPr>
    <w:tcPr>
      <w:shd w:val="clear" w:color="auto" w:fill="E4F2F5" w:themeFill="accen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1" w:themeFillShade="99"/>
      </w:tcPr>
    </w:tblStylePr>
    <w:tblStylePr w:type="firstCol">
      <w:rPr>
        <w:color w:val="FFFFFF" w:themeColor="background1"/>
      </w:rPr>
      <w:tblPr/>
      <w:tcPr>
        <w:tcBorders>
          <w:top w:val="nil"/>
          <w:left w:val="nil"/>
          <w:bottom w:val="nil"/>
          <w:right w:val="nil"/>
          <w:insideH w:val="single" w:sz="4" w:space="0" w:color="16363B" w:themeColor="accent1" w:themeShade="99"/>
          <w:insideV w:val="nil"/>
        </w:tcBorders>
        <w:shd w:val="clear" w:color="auto" w:fill="1636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1" w:themeFillShade="99"/>
      </w:tcPr>
    </w:tblStylePr>
    <w:tblStylePr w:type="band1Vert">
      <w:tblPr/>
      <w:tcPr>
        <w:shd w:val="clear" w:color="auto" w:fill="92CDD6" w:themeFill="accent1" w:themeFillTint="66"/>
      </w:tcPr>
    </w:tblStylePr>
    <w:tblStylePr w:type="band1Horz">
      <w:tblPr/>
      <w:tcPr>
        <w:shd w:val="clear" w:color="auto" w:fill="77C1CC"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68757A" w:themeColor="accent2"/>
        <w:bottom w:val="single" w:sz="4" w:space="0" w:color="68757A" w:themeColor="accent2"/>
        <w:right w:val="single" w:sz="4" w:space="0" w:color="68757A" w:themeColor="accent2"/>
        <w:insideH w:val="single" w:sz="4" w:space="0" w:color="FFFFFF" w:themeColor="background1"/>
        <w:insideV w:val="single" w:sz="4" w:space="0" w:color="FFFFFF" w:themeColor="background1"/>
      </w:tblBorders>
    </w:tblPr>
    <w:tcPr>
      <w:shd w:val="clear" w:color="auto" w:fill="EFF1F2" w:themeFill="accent2"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4649" w:themeFill="accent2" w:themeFillShade="99"/>
      </w:tcPr>
    </w:tblStylePr>
    <w:tblStylePr w:type="firstCol">
      <w:rPr>
        <w:color w:val="FFFFFF" w:themeColor="background1"/>
      </w:rPr>
      <w:tblPr/>
      <w:tcPr>
        <w:tcBorders>
          <w:top w:val="nil"/>
          <w:left w:val="nil"/>
          <w:bottom w:val="nil"/>
          <w:right w:val="nil"/>
          <w:insideH w:val="single" w:sz="4" w:space="0" w:color="3E4649" w:themeColor="accent2" w:themeShade="99"/>
          <w:insideV w:val="nil"/>
        </w:tcBorders>
        <w:shd w:val="clear" w:color="auto" w:fill="3E46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E4649" w:themeFill="accent2" w:themeFillShade="99"/>
      </w:tcPr>
    </w:tblStylePr>
    <w:tblStylePr w:type="band1Vert">
      <w:tblPr/>
      <w:tcPr>
        <w:shd w:val="clear" w:color="auto" w:fill="C1C8CA" w:themeFill="accent2" w:themeFillTint="66"/>
      </w:tcPr>
    </w:tblStylePr>
    <w:tblStylePr w:type="band1Horz">
      <w:tblPr/>
      <w:tcPr>
        <w:shd w:val="clear" w:color="auto" w:fill="B2BABD"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4"/>
        <w:left w:val="single" w:sz="4" w:space="0" w:color="255B63" w:themeColor="accent3"/>
        <w:bottom w:val="single" w:sz="4" w:space="0" w:color="255B63" w:themeColor="accent3"/>
        <w:right w:val="single" w:sz="4" w:space="0" w:color="255B63" w:themeColor="accent3"/>
        <w:insideH w:val="single" w:sz="4" w:space="0" w:color="FFFFFF" w:themeColor="background1"/>
        <w:insideV w:val="single" w:sz="4" w:space="0" w:color="FFFFFF" w:themeColor="background1"/>
      </w:tblBorders>
    </w:tblPr>
    <w:tcPr>
      <w:shd w:val="clear" w:color="auto" w:fill="E4F2F5" w:themeFill="accent3" w:themeFillTint="19"/>
    </w:tcPr>
    <w:tblStylePr w:type="firstRow">
      <w:rPr>
        <w:b/>
        <w:bCs/>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3" w:themeFillShade="99"/>
      </w:tcPr>
    </w:tblStylePr>
    <w:tblStylePr w:type="firstCol">
      <w:rPr>
        <w:color w:val="FFFFFF" w:themeColor="background1"/>
      </w:rPr>
      <w:tblPr/>
      <w:tcPr>
        <w:tcBorders>
          <w:top w:val="nil"/>
          <w:left w:val="nil"/>
          <w:bottom w:val="nil"/>
          <w:right w:val="nil"/>
          <w:insideH w:val="single" w:sz="4" w:space="0" w:color="16363B" w:themeColor="accent3" w:themeShade="99"/>
          <w:insideV w:val="nil"/>
        </w:tcBorders>
        <w:shd w:val="clear" w:color="auto" w:fill="16363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3" w:themeFillShade="99"/>
      </w:tcPr>
    </w:tblStylePr>
    <w:tblStylePr w:type="band1Vert">
      <w:tblPr/>
      <w:tcPr>
        <w:shd w:val="clear" w:color="auto" w:fill="92CDD6" w:themeFill="accent3" w:themeFillTint="66"/>
      </w:tcPr>
    </w:tblStylePr>
    <w:tblStylePr w:type="band1Horz">
      <w:tblPr/>
      <w:tcPr>
        <w:shd w:val="clear" w:color="auto" w:fill="77C1CC"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3"/>
        <w:left w:val="single" w:sz="4" w:space="0" w:color="255B63" w:themeColor="accent4"/>
        <w:bottom w:val="single" w:sz="4" w:space="0" w:color="255B63" w:themeColor="accent4"/>
        <w:right w:val="single" w:sz="4" w:space="0" w:color="255B63" w:themeColor="accent4"/>
        <w:insideH w:val="single" w:sz="4" w:space="0" w:color="FFFFFF" w:themeColor="background1"/>
        <w:insideV w:val="single" w:sz="4" w:space="0" w:color="FFFFFF" w:themeColor="background1"/>
      </w:tblBorders>
    </w:tblPr>
    <w:tcPr>
      <w:shd w:val="clear" w:color="auto" w:fill="E4F2F5" w:themeFill="accent4" w:themeFillTint="19"/>
    </w:tcPr>
    <w:tblStylePr w:type="firstRow">
      <w:rPr>
        <w:b/>
        <w:bCs/>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4" w:themeFillShade="99"/>
      </w:tcPr>
    </w:tblStylePr>
    <w:tblStylePr w:type="firstCol">
      <w:rPr>
        <w:color w:val="FFFFFF" w:themeColor="background1"/>
      </w:rPr>
      <w:tblPr/>
      <w:tcPr>
        <w:tcBorders>
          <w:top w:val="nil"/>
          <w:left w:val="nil"/>
          <w:bottom w:val="nil"/>
          <w:right w:val="nil"/>
          <w:insideH w:val="single" w:sz="4" w:space="0" w:color="16363B" w:themeColor="accent4" w:themeShade="99"/>
          <w:insideV w:val="nil"/>
        </w:tcBorders>
        <w:shd w:val="clear" w:color="auto" w:fill="1636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4" w:themeFillShade="99"/>
      </w:tcPr>
    </w:tblStylePr>
    <w:tblStylePr w:type="band1Vert">
      <w:tblPr/>
      <w:tcPr>
        <w:shd w:val="clear" w:color="auto" w:fill="92CDD6" w:themeFill="accent4" w:themeFillTint="66"/>
      </w:tcPr>
    </w:tblStylePr>
    <w:tblStylePr w:type="band1Horz">
      <w:tblPr/>
      <w:tcPr>
        <w:shd w:val="clear" w:color="auto" w:fill="77C1CC"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6"/>
        <w:left w:val="single" w:sz="4" w:space="0" w:color="255B63" w:themeColor="accent5"/>
        <w:bottom w:val="single" w:sz="4" w:space="0" w:color="255B63" w:themeColor="accent5"/>
        <w:right w:val="single" w:sz="4" w:space="0" w:color="255B63" w:themeColor="accent5"/>
        <w:insideH w:val="single" w:sz="4" w:space="0" w:color="FFFFFF" w:themeColor="background1"/>
        <w:insideV w:val="single" w:sz="4" w:space="0" w:color="FFFFFF" w:themeColor="background1"/>
      </w:tblBorders>
    </w:tblPr>
    <w:tcPr>
      <w:shd w:val="clear" w:color="auto" w:fill="E4F2F5" w:themeFill="accent5" w:themeFillTint="19"/>
    </w:tcPr>
    <w:tblStylePr w:type="firstRow">
      <w:rPr>
        <w:b/>
        <w:bCs/>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5" w:themeFillShade="99"/>
      </w:tcPr>
    </w:tblStylePr>
    <w:tblStylePr w:type="firstCol">
      <w:rPr>
        <w:color w:val="FFFFFF" w:themeColor="background1"/>
      </w:rPr>
      <w:tblPr/>
      <w:tcPr>
        <w:tcBorders>
          <w:top w:val="nil"/>
          <w:left w:val="nil"/>
          <w:bottom w:val="nil"/>
          <w:right w:val="nil"/>
          <w:insideH w:val="single" w:sz="4" w:space="0" w:color="16363B" w:themeColor="accent5" w:themeShade="99"/>
          <w:insideV w:val="nil"/>
        </w:tcBorders>
        <w:shd w:val="clear" w:color="auto" w:fill="16363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5" w:themeFillShade="99"/>
      </w:tcPr>
    </w:tblStylePr>
    <w:tblStylePr w:type="band1Vert">
      <w:tblPr/>
      <w:tcPr>
        <w:shd w:val="clear" w:color="auto" w:fill="92CDD6" w:themeFill="accent5" w:themeFillTint="66"/>
      </w:tcPr>
    </w:tblStylePr>
    <w:tblStylePr w:type="band1Horz">
      <w:tblPr/>
      <w:tcPr>
        <w:shd w:val="clear" w:color="auto" w:fill="77C1CC"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5"/>
        <w:left w:val="single" w:sz="4" w:space="0" w:color="255B63" w:themeColor="accent6"/>
        <w:bottom w:val="single" w:sz="4" w:space="0" w:color="255B63" w:themeColor="accent6"/>
        <w:right w:val="single" w:sz="4" w:space="0" w:color="255B63" w:themeColor="accent6"/>
        <w:insideH w:val="single" w:sz="4" w:space="0" w:color="FFFFFF" w:themeColor="background1"/>
        <w:insideV w:val="single" w:sz="4" w:space="0" w:color="FFFFFF" w:themeColor="background1"/>
      </w:tblBorders>
    </w:tblPr>
    <w:tcPr>
      <w:shd w:val="clear" w:color="auto" w:fill="E4F2F5" w:themeFill="accent6" w:themeFillTint="19"/>
    </w:tcPr>
    <w:tblStylePr w:type="firstRow">
      <w:rPr>
        <w:b/>
        <w:bCs/>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6" w:themeFillShade="99"/>
      </w:tcPr>
    </w:tblStylePr>
    <w:tblStylePr w:type="firstCol">
      <w:rPr>
        <w:color w:val="FFFFFF" w:themeColor="background1"/>
      </w:rPr>
      <w:tblPr/>
      <w:tcPr>
        <w:tcBorders>
          <w:top w:val="nil"/>
          <w:left w:val="nil"/>
          <w:bottom w:val="nil"/>
          <w:right w:val="nil"/>
          <w:insideH w:val="single" w:sz="4" w:space="0" w:color="16363B" w:themeColor="accent6" w:themeShade="99"/>
          <w:insideV w:val="nil"/>
        </w:tcBorders>
        <w:shd w:val="clear" w:color="auto" w:fill="1636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6" w:themeFillShade="99"/>
      </w:tcPr>
    </w:tblStylePr>
    <w:tblStylePr w:type="band1Vert">
      <w:tblPr/>
      <w:tcPr>
        <w:shd w:val="clear" w:color="auto" w:fill="92CDD6" w:themeFill="accent6" w:themeFillTint="66"/>
      </w:tcPr>
    </w:tblStylePr>
    <w:tblStylePr w:type="band1Horz">
      <w:tblPr/>
      <w:tcPr>
        <w:shd w:val="clear" w:color="auto" w:fill="77C1CC"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1" w:themeFillTint="3F"/>
      </w:tcPr>
    </w:tblStylePr>
    <w:tblStylePr w:type="band1Horz">
      <w:tblPr/>
      <w:tcPr>
        <w:shd w:val="clear" w:color="auto" w:fill="C8E6EA"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FF1F2" w:themeFill="accent2"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DDE" w:themeFill="accent2" w:themeFillTint="3F"/>
      </w:tcPr>
    </w:tblStylePr>
    <w:tblStylePr w:type="band1Horz">
      <w:tblPr/>
      <w:tcPr>
        <w:shd w:val="clear" w:color="auto" w:fill="E0E3E4"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3" w:themeFillTint="19"/>
    </w:tcPr>
    <w:tblStylePr w:type="firstRow">
      <w:rPr>
        <w:b/>
        <w:bCs/>
        <w:color w:val="FFFFFF" w:themeColor="background1"/>
      </w:rPr>
      <w:tblPr/>
      <w:tcPr>
        <w:tcBorders>
          <w:bottom w:val="single" w:sz="12" w:space="0" w:color="FFFFFF" w:themeColor="background1"/>
        </w:tcBorders>
        <w:shd w:val="clear" w:color="auto" w:fill="1D484F" w:themeFill="accent4" w:themeFillShade="CC"/>
      </w:tcPr>
    </w:tblStylePr>
    <w:tblStylePr w:type="lastRow">
      <w:rPr>
        <w:b/>
        <w:bCs/>
        <w:color w:val="1D484F"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3" w:themeFillTint="3F"/>
      </w:tcPr>
    </w:tblStylePr>
    <w:tblStylePr w:type="band1Horz">
      <w:tblPr/>
      <w:tcPr>
        <w:shd w:val="clear" w:color="auto" w:fill="C8E6EA"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4" w:themeFillTint="19"/>
    </w:tcPr>
    <w:tblStylePr w:type="firstRow">
      <w:rPr>
        <w:b/>
        <w:bCs/>
        <w:color w:val="FFFFFF" w:themeColor="background1"/>
      </w:rPr>
      <w:tblPr/>
      <w:tcPr>
        <w:tcBorders>
          <w:bottom w:val="single" w:sz="12" w:space="0" w:color="FFFFFF" w:themeColor="background1"/>
        </w:tcBorders>
        <w:shd w:val="clear" w:color="auto" w:fill="1D484F" w:themeFill="accent3" w:themeFillShade="CC"/>
      </w:tcPr>
    </w:tblStylePr>
    <w:tblStylePr w:type="lastRow">
      <w:rPr>
        <w:b/>
        <w:bCs/>
        <w:color w:val="1D484F"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4" w:themeFillTint="3F"/>
      </w:tcPr>
    </w:tblStylePr>
    <w:tblStylePr w:type="band1Horz">
      <w:tblPr/>
      <w:tcPr>
        <w:shd w:val="clear" w:color="auto" w:fill="C8E6EA"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5" w:themeFillTint="19"/>
    </w:tcPr>
    <w:tblStylePr w:type="firstRow">
      <w:rPr>
        <w:b/>
        <w:bCs/>
        <w:color w:val="FFFFFF" w:themeColor="background1"/>
      </w:rPr>
      <w:tblPr/>
      <w:tcPr>
        <w:tcBorders>
          <w:bottom w:val="single" w:sz="12" w:space="0" w:color="FFFFFF" w:themeColor="background1"/>
        </w:tcBorders>
        <w:shd w:val="clear" w:color="auto" w:fill="1D484F" w:themeFill="accent6" w:themeFillShade="CC"/>
      </w:tcPr>
    </w:tblStylePr>
    <w:tblStylePr w:type="lastRow">
      <w:rPr>
        <w:b/>
        <w:bCs/>
        <w:color w:val="1D484F"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5" w:themeFillTint="3F"/>
      </w:tcPr>
    </w:tblStylePr>
    <w:tblStylePr w:type="band1Horz">
      <w:tblPr/>
      <w:tcPr>
        <w:shd w:val="clear" w:color="auto" w:fill="C8E6EA"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6" w:themeFillTint="19"/>
    </w:tcPr>
    <w:tblStylePr w:type="firstRow">
      <w:rPr>
        <w:b/>
        <w:bCs/>
        <w:color w:val="FFFFFF" w:themeColor="background1"/>
      </w:rPr>
      <w:tblPr/>
      <w:tcPr>
        <w:tcBorders>
          <w:bottom w:val="single" w:sz="12" w:space="0" w:color="FFFFFF" w:themeColor="background1"/>
        </w:tcBorders>
        <w:shd w:val="clear" w:color="auto" w:fill="1D484F" w:themeFill="accent5" w:themeFillShade="CC"/>
      </w:tcPr>
    </w:tblStylePr>
    <w:tblStylePr w:type="lastRow">
      <w:rPr>
        <w:b/>
        <w:bCs/>
        <w:color w:val="1D484F"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6" w:themeFillTint="3F"/>
      </w:tcPr>
    </w:tblStylePr>
    <w:tblStylePr w:type="band1Horz">
      <w:tblPr/>
      <w:tcPr>
        <w:shd w:val="clear" w:color="auto" w:fill="C8E6EA"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1" w:themeFillTint="33"/>
    </w:tcPr>
    <w:tblStylePr w:type="firstRow">
      <w:rPr>
        <w:b/>
        <w:bCs/>
      </w:rPr>
      <w:tblPr/>
      <w:tcPr>
        <w:shd w:val="clear" w:color="auto" w:fill="92CDD6" w:themeFill="accent1" w:themeFillTint="66"/>
      </w:tcPr>
    </w:tblStylePr>
    <w:tblStylePr w:type="lastRow">
      <w:rPr>
        <w:b/>
        <w:bCs/>
        <w:color w:val="1A1A1A" w:themeColor="text1"/>
      </w:rPr>
      <w:tblPr/>
      <w:tcPr>
        <w:shd w:val="clear" w:color="auto" w:fill="92CDD6" w:themeFill="accent1" w:themeFillTint="66"/>
      </w:tcPr>
    </w:tblStylePr>
    <w:tblStylePr w:type="firstCol">
      <w:rPr>
        <w:color w:val="FFFFFF" w:themeColor="background1"/>
      </w:rPr>
      <w:tblPr/>
      <w:tcPr>
        <w:shd w:val="clear" w:color="auto" w:fill="1B4349" w:themeFill="accent1" w:themeFillShade="BF"/>
      </w:tcPr>
    </w:tblStylePr>
    <w:tblStylePr w:type="lastCol">
      <w:rPr>
        <w:color w:val="FFFFFF" w:themeColor="background1"/>
      </w:rPr>
      <w:tblPr/>
      <w:tcPr>
        <w:shd w:val="clear" w:color="auto" w:fill="1B4349" w:themeFill="accent1" w:themeFillShade="BF"/>
      </w:tc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0E3E4" w:themeFill="accent2" w:themeFillTint="33"/>
    </w:tcPr>
    <w:tblStylePr w:type="firstRow">
      <w:rPr>
        <w:b/>
        <w:bCs/>
      </w:rPr>
      <w:tblPr/>
      <w:tcPr>
        <w:shd w:val="clear" w:color="auto" w:fill="C1C8CA" w:themeFill="accent2" w:themeFillTint="66"/>
      </w:tcPr>
    </w:tblStylePr>
    <w:tblStylePr w:type="lastRow">
      <w:rPr>
        <w:b/>
        <w:bCs/>
        <w:color w:val="1A1A1A" w:themeColor="text1"/>
      </w:rPr>
      <w:tblPr/>
      <w:tcPr>
        <w:shd w:val="clear" w:color="auto" w:fill="C1C8CA" w:themeFill="accent2" w:themeFillTint="66"/>
      </w:tcPr>
    </w:tblStylePr>
    <w:tblStylePr w:type="firstCol">
      <w:rPr>
        <w:color w:val="FFFFFF" w:themeColor="background1"/>
      </w:rPr>
      <w:tblPr/>
      <w:tcPr>
        <w:shd w:val="clear" w:color="auto" w:fill="4D575B" w:themeFill="accent2" w:themeFillShade="BF"/>
      </w:tcPr>
    </w:tblStylePr>
    <w:tblStylePr w:type="lastCol">
      <w:rPr>
        <w:color w:val="FFFFFF" w:themeColor="background1"/>
      </w:rPr>
      <w:tblPr/>
      <w:tcPr>
        <w:shd w:val="clear" w:color="auto" w:fill="4D575B" w:themeFill="accent2" w:themeFillShade="BF"/>
      </w:tc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3" w:themeFillTint="33"/>
    </w:tcPr>
    <w:tblStylePr w:type="firstRow">
      <w:rPr>
        <w:b/>
        <w:bCs/>
      </w:rPr>
      <w:tblPr/>
      <w:tcPr>
        <w:shd w:val="clear" w:color="auto" w:fill="92CDD6" w:themeFill="accent3" w:themeFillTint="66"/>
      </w:tcPr>
    </w:tblStylePr>
    <w:tblStylePr w:type="lastRow">
      <w:rPr>
        <w:b/>
        <w:bCs/>
        <w:color w:val="1A1A1A" w:themeColor="text1"/>
      </w:rPr>
      <w:tblPr/>
      <w:tcPr>
        <w:shd w:val="clear" w:color="auto" w:fill="92CDD6" w:themeFill="accent3" w:themeFillTint="66"/>
      </w:tcPr>
    </w:tblStylePr>
    <w:tblStylePr w:type="firstCol">
      <w:rPr>
        <w:color w:val="FFFFFF" w:themeColor="background1"/>
      </w:rPr>
      <w:tblPr/>
      <w:tcPr>
        <w:shd w:val="clear" w:color="auto" w:fill="1B4349" w:themeFill="accent3" w:themeFillShade="BF"/>
      </w:tcPr>
    </w:tblStylePr>
    <w:tblStylePr w:type="lastCol">
      <w:rPr>
        <w:color w:val="FFFFFF" w:themeColor="background1"/>
      </w:rPr>
      <w:tblPr/>
      <w:tcPr>
        <w:shd w:val="clear" w:color="auto" w:fill="1B4349" w:themeFill="accent3" w:themeFillShade="BF"/>
      </w:tc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4" w:themeFillTint="33"/>
    </w:tcPr>
    <w:tblStylePr w:type="firstRow">
      <w:rPr>
        <w:b/>
        <w:bCs/>
      </w:rPr>
      <w:tblPr/>
      <w:tcPr>
        <w:shd w:val="clear" w:color="auto" w:fill="92CDD6" w:themeFill="accent4" w:themeFillTint="66"/>
      </w:tcPr>
    </w:tblStylePr>
    <w:tblStylePr w:type="lastRow">
      <w:rPr>
        <w:b/>
        <w:bCs/>
        <w:color w:val="1A1A1A" w:themeColor="text1"/>
      </w:rPr>
      <w:tblPr/>
      <w:tcPr>
        <w:shd w:val="clear" w:color="auto" w:fill="92CDD6" w:themeFill="accent4" w:themeFillTint="66"/>
      </w:tcPr>
    </w:tblStylePr>
    <w:tblStylePr w:type="firstCol">
      <w:rPr>
        <w:color w:val="FFFFFF" w:themeColor="background1"/>
      </w:rPr>
      <w:tblPr/>
      <w:tcPr>
        <w:shd w:val="clear" w:color="auto" w:fill="1B4349" w:themeFill="accent4" w:themeFillShade="BF"/>
      </w:tcPr>
    </w:tblStylePr>
    <w:tblStylePr w:type="lastCol">
      <w:rPr>
        <w:color w:val="FFFFFF" w:themeColor="background1"/>
      </w:rPr>
      <w:tblPr/>
      <w:tcPr>
        <w:shd w:val="clear" w:color="auto" w:fill="1B4349" w:themeFill="accent4" w:themeFillShade="BF"/>
      </w:tc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5" w:themeFillTint="33"/>
    </w:tcPr>
    <w:tblStylePr w:type="firstRow">
      <w:rPr>
        <w:b/>
        <w:bCs/>
      </w:rPr>
      <w:tblPr/>
      <w:tcPr>
        <w:shd w:val="clear" w:color="auto" w:fill="92CDD6" w:themeFill="accent5" w:themeFillTint="66"/>
      </w:tcPr>
    </w:tblStylePr>
    <w:tblStylePr w:type="lastRow">
      <w:rPr>
        <w:b/>
        <w:bCs/>
        <w:color w:val="1A1A1A" w:themeColor="text1"/>
      </w:rPr>
      <w:tblPr/>
      <w:tcPr>
        <w:shd w:val="clear" w:color="auto" w:fill="92CDD6" w:themeFill="accent5" w:themeFillTint="66"/>
      </w:tcPr>
    </w:tblStylePr>
    <w:tblStylePr w:type="firstCol">
      <w:rPr>
        <w:color w:val="FFFFFF" w:themeColor="background1"/>
      </w:rPr>
      <w:tblPr/>
      <w:tcPr>
        <w:shd w:val="clear" w:color="auto" w:fill="1B4349" w:themeFill="accent5" w:themeFillShade="BF"/>
      </w:tcPr>
    </w:tblStylePr>
    <w:tblStylePr w:type="lastCol">
      <w:rPr>
        <w:color w:val="FFFFFF" w:themeColor="background1"/>
      </w:rPr>
      <w:tblPr/>
      <w:tcPr>
        <w:shd w:val="clear" w:color="auto" w:fill="1B4349" w:themeFill="accent5" w:themeFillShade="BF"/>
      </w:tc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6" w:themeFillTint="33"/>
    </w:tcPr>
    <w:tblStylePr w:type="firstRow">
      <w:rPr>
        <w:b/>
        <w:bCs/>
      </w:rPr>
      <w:tblPr/>
      <w:tcPr>
        <w:shd w:val="clear" w:color="auto" w:fill="92CDD6" w:themeFill="accent6" w:themeFillTint="66"/>
      </w:tcPr>
    </w:tblStylePr>
    <w:tblStylePr w:type="lastRow">
      <w:rPr>
        <w:b/>
        <w:bCs/>
        <w:color w:val="1A1A1A" w:themeColor="text1"/>
      </w:rPr>
      <w:tblPr/>
      <w:tcPr>
        <w:shd w:val="clear" w:color="auto" w:fill="92CDD6" w:themeFill="accent6" w:themeFillTint="66"/>
      </w:tcPr>
    </w:tblStylePr>
    <w:tblStylePr w:type="firstCol">
      <w:rPr>
        <w:color w:val="FFFFFF" w:themeColor="background1"/>
      </w:rPr>
      <w:tblPr/>
      <w:tcPr>
        <w:shd w:val="clear" w:color="auto" w:fill="1B4349" w:themeFill="accent6" w:themeFillShade="BF"/>
      </w:tcPr>
    </w:tblStylePr>
    <w:tblStylePr w:type="lastCol">
      <w:rPr>
        <w:color w:val="FFFFFF" w:themeColor="background1"/>
      </w:rPr>
      <w:tblPr/>
      <w:tcPr>
        <w:shd w:val="clear" w:color="auto" w:fill="1B4349" w:themeFill="accent6" w:themeFillShade="BF"/>
      </w:tc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55B63">
      <a:dk1>
        <a:srgbClr val="1A1A1A"/>
      </a:dk1>
      <a:lt1>
        <a:srgbClr val="FFFFFF"/>
      </a:lt1>
      <a:dk2>
        <a:srgbClr val="255B63"/>
      </a:dk2>
      <a:lt2>
        <a:srgbClr val="EEECE1"/>
      </a:lt2>
      <a:accent1>
        <a:srgbClr val="255B63"/>
      </a:accent1>
      <a:accent2>
        <a:srgbClr val="68757A"/>
      </a:accent2>
      <a:accent3>
        <a:srgbClr val="255B63"/>
      </a:accent3>
      <a:accent4>
        <a:srgbClr val="255B63"/>
      </a:accent4>
      <a:accent5>
        <a:srgbClr val="255B63"/>
      </a:accent5>
      <a:accent6>
        <a:srgbClr val="255B63"/>
      </a:accent6>
      <a:hlink>
        <a:srgbClr val="255B63"/>
      </a:hlink>
      <a:folHlink>
        <a:srgbClr val="6875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4350</Words>
  <Characters>24800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Jeffrey Sonola</cp:lastModifiedBy>
  <cp:revision>20</cp:revision>
  <dcterms:created xsi:type="dcterms:W3CDTF">2026-10-05T18:28:00Z</dcterms:created>
  <dcterms:modified xsi:type="dcterms:W3CDTF">2026-10-06T08:46:00Z</dcterms:modified>
  <cp:category/>
</cp:coreProperties>
</file>