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CFFFD" w14:textId="60DF6367" w:rsidR="7722E7C6" w:rsidRDefault="7722E7C6">
      <w:r>
        <w:rPr>
          <w:noProof/>
        </w:rPr>
        <w:drawing>
          <wp:inline distT="0" distB="0" distL="0" distR="0" wp14:anchorId="592E9642" wp14:editId="57CAA63D">
            <wp:extent cx="653796" cy="1188720"/>
            <wp:effectExtent l="0" t="0" r="0" b="0"/>
            <wp:docPr id="304339034" name="drawing" descr="Coca-Cola Beverages Africa logo: red Africa map with Coca-Cola bottle silhouette above the Coca-Cola Beverages Africa word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39034" name="Picture 304339034"/>
                    <pic:cNvPicPr/>
                  </pic:nvPicPr>
                  <pic:blipFill>
                    <a:blip r:embed="rId8"/>
                    <a:stretch>
                      <a:fillRect/>
                    </a:stretch>
                  </pic:blipFill>
                  <pic:spPr>
                    <a:xfrm>
                      <a:off x="0" y="0"/>
                      <a:ext cx="653796" cy="1188720"/>
                    </a:xfrm>
                    <a:prstGeom prst="rect">
                      <a:avLst/>
                    </a:prstGeom>
                  </pic:spPr>
                </pic:pic>
              </a:graphicData>
            </a:graphic>
          </wp:inline>
        </w:drawing>
      </w:r>
    </w:p>
    <w:p w14:paraId="28EAED1B" w14:textId="4398C180" w:rsidR="7722E7C6" w:rsidRDefault="02BC404E" w:rsidP="7722E7C6">
      <w:pPr>
        <w:pStyle w:val="Title"/>
      </w:pPr>
      <w:r w:rsidRPr="0FD9F28D">
        <w:rPr>
          <w:b/>
          <w:bCs/>
          <w:color w:val="F40009" w:themeColor="accent6"/>
        </w:rPr>
        <w:t>Q3 2026 Commercial Business Review</w:t>
      </w:r>
    </w:p>
    <w:p w14:paraId="4C846427" w14:textId="0A0820F4" w:rsidR="02BC404E" w:rsidRDefault="02BC404E" w:rsidP="02BC404E">
      <w:pPr>
        <w:pStyle w:val="Subtitle"/>
      </w:pPr>
      <w:r w:rsidRPr="0FD9F28D">
        <w:rPr>
          <w:color w:val="455560" w:themeColor="text1"/>
        </w:rPr>
        <w:t>Pre-read for the Executive Leadership Team</w:t>
      </w:r>
    </w:p>
    <w:p w14:paraId="5AF8A333" w14:textId="2402887F" w:rsidR="02BC404E" w:rsidRDefault="454C1FF7">
      <w:r w:rsidRPr="0FD9F28D">
        <w:rPr>
          <w:color w:val="808285" w:themeColor="accent2"/>
          <w:sz w:val="19"/>
          <w:szCs w:val="19"/>
        </w:rPr>
        <w:t>Prepared by Commercial Finance  |  Quarter: July–September 2026  |  Basis: USD thousands (USD k) at constant currency unless stated  |  Classification: Internal</w:t>
      </w:r>
    </w:p>
    <w:p w14:paraId="6B20A8FB" w14:textId="5D0E4B0B" w:rsidR="3A26F8FB" w:rsidRDefault="40C5DAA9">
      <w:r w:rsidRPr="689B3EED">
        <w:rPr>
          <w:i/>
          <w:iCs/>
          <w:color w:val="808285" w:themeColor="accent2"/>
          <w:sz w:val="18"/>
          <w:szCs w:val="18"/>
        </w:rPr>
        <w:t>Source data: CCBA_Q3_2026_Sales_Revenue_Tracker.xlsx.</w:t>
      </w:r>
    </w:p>
    <w:p w14:paraId="3BF312A0" w14:textId="2D688177" w:rsidR="3A26F8FB" w:rsidRDefault="3A26F8FB" w:rsidP="3A26F8FB">
      <w:pPr>
        <w:pStyle w:val="Heading2"/>
      </w:pPr>
      <w:r w:rsidRPr="0FD9F28D">
        <w:rPr>
          <w:color w:val="455560" w:themeColor="text1"/>
        </w:rPr>
        <w:t>Key messages</w:t>
      </w:r>
    </w:p>
    <w:p w14:paraId="62EBD22B" w14:textId="3013E0C6" w:rsidR="3A26F8FB" w:rsidRDefault="3A26F8FB" w:rsidP="3A26F8FB">
      <w:pPr>
        <w:pStyle w:val="ListBullet"/>
      </w:pPr>
      <w:r w:rsidRPr="30D08ED8">
        <w:rPr>
          <w:color w:val="1A1A1A"/>
        </w:rPr>
        <w:t>Net revenue of USD 1,188,164.9k grew 18.5% on the prior year and beat plan by 3.0%, on volume growth of 12.1%.</w:t>
      </w:r>
    </w:p>
    <w:p w14:paraId="2CE286CA" w14:textId="5B100E16" w:rsidR="3A26F8FB" w:rsidRDefault="40C5DAA9" w:rsidP="3A26F8FB">
      <w:pPr>
        <w:pStyle w:val="ListBullet"/>
      </w:pPr>
      <w:r w:rsidRPr="689B3EED">
        <w:rPr>
          <w:color w:val="1A1A1A"/>
        </w:rPr>
        <w:t>Growth was broad-based: every market and every channel grew, led by Ethiopia (+27.7%) and online ordering (eB2B) at +38.8%.</w:t>
      </w:r>
    </w:p>
    <w:p w14:paraId="3B3971ED" w14:textId="3C6A7A5F" w:rsidR="3A26F8FB" w:rsidRDefault="3A26F8FB" w:rsidP="3A26F8FB">
      <w:pPr>
        <w:pStyle w:val="ListBullet"/>
      </w:pPr>
      <w:r w:rsidRPr="30D08ED8">
        <w:rPr>
          <w:color w:val="1A1A1A"/>
        </w:rPr>
        <w:t>Gross margin improved 1.0 point to 39.7%, helped in part by a richer mix of Energy, Coffee and Coca-Cola No Sugar.</w:t>
      </w:r>
    </w:p>
    <w:p w14:paraId="1911DCB5" w14:textId="74A124FD" w:rsidR="3A26F8FB" w:rsidRDefault="3CFF98FC" w:rsidP="3A26F8FB">
      <w:pPr>
        <w:pStyle w:val="ListBullet"/>
      </w:pPr>
      <w:r w:rsidRPr="689B3EED">
        <w:rPr>
          <w:color w:val="1A1A1A"/>
        </w:rPr>
        <w:t>Commercial proposes Q4 investment in coolers, eB2B onboarding, returnable pack capacity and festive execution, with amounts still to be confirmed.</w:t>
      </w:r>
    </w:p>
    <w:p w14:paraId="4A451D35" w14:textId="31F4BD59" w:rsidR="13D983CF" w:rsidRDefault="13D983CF" w:rsidP="13D983CF">
      <w:pPr>
        <w:pStyle w:val="Heading1"/>
      </w:pPr>
      <w:r w:rsidRPr="13D983CF">
        <w:rPr>
          <w:color w:val="F40009" w:themeColor="accent6"/>
        </w:rPr>
        <w:t>1. Purpose and decisions requested</w:t>
      </w:r>
    </w:p>
    <w:p w14:paraId="79988789" w14:textId="2C413B95" w:rsidR="13D983CF" w:rsidRDefault="40004CB0" w:rsidP="13D983CF">
      <w:r>
        <w:t>This paper summarises commercial performance for the third quarter of 2026 ahead of the quarterly business review with the Executive Leadership Team (ELT). It covers headline results, market and channel performance, portfolio and pack trends, and the Q4 priorities Commercial proposes to fund. The aim is to agree where to back Q4 momentum, and which risks need executive ownership, before the festive season.</w:t>
      </w:r>
    </w:p>
    <w:p w14:paraId="7FB39842" w14:textId="2D9FCCDE" w:rsidR="13D983CF" w:rsidRDefault="13D983CF" w:rsidP="13D983CF">
      <w:r>
        <w:t>The ELT is asked to:</w:t>
      </w:r>
    </w:p>
    <w:p w14:paraId="351FF94D" w14:textId="1D186711" w:rsidR="13D983CF" w:rsidRDefault="13D983CF" w:rsidP="13D983CF">
      <w:pPr>
        <w:pStyle w:val="ListBullet"/>
      </w:pPr>
      <w:r>
        <w:t>Endorse the Q4 commercial priorities set out in Section 6 as the basis for festive-season execution.</w:t>
      </w:r>
    </w:p>
    <w:p w14:paraId="4F4048E3" w14:textId="16562AFC" w:rsidR="13D983CF" w:rsidRDefault="13D983CF" w:rsidP="13D983CF">
      <w:pPr>
        <w:pStyle w:val="ListBullet"/>
      </w:pPr>
      <w:r>
        <w:t>Approve in principle the proposed Q4 investments, subject to final costings that are still to be confirmed [TBC].</w:t>
      </w:r>
    </w:p>
    <w:p w14:paraId="2CEA1D2C" w14:textId="5B988EB8" w:rsidR="13D983CF" w:rsidRDefault="13D983CF" w:rsidP="13D983CF">
      <w:pPr>
        <w:pStyle w:val="ListBullet"/>
      </w:pPr>
      <w:r>
        <w:t>Agree the reporting basis for Q4, including whether a reported-currency view should sit alongside constant currency.</w:t>
      </w:r>
    </w:p>
    <w:p w14:paraId="2A7D2B5C" w14:textId="2B324B78" w:rsidR="13D983CF" w:rsidRDefault="13D983CF" w:rsidP="13D983CF">
      <w:pPr>
        <w:pStyle w:val="ListBullet"/>
      </w:pPr>
      <w:r>
        <w:t>Assign executive owners for the risks and watch-items in Section 7.</w:t>
      </w:r>
    </w:p>
    <w:p w14:paraId="3CFDC5FF" w14:textId="70180EED" w:rsidR="13D983CF" w:rsidRDefault="13D983CF" w:rsidP="13D983CF">
      <w:pPr>
        <w:pStyle w:val="Heading1"/>
      </w:pPr>
      <w:r w:rsidRPr="13D983CF">
        <w:rPr>
          <w:color w:val="F40009" w:themeColor="accent6"/>
        </w:rPr>
        <w:t>2. Q3 headline performance</w:t>
      </w:r>
    </w:p>
    <w:p w14:paraId="2C26300F" w14:textId="587D6F09" w:rsidR="13D983CF" w:rsidRDefault="13D983CF" w:rsidP="13D983CF">
      <w:r>
        <w:t xml:space="preserve">Q3 delivered growth ahead of both prior year and plan. Net revenue reached USD 1,188,164.9k, up 18.5% (USD 185,598.7k) on the prior year and 3.0% (USD 34,324.1k) ahead of plan. Volume rose </w:t>
      </w:r>
      <w:r>
        <w:lastRenderedPageBreak/>
        <w:t>12.1% to 175,192,799 unit cases (UC), 2.1% above plan. Because revenue grew faster than volume, net revenue per unit case increased from $6.41 to $6.78.</w:t>
      </w:r>
    </w:p>
    <w:tbl>
      <w:tblPr>
        <w:tblStyle w:val="MediumShading1-Accent1"/>
        <w:tblW w:w="9306" w:type="dxa"/>
        <w:tblLook w:val="04A0" w:firstRow="1" w:lastRow="0" w:firstColumn="1" w:lastColumn="0" w:noHBand="0" w:noVBand="1"/>
      </w:tblPr>
      <w:tblGrid>
        <w:gridCol w:w="2367"/>
        <w:gridCol w:w="1403"/>
        <w:gridCol w:w="1403"/>
        <w:gridCol w:w="1403"/>
        <w:gridCol w:w="1367"/>
        <w:gridCol w:w="1363"/>
      </w:tblGrid>
      <w:tr w:rsidR="07353A12" w14:paraId="2E937CDF" w14:textId="77777777" w:rsidTr="3E79E80D">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406" w:type="dxa"/>
          </w:tcPr>
          <w:p w14:paraId="101AFF56" w14:textId="6FA6F28F" w:rsidR="07353A12" w:rsidRDefault="07353A12">
            <w:r>
              <w:t>Measure</w:t>
            </w:r>
          </w:p>
        </w:tc>
        <w:tc>
          <w:tcPr>
            <w:tcW w:w="1380" w:type="dxa"/>
          </w:tcPr>
          <w:p w14:paraId="2FB7E868" w14:textId="6884D953" w:rsidR="07353A12" w:rsidRDefault="07353A12">
            <w:pPr>
              <w:cnfStyle w:val="100000000000" w:firstRow="1" w:lastRow="0" w:firstColumn="0" w:lastColumn="0" w:oddVBand="0" w:evenVBand="0" w:oddHBand="0" w:evenHBand="0" w:firstRowFirstColumn="0" w:firstRowLastColumn="0" w:lastRowFirstColumn="0" w:lastRowLastColumn="0"/>
            </w:pPr>
            <w:r>
              <w:t>Q3 2026</w:t>
            </w:r>
          </w:p>
        </w:tc>
        <w:tc>
          <w:tcPr>
            <w:tcW w:w="1380" w:type="dxa"/>
          </w:tcPr>
          <w:p w14:paraId="644AE6BD" w14:textId="6162C017" w:rsidR="07353A12" w:rsidRDefault="07353A12">
            <w:pPr>
              <w:cnfStyle w:val="100000000000" w:firstRow="1" w:lastRow="0" w:firstColumn="0" w:lastColumn="0" w:oddVBand="0" w:evenVBand="0" w:oddHBand="0" w:evenHBand="0" w:firstRowFirstColumn="0" w:firstRowLastColumn="0" w:lastRowFirstColumn="0" w:lastRowLastColumn="0"/>
            </w:pPr>
            <w:r>
              <w:t>Prior year</w:t>
            </w:r>
          </w:p>
        </w:tc>
        <w:tc>
          <w:tcPr>
            <w:tcW w:w="1380" w:type="dxa"/>
          </w:tcPr>
          <w:p w14:paraId="510E74B6" w14:textId="5A40A6DB" w:rsidR="07353A12" w:rsidRDefault="07353A12">
            <w:pPr>
              <w:cnfStyle w:val="100000000000" w:firstRow="1" w:lastRow="0" w:firstColumn="0" w:lastColumn="0" w:oddVBand="0" w:evenVBand="0" w:oddHBand="0" w:evenHBand="0" w:firstRowFirstColumn="0" w:firstRowLastColumn="0" w:lastRowFirstColumn="0" w:lastRowLastColumn="0"/>
            </w:pPr>
            <w:r>
              <w:t>Plan</w:t>
            </w:r>
          </w:p>
        </w:tc>
        <w:tc>
          <w:tcPr>
            <w:tcW w:w="1380" w:type="dxa"/>
          </w:tcPr>
          <w:p w14:paraId="65BC2702" w14:textId="531E8D9F" w:rsidR="07353A12" w:rsidRDefault="07353A12">
            <w:pPr>
              <w:cnfStyle w:val="100000000000" w:firstRow="1" w:lastRow="0" w:firstColumn="0" w:lastColumn="0" w:oddVBand="0" w:evenVBand="0" w:oddHBand="0" w:evenHBand="0" w:firstRowFirstColumn="0" w:firstRowLastColumn="0" w:lastRowFirstColumn="0" w:lastRowLastColumn="0"/>
            </w:pPr>
            <w:r>
              <w:t>vs prior year</w:t>
            </w:r>
          </w:p>
        </w:tc>
        <w:tc>
          <w:tcPr>
            <w:tcW w:w="1380" w:type="dxa"/>
          </w:tcPr>
          <w:p w14:paraId="14A256E7" w14:textId="4BFC7463" w:rsidR="07353A12" w:rsidRDefault="07353A12">
            <w:pPr>
              <w:cnfStyle w:val="100000000000" w:firstRow="1" w:lastRow="0" w:firstColumn="0" w:lastColumn="0" w:oddVBand="0" w:evenVBand="0" w:oddHBand="0" w:evenHBand="0" w:firstRowFirstColumn="0" w:firstRowLastColumn="0" w:lastRowFirstColumn="0" w:lastRowLastColumn="0"/>
            </w:pPr>
            <w:r>
              <w:t>vs plan</w:t>
            </w:r>
          </w:p>
        </w:tc>
      </w:tr>
      <w:tr w:rsidR="07353A12" w14:paraId="5DCE1A0E" w14:textId="77777777" w:rsidTr="3E79E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14:paraId="6B694835" w14:textId="6311D4D8" w:rsidR="07353A12" w:rsidRDefault="07353A12">
            <w:r>
              <w:t>Volume (UC)</w:t>
            </w:r>
          </w:p>
        </w:tc>
        <w:tc>
          <w:tcPr>
            <w:tcW w:w="1380" w:type="dxa"/>
          </w:tcPr>
          <w:p w14:paraId="613878E0" w14:textId="5BEFBB9C" w:rsidR="07353A12" w:rsidRDefault="07353A12">
            <w:pPr>
              <w:cnfStyle w:val="000000100000" w:firstRow="0" w:lastRow="0" w:firstColumn="0" w:lastColumn="0" w:oddVBand="0" w:evenVBand="0" w:oddHBand="1" w:evenHBand="0" w:firstRowFirstColumn="0" w:firstRowLastColumn="0" w:lastRowFirstColumn="0" w:lastRowLastColumn="0"/>
            </w:pPr>
            <w:r>
              <w:t>175,192,799</w:t>
            </w:r>
          </w:p>
        </w:tc>
        <w:tc>
          <w:tcPr>
            <w:tcW w:w="1380" w:type="dxa"/>
          </w:tcPr>
          <w:p w14:paraId="512863B8" w14:textId="54CDA260" w:rsidR="07353A12" w:rsidRDefault="07353A12">
            <w:pPr>
              <w:cnfStyle w:val="000000100000" w:firstRow="0" w:lastRow="0" w:firstColumn="0" w:lastColumn="0" w:oddVBand="0" w:evenVBand="0" w:oddHBand="1" w:evenHBand="0" w:firstRowFirstColumn="0" w:firstRowLastColumn="0" w:lastRowFirstColumn="0" w:lastRowLastColumn="0"/>
            </w:pPr>
            <w:r>
              <w:t>156,338,303</w:t>
            </w:r>
          </w:p>
        </w:tc>
        <w:tc>
          <w:tcPr>
            <w:tcW w:w="1380" w:type="dxa"/>
          </w:tcPr>
          <w:p w14:paraId="2F7C27FD" w14:textId="4DAB8924" w:rsidR="07353A12" w:rsidRDefault="07353A12">
            <w:pPr>
              <w:cnfStyle w:val="000000100000" w:firstRow="0" w:lastRow="0" w:firstColumn="0" w:lastColumn="0" w:oddVBand="0" w:evenVBand="0" w:oddHBand="1" w:evenHBand="0" w:firstRowFirstColumn="0" w:firstRowLastColumn="0" w:lastRowFirstColumn="0" w:lastRowLastColumn="0"/>
            </w:pPr>
            <w:r>
              <w:t>171,587,370</w:t>
            </w:r>
          </w:p>
        </w:tc>
        <w:tc>
          <w:tcPr>
            <w:tcW w:w="1380" w:type="dxa"/>
          </w:tcPr>
          <w:p w14:paraId="1B7630E7" w14:textId="46896FE8" w:rsidR="07353A12" w:rsidRDefault="07353A12">
            <w:pPr>
              <w:cnfStyle w:val="000000100000" w:firstRow="0" w:lastRow="0" w:firstColumn="0" w:lastColumn="0" w:oddVBand="0" w:evenVBand="0" w:oddHBand="1" w:evenHBand="0" w:firstRowFirstColumn="0" w:firstRowLastColumn="0" w:lastRowFirstColumn="0" w:lastRowLastColumn="0"/>
            </w:pPr>
            <w:r>
              <w:t>+12.1%</w:t>
            </w:r>
          </w:p>
        </w:tc>
        <w:tc>
          <w:tcPr>
            <w:tcW w:w="1380" w:type="dxa"/>
          </w:tcPr>
          <w:p w14:paraId="70E867EE" w14:textId="3F6756AC" w:rsidR="07353A12" w:rsidRDefault="07353A12">
            <w:pPr>
              <w:cnfStyle w:val="000000100000" w:firstRow="0" w:lastRow="0" w:firstColumn="0" w:lastColumn="0" w:oddVBand="0" w:evenVBand="0" w:oddHBand="1" w:evenHBand="0" w:firstRowFirstColumn="0" w:firstRowLastColumn="0" w:lastRowFirstColumn="0" w:lastRowLastColumn="0"/>
            </w:pPr>
            <w:r>
              <w:t>+2.1%</w:t>
            </w:r>
          </w:p>
        </w:tc>
      </w:tr>
      <w:tr w:rsidR="07353A12" w14:paraId="35B9D91B" w14:textId="77777777" w:rsidTr="3E79E8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14:paraId="1A63215B" w14:textId="567CB721" w:rsidR="07353A12" w:rsidRDefault="07353A12">
            <w:r>
              <w:t>Net revenue (USD k)</w:t>
            </w:r>
          </w:p>
        </w:tc>
        <w:tc>
          <w:tcPr>
            <w:tcW w:w="1380" w:type="dxa"/>
          </w:tcPr>
          <w:p w14:paraId="366865A3" w14:textId="4F5A9DE5" w:rsidR="07353A12" w:rsidRDefault="07353A12">
            <w:pPr>
              <w:cnfStyle w:val="000000010000" w:firstRow="0" w:lastRow="0" w:firstColumn="0" w:lastColumn="0" w:oddVBand="0" w:evenVBand="0" w:oddHBand="0" w:evenHBand="1" w:firstRowFirstColumn="0" w:firstRowLastColumn="0" w:lastRowFirstColumn="0" w:lastRowLastColumn="0"/>
            </w:pPr>
            <w:r>
              <w:t>1,188,164.9</w:t>
            </w:r>
          </w:p>
        </w:tc>
        <w:tc>
          <w:tcPr>
            <w:tcW w:w="1380" w:type="dxa"/>
          </w:tcPr>
          <w:p w14:paraId="5B0E6BD1" w14:textId="483884A9" w:rsidR="07353A12" w:rsidRDefault="07353A12">
            <w:pPr>
              <w:cnfStyle w:val="000000010000" w:firstRow="0" w:lastRow="0" w:firstColumn="0" w:lastColumn="0" w:oddVBand="0" w:evenVBand="0" w:oddHBand="0" w:evenHBand="1" w:firstRowFirstColumn="0" w:firstRowLastColumn="0" w:lastRowFirstColumn="0" w:lastRowLastColumn="0"/>
            </w:pPr>
            <w:r>
              <w:t>1,002,566.2</w:t>
            </w:r>
          </w:p>
        </w:tc>
        <w:tc>
          <w:tcPr>
            <w:tcW w:w="1380" w:type="dxa"/>
          </w:tcPr>
          <w:p w14:paraId="2A1A76BF" w14:textId="41166B6D" w:rsidR="07353A12" w:rsidRDefault="07353A12">
            <w:pPr>
              <w:cnfStyle w:val="000000010000" w:firstRow="0" w:lastRow="0" w:firstColumn="0" w:lastColumn="0" w:oddVBand="0" w:evenVBand="0" w:oddHBand="0" w:evenHBand="1" w:firstRowFirstColumn="0" w:firstRowLastColumn="0" w:lastRowFirstColumn="0" w:lastRowLastColumn="0"/>
            </w:pPr>
            <w:r>
              <w:t>1,153,840.8</w:t>
            </w:r>
          </w:p>
        </w:tc>
        <w:tc>
          <w:tcPr>
            <w:tcW w:w="1380" w:type="dxa"/>
          </w:tcPr>
          <w:p w14:paraId="7A50714E" w14:textId="39F45231" w:rsidR="07353A12" w:rsidRDefault="07353A12">
            <w:pPr>
              <w:cnfStyle w:val="000000010000" w:firstRow="0" w:lastRow="0" w:firstColumn="0" w:lastColumn="0" w:oddVBand="0" w:evenVBand="0" w:oddHBand="0" w:evenHBand="1" w:firstRowFirstColumn="0" w:firstRowLastColumn="0" w:lastRowFirstColumn="0" w:lastRowLastColumn="0"/>
            </w:pPr>
            <w:r>
              <w:t>+18.5%</w:t>
            </w:r>
          </w:p>
        </w:tc>
        <w:tc>
          <w:tcPr>
            <w:tcW w:w="1380" w:type="dxa"/>
          </w:tcPr>
          <w:p w14:paraId="34159D3E" w14:textId="32D238F5" w:rsidR="07353A12" w:rsidRDefault="07353A12">
            <w:pPr>
              <w:cnfStyle w:val="000000010000" w:firstRow="0" w:lastRow="0" w:firstColumn="0" w:lastColumn="0" w:oddVBand="0" w:evenVBand="0" w:oddHBand="0" w:evenHBand="1" w:firstRowFirstColumn="0" w:firstRowLastColumn="0" w:lastRowFirstColumn="0" w:lastRowLastColumn="0"/>
            </w:pPr>
            <w:r>
              <w:t>+3.0%</w:t>
            </w:r>
          </w:p>
        </w:tc>
      </w:tr>
      <w:tr w:rsidR="07353A12" w14:paraId="70FFBD50" w14:textId="77777777" w:rsidTr="3E79E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14:paraId="6B2D9F75" w14:textId="49E7996A" w:rsidR="07353A12" w:rsidRDefault="07353A12">
            <w:r>
              <w:t>Gross profit (USD k)</w:t>
            </w:r>
          </w:p>
        </w:tc>
        <w:tc>
          <w:tcPr>
            <w:tcW w:w="1380" w:type="dxa"/>
          </w:tcPr>
          <w:p w14:paraId="38DEB1FD" w14:textId="42C5802E" w:rsidR="07353A12" w:rsidRDefault="07353A12">
            <w:pPr>
              <w:cnfStyle w:val="000000100000" w:firstRow="0" w:lastRow="0" w:firstColumn="0" w:lastColumn="0" w:oddVBand="0" w:evenVBand="0" w:oddHBand="1" w:evenHBand="0" w:firstRowFirstColumn="0" w:firstRowLastColumn="0" w:lastRowFirstColumn="0" w:lastRowLastColumn="0"/>
            </w:pPr>
            <w:r>
              <w:t>472,127.9</w:t>
            </w:r>
          </w:p>
        </w:tc>
        <w:tc>
          <w:tcPr>
            <w:tcW w:w="1380" w:type="dxa"/>
          </w:tcPr>
          <w:p w14:paraId="2055A126" w14:textId="3BA366F2" w:rsidR="07353A12" w:rsidRDefault="07353A12">
            <w:pPr>
              <w:cnfStyle w:val="000000100000" w:firstRow="0" w:lastRow="0" w:firstColumn="0" w:lastColumn="0" w:oddVBand="0" w:evenVBand="0" w:oddHBand="1" w:evenHBand="0" w:firstRowFirstColumn="0" w:firstRowLastColumn="0" w:lastRowFirstColumn="0" w:lastRowLastColumn="0"/>
            </w:pPr>
            <w:r>
              <w:t>388,722.2</w:t>
            </w:r>
          </w:p>
        </w:tc>
        <w:tc>
          <w:tcPr>
            <w:tcW w:w="1380" w:type="dxa"/>
          </w:tcPr>
          <w:p w14:paraId="7BA79CAA" w14:textId="34814DB6" w:rsidR="07353A12" w:rsidRDefault="07353A12">
            <w:pPr>
              <w:cnfStyle w:val="000000100000" w:firstRow="0" w:lastRow="0" w:firstColumn="0" w:lastColumn="0" w:oddVBand="0" w:evenVBand="0" w:oddHBand="1" w:evenHBand="0" w:firstRowFirstColumn="0" w:firstRowLastColumn="0" w:lastRowFirstColumn="0" w:lastRowLastColumn="0"/>
            </w:pPr>
            <w:r>
              <w:t>n/a</w:t>
            </w:r>
          </w:p>
        </w:tc>
        <w:tc>
          <w:tcPr>
            <w:tcW w:w="1380" w:type="dxa"/>
          </w:tcPr>
          <w:p w14:paraId="67A5E0C5" w14:textId="2D5F347A" w:rsidR="07353A12" w:rsidRDefault="07353A12">
            <w:pPr>
              <w:cnfStyle w:val="000000100000" w:firstRow="0" w:lastRow="0" w:firstColumn="0" w:lastColumn="0" w:oddVBand="0" w:evenVBand="0" w:oddHBand="1" w:evenHBand="0" w:firstRowFirstColumn="0" w:firstRowLastColumn="0" w:lastRowFirstColumn="0" w:lastRowLastColumn="0"/>
            </w:pPr>
            <w:r>
              <w:t>+21.5%</w:t>
            </w:r>
          </w:p>
        </w:tc>
        <w:tc>
          <w:tcPr>
            <w:tcW w:w="1380" w:type="dxa"/>
          </w:tcPr>
          <w:p w14:paraId="3004B5DF" w14:textId="263D1B3E" w:rsidR="07353A12" w:rsidRDefault="07353A12">
            <w:pPr>
              <w:cnfStyle w:val="000000100000" w:firstRow="0" w:lastRow="0" w:firstColumn="0" w:lastColumn="0" w:oddVBand="0" w:evenVBand="0" w:oddHBand="1" w:evenHBand="0" w:firstRowFirstColumn="0" w:firstRowLastColumn="0" w:lastRowFirstColumn="0" w:lastRowLastColumn="0"/>
            </w:pPr>
            <w:r>
              <w:t>n/a</w:t>
            </w:r>
          </w:p>
        </w:tc>
      </w:tr>
      <w:tr w:rsidR="07353A12" w14:paraId="7C53036D" w14:textId="77777777" w:rsidTr="3E79E8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6" w:type="dxa"/>
          </w:tcPr>
          <w:p w14:paraId="29AE1144" w14:textId="3D527BB3" w:rsidR="07353A12" w:rsidRDefault="07353A12">
            <w:r>
              <w:t>Gross margin (GP % of NR)</w:t>
            </w:r>
          </w:p>
        </w:tc>
        <w:tc>
          <w:tcPr>
            <w:tcW w:w="1380" w:type="dxa"/>
          </w:tcPr>
          <w:p w14:paraId="66161925" w14:textId="36306277" w:rsidR="07353A12" w:rsidRDefault="07353A12">
            <w:pPr>
              <w:cnfStyle w:val="000000010000" w:firstRow="0" w:lastRow="0" w:firstColumn="0" w:lastColumn="0" w:oddVBand="0" w:evenVBand="0" w:oddHBand="0" w:evenHBand="1" w:firstRowFirstColumn="0" w:firstRowLastColumn="0" w:lastRowFirstColumn="0" w:lastRowLastColumn="0"/>
            </w:pPr>
            <w:r>
              <w:t>39.7%</w:t>
            </w:r>
          </w:p>
        </w:tc>
        <w:tc>
          <w:tcPr>
            <w:tcW w:w="1380" w:type="dxa"/>
          </w:tcPr>
          <w:p w14:paraId="46CA8CDA" w14:textId="2F0E493B" w:rsidR="07353A12" w:rsidRDefault="07353A12">
            <w:pPr>
              <w:cnfStyle w:val="000000010000" w:firstRow="0" w:lastRow="0" w:firstColumn="0" w:lastColumn="0" w:oddVBand="0" w:evenVBand="0" w:oddHBand="0" w:evenHBand="1" w:firstRowFirstColumn="0" w:firstRowLastColumn="0" w:lastRowFirstColumn="0" w:lastRowLastColumn="0"/>
            </w:pPr>
            <w:r>
              <w:t>38.8%</w:t>
            </w:r>
          </w:p>
        </w:tc>
        <w:tc>
          <w:tcPr>
            <w:tcW w:w="1380" w:type="dxa"/>
          </w:tcPr>
          <w:p w14:paraId="1E35287F" w14:textId="27EC2FFF" w:rsidR="07353A12" w:rsidRDefault="07353A12">
            <w:pPr>
              <w:cnfStyle w:val="000000010000" w:firstRow="0" w:lastRow="0" w:firstColumn="0" w:lastColumn="0" w:oddVBand="0" w:evenVBand="0" w:oddHBand="0" w:evenHBand="1" w:firstRowFirstColumn="0" w:firstRowLastColumn="0" w:lastRowFirstColumn="0" w:lastRowLastColumn="0"/>
            </w:pPr>
            <w:r>
              <w:t>n/a</w:t>
            </w:r>
          </w:p>
        </w:tc>
        <w:tc>
          <w:tcPr>
            <w:tcW w:w="1380" w:type="dxa"/>
          </w:tcPr>
          <w:p w14:paraId="149CA182" w14:textId="20CA16C3" w:rsidR="07353A12" w:rsidRDefault="07353A12">
            <w:pPr>
              <w:cnfStyle w:val="000000010000" w:firstRow="0" w:lastRow="0" w:firstColumn="0" w:lastColumn="0" w:oddVBand="0" w:evenVBand="0" w:oddHBand="0" w:evenHBand="1" w:firstRowFirstColumn="0" w:firstRowLastColumn="0" w:lastRowFirstColumn="0" w:lastRowLastColumn="0"/>
            </w:pPr>
            <w:r>
              <w:t>+1.0 pt</w:t>
            </w:r>
          </w:p>
        </w:tc>
        <w:tc>
          <w:tcPr>
            <w:tcW w:w="1380" w:type="dxa"/>
          </w:tcPr>
          <w:p w14:paraId="33AC08DD" w14:textId="19A7FD87" w:rsidR="07353A12" w:rsidRDefault="07353A12">
            <w:pPr>
              <w:cnfStyle w:val="000000010000" w:firstRow="0" w:lastRow="0" w:firstColumn="0" w:lastColumn="0" w:oddVBand="0" w:evenVBand="0" w:oddHBand="0" w:evenHBand="1" w:firstRowFirstColumn="0" w:firstRowLastColumn="0" w:lastRowFirstColumn="0" w:lastRowLastColumn="0"/>
            </w:pPr>
            <w:r>
              <w:t>n/a</w:t>
            </w:r>
          </w:p>
        </w:tc>
      </w:tr>
    </w:tbl>
    <w:p w14:paraId="28470030" w14:textId="259ACEF7" w:rsidR="07353A12" w:rsidRDefault="07353A12" w:rsidP="07353A12">
      <w:r w:rsidRPr="07353A12">
        <w:rPr>
          <w:i/>
          <w:iCs/>
          <w:color w:val="808285" w:themeColor="accent2"/>
          <w:sz w:val="18"/>
          <w:szCs w:val="18"/>
        </w:rPr>
        <w:t>Gross profit is not planned at this level in the tracker, so plan comparisons cover volume and net revenue only. Gross margin and NR per UC are weighted: sum of gross profit ÷ sum of net revenue, and sum of net revenue × 1,000 ÷ sum of unit cases.</w:t>
      </w:r>
    </w:p>
    <w:p w14:paraId="4A3C8D0B" w14:textId="1C06DB6B" w:rsidR="07353A12" w:rsidRDefault="07353A12" w:rsidP="07353A12">
      <w:r>
        <w:t>Gross revenue was USD 1,311,255.0k, with trade discounts of USD 123,090.1k, or 9.4% of gross revenue. Gross profit grew 21.5% to USD 472,127.9k and gross margin improved by 1.0 point to 39.7%. Part of that margin gain is mix rather than rate: the fastest-growing categories and channels (Energy, Coffee and eB2B) carry higher revenue per case, and the like-for-like margin movement has not yet been isolated.</w:t>
      </w:r>
    </w:p>
    <w:p w14:paraId="7520B1B5" w14:textId="67865DFB" w:rsidR="10FCCFDA" w:rsidRDefault="10FCCFDA" w:rsidP="10FCCFDA">
      <w:r>
        <w:t>Momentum built through the quarter. Monthly net revenue rose from USD 373,623.6k in July to USD 393,582.5k in August and USD 420,958.8k in September, giving a strong exit rate into Q4.</w:t>
      </w:r>
    </w:p>
    <w:p w14:paraId="678A7310" w14:textId="2DFBC840" w:rsidR="10FCCFDA" w:rsidRDefault="10FCCFDA" w:rsidP="10FCCFDA">
      <w:pPr>
        <w:pStyle w:val="Heading1"/>
      </w:pPr>
      <w:r w:rsidRPr="10FCCFDA">
        <w:rPr>
          <w:color w:val="F40009" w:themeColor="accent6"/>
        </w:rPr>
        <w:t>3. Market performance</w:t>
      </w:r>
    </w:p>
    <w:p w14:paraId="63255546" w14:textId="71328798" w:rsidR="10FCCFDA" w:rsidRDefault="10FCCFDA" w:rsidP="10FCCFDA">
      <w:r>
        <w:t>Every market grew net revenue on the prior year. East Africa grew 22.6%, ahead of Southern Africa at 15.8%. Ethiopia was the fastest-growing market at 27.7%, reaching USD 122,217.9k of net revenue. South Africa remains the anchor of the business at USD 578,096.1k, close to half of group net revenue, and grew 15.3%.</w:t>
      </w:r>
    </w:p>
    <w:tbl>
      <w:tblPr>
        <w:tblStyle w:val="MediumShading1-Accent1"/>
        <w:tblW w:w="0" w:type="auto"/>
        <w:tblLook w:val="04A0" w:firstRow="1" w:lastRow="0" w:firstColumn="1" w:lastColumn="0" w:noHBand="0" w:noVBand="1"/>
      </w:tblPr>
      <w:tblGrid>
        <w:gridCol w:w="3120"/>
        <w:gridCol w:w="3120"/>
        <w:gridCol w:w="3120"/>
      </w:tblGrid>
      <w:tr w:rsidR="10FCCFDA" w14:paraId="59283CE3" w14:textId="77777777" w:rsidTr="3E79E80D">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120" w:type="dxa"/>
          </w:tcPr>
          <w:p w14:paraId="57CF7A20" w14:textId="6EDB661F" w:rsidR="10FCCFDA" w:rsidRDefault="10FCCFDA">
            <w:r>
              <w:t>Market</w:t>
            </w:r>
          </w:p>
        </w:tc>
        <w:tc>
          <w:tcPr>
            <w:tcW w:w="3120" w:type="dxa"/>
          </w:tcPr>
          <w:p w14:paraId="39597944" w14:textId="67B94CE3" w:rsidR="10FCCFDA" w:rsidRDefault="10FCCFDA">
            <w:pPr>
              <w:cnfStyle w:val="100000000000" w:firstRow="1" w:lastRow="0" w:firstColumn="0" w:lastColumn="0" w:oddVBand="0" w:evenVBand="0" w:oddHBand="0" w:evenHBand="0" w:firstRowFirstColumn="0" w:firstRowLastColumn="0" w:lastRowFirstColumn="0" w:lastRowLastColumn="0"/>
            </w:pPr>
            <w:r>
              <w:t>Region</w:t>
            </w:r>
          </w:p>
        </w:tc>
        <w:tc>
          <w:tcPr>
            <w:tcW w:w="3120" w:type="dxa"/>
          </w:tcPr>
          <w:p w14:paraId="63745711" w14:textId="609733A7" w:rsidR="10FCCFDA" w:rsidRDefault="10FCCFDA">
            <w:pPr>
              <w:cnfStyle w:val="100000000000" w:firstRow="1" w:lastRow="0" w:firstColumn="0" w:lastColumn="0" w:oddVBand="0" w:evenVBand="0" w:oddHBand="0" w:evenHBand="0" w:firstRowFirstColumn="0" w:firstRowLastColumn="0" w:lastRowFirstColumn="0" w:lastRowLastColumn="0"/>
            </w:pPr>
            <w:r>
              <w:t>Net revenue growth vs prior year</w:t>
            </w:r>
          </w:p>
        </w:tc>
      </w:tr>
      <w:tr w:rsidR="10FCCFDA" w14:paraId="1E9226B6" w14:textId="77777777" w:rsidTr="3E79E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23849C4" w14:textId="77AC941C" w:rsidR="10FCCFDA" w:rsidRDefault="10FCCFDA">
            <w:r>
              <w:t>Ethiopia</w:t>
            </w:r>
          </w:p>
        </w:tc>
        <w:tc>
          <w:tcPr>
            <w:tcW w:w="3120" w:type="dxa"/>
          </w:tcPr>
          <w:p w14:paraId="7603C62D" w14:textId="708A7AE0" w:rsidR="10FCCFDA" w:rsidRDefault="10FCCFDA">
            <w:pPr>
              <w:cnfStyle w:val="000000100000" w:firstRow="0" w:lastRow="0" w:firstColumn="0" w:lastColumn="0" w:oddVBand="0" w:evenVBand="0" w:oddHBand="1" w:evenHBand="0" w:firstRowFirstColumn="0" w:firstRowLastColumn="0" w:lastRowFirstColumn="0" w:lastRowLastColumn="0"/>
            </w:pPr>
            <w:r>
              <w:t>East Africa</w:t>
            </w:r>
          </w:p>
        </w:tc>
        <w:tc>
          <w:tcPr>
            <w:tcW w:w="3120" w:type="dxa"/>
          </w:tcPr>
          <w:p w14:paraId="631E86E5" w14:textId="696861A4" w:rsidR="10FCCFDA" w:rsidRDefault="10FCCFDA">
            <w:pPr>
              <w:cnfStyle w:val="000000100000" w:firstRow="0" w:lastRow="0" w:firstColumn="0" w:lastColumn="0" w:oddVBand="0" w:evenVBand="0" w:oddHBand="1" w:evenHBand="0" w:firstRowFirstColumn="0" w:firstRowLastColumn="0" w:lastRowFirstColumn="0" w:lastRowLastColumn="0"/>
            </w:pPr>
            <w:r>
              <w:t>+27.7%</w:t>
            </w:r>
          </w:p>
        </w:tc>
      </w:tr>
      <w:tr w:rsidR="10FCCFDA" w14:paraId="51CCC6AF" w14:textId="77777777" w:rsidTr="3E79E8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57F7AC0" w14:textId="007DC219" w:rsidR="10FCCFDA" w:rsidRDefault="10FCCFDA">
            <w:r>
              <w:t>Tanzania</w:t>
            </w:r>
          </w:p>
        </w:tc>
        <w:tc>
          <w:tcPr>
            <w:tcW w:w="3120" w:type="dxa"/>
          </w:tcPr>
          <w:p w14:paraId="7A2C6C9F" w14:textId="795BA8DD" w:rsidR="10FCCFDA" w:rsidRDefault="10FCCFDA">
            <w:pPr>
              <w:cnfStyle w:val="000000010000" w:firstRow="0" w:lastRow="0" w:firstColumn="0" w:lastColumn="0" w:oddVBand="0" w:evenVBand="0" w:oddHBand="0" w:evenHBand="1" w:firstRowFirstColumn="0" w:firstRowLastColumn="0" w:lastRowFirstColumn="0" w:lastRowLastColumn="0"/>
            </w:pPr>
            <w:r>
              <w:t>East Africa</w:t>
            </w:r>
          </w:p>
        </w:tc>
        <w:tc>
          <w:tcPr>
            <w:tcW w:w="3120" w:type="dxa"/>
          </w:tcPr>
          <w:p w14:paraId="669F93FC" w14:textId="72398FA1" w:rsidR="10FCCFDA" w:rsidRDefault="10FCCFDA">
            <w:pPr>
              <w:cnfStyle w:val="000000010000" w:firstRow="0" w:lastRow="0" w:firstColumn="0" w:lastColumn="0" w:oddVBand="0" w:evenVBand="0" w:oddHBand="0" w:evenHBand="1" w:firstRowFirstColumn="0" w:firstRowLastColumn="0" w:lastRowFirstColumn="0" w:lastRowLastColumn="0"/>
            </w:pPr>
            <w:r>
              <w:t>+21.9%</w:t>
            </w:r>
          </w:p>
        </w:tc>
      </w:tr>
      <w:tr w:rsidR="10FCCFDA" w14:paraId="30CF9027" w14:textId="77777777" w:rsidTr="3E79E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DAF205B" w14:textId="094EF016" w:rsidR="10FCCFDA" w:rsidRDefault="10FCCFDA">
            <w:r>
              <w:t>Uganda</w:t>
            </w:r>
          </w:p>
        </w:tc>
        <w:tc>
          <w:tcPr>
            <w:tcW w:w="3120" w:type="dxa"/>
          </w:tcPr>
          <w:p w14:paraId="5611E43E" w14:textId="022CD6DA" w:rsidR="10FCCFDA" w:rsidRDefault="10FCCFDA">
            <w:pPr>
              <w:cnfStyle w:val="000000100000" w:firstRow="0" w:lastRow="0" w:firstColumn="0" w:lastColumn="0" w:oddVBand="0" w:evenVBand="0" w:oddHBand="1" w:evenHBand="0" w:firstRowFirstColumn="0" w:firstRowLastColumn="0" w:lastRowFirstColumn="0" w:lastRowLastColumn="0"/>
            </w:pPr>
            <w:r>
              <w:t>East Africa</w:t>
            </w:r>
          </w:p>
        </w:tc>
        <w:tc>
          <w:tcPr>
            <w:tcW w:w="3120" w:type="dxa"/>
          </w:tcPr>
          <w:p w14:paraId="2615F5AE" w14:textId="7B0ABD9E" w:rsidR="10FCCFDA" w:rsidRDefault="10FCCFDA">
            <w:pPr>
              <w:cnfStyle w:val="000000100000" w:firstRow="0" w:lastRow="0" w:firstColumn="0" w:lastColumn="0" w:oddVBand="0" w:evenVBand="0" w:oddHBand="1" w:evenHBand="0" w:firstRowFirstColumn="0" w:firstRowLastColumn="0" w:lastRowFirstColumn="0" w:lastRowLastColumn="0"/>
            </w:pPr>
            <w:r>
              <w:t>+21.2%</w:t>
            </w:r>
          </w:p>
        </w:tc>
      </w:tr>
      <w:tr w:rsidR="10FCCFDA" w14:paraId="53B7CA41" w14:textId="77777777" w:rsidTr="3E79E8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54472C7" w14:textId="12201E13" w:rsidR="10FCCFDA" w:rsidRDefault="10FCCFDA">
            <w:r>
              <w:t>Kenya</w:t>
            </w:r>
          </w:p>
        </w:tc>
        <w:tc>
          <w:tcPr>
            <w:tcW w:w="3120" w:type="dxa"/>
          </w:tcPr>
          <w:p w14:paraId="5E93E5E1" w14:textId="0AFE04D7" w:rsidR="10FCCFDA" w:rsidRDefault="10FCCFDA">
            <w:pPr>
              <w:cnfStyle w:val="000000010000" w:firstRow="0" w:lastRow="0" w:firstColumn="0" w:lastColumn="0" w:oddVBand="0" w:evenVBand="0" w:oddHBand="0" w:evenHBand="1" w:firstRowFirstColumn="0" w:firstRowLastColumn="0" w:lastRowFirstColumn="0" w:lastRowLastColumn="0"/>
            </w:pPr>
            <w:r>
              <w:t>East Africa</w:t>
            </w:r>
          </w:p>
        </w:tc>
        <w:tc>
          <w:tcPr>
            <w:tcW w:w="3120" w:type="dxa"/>
          </w:tcPr>
          <w:p w14:paraId="763B99DA" w14:textId="03DBEB9B" w:rsidR="10FCCFDA" w:rsidRDefault="10FCCFDA">
            <w:pPr>
              <w:cnfStyle w:val="000000010000" w:firstRow="0" w:lastRow="0" w:firstColumn="0" w:lastColumn="0" w:oddVBand="0" w:evenVBand="0" w:oddHBand="0" w:evenHBand="1" w:firstRowFirstColumn="0" w:firstRowLastColumn="0" w:lastRowFirstColumn="0" w:lastRowLastColumn="0"/>
            </w:pPr>
            <w:r>
              <w:t>+20.3%</w:t>
            </w:r>
          </w:p>
        </w:tc>
      </w:tr>
      <w:tr w:rsidR="10FCCFDA" w14:paraId="52106A06" w14:textId="77777777" w:rsidTr="3E79E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AF2F249" w14:textId="1AF14C10" w:rsidR="10FCCFDA" w:rsidRDefault="10FCCFDA">
            <w:r>
              <w:t>Mozambique</w:t>
            </w:r>
          </w:p>
        </w:tc>
        <w:tc>
          <w:tcPr>
            <w:tcW w:w="3120" w:type="dxa"/>
          </w:tcPr>
          <w:p w14:paraId="6C19ED74" w14:textId="13CF32D4" w:rsidR="10FCCFDA" w:rsidRDefault="10FCCFDA">
            <w:pPr>
              <w:cnfStyle w:val="000000100000" w:firstRow="0" w:lastRow="0" w:firstColumn="0" w:lastColumn="0" w:oddVBand="0" w:evenVBand="0" w:oddHBand="1" w:evenHBand="0" w:firstRowFirstColumn="0" w:firstRowLastColumn="0" w:lastRowFirstColumn="0" w:lastRowLastColumn="0"/>
            </w:pPr>
            <w:r>
              <w:t>Southern Africa</w:t>
            </w:r>
          </w:p>
        </w:tc>
        <w:tc>
          <w:tcPr>
            <w:tcW w:w="3120" w:type="dxa"/>
          </w:tcPr>
          <w:p w14:paraId="15164C84" w14:textId="0CAD1998" w:rsidR="10FCCFDA" w:rsidRDefault="10FCCFDA">
            <w:pPr>
              <w:cnfStyle w:val="000000100000" w:firstRow="0" w:lastRow="0" w:firstColumn="0" w:lastColumn="0" w:oddVBand="0" w:evenVBand="0" w:oddHBand="1" w:evenHBand="0" w:firstRowFirstColumn="0" w:firstRowLastColumn="0" w:lastRowFirstColumn="0" w:lastRowLastColumn="0"/>
            </w:pPr>
            <w:r>
              <w:t>+20.1%</w:t>
            </w:r>
          </w:p>
        </w:tc>
      </w:tr>
      <w:tr w:rsidR="10FCCFDA" w14:paraId="73A3BDAB" w14:textId="77777777" w:rsidTr="3E79E8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7E5DB13" w14:textId="23C27A0D" w:rsidR="10FCCFDA" w:rsidRDefault="10FCCFDA">
            <w:r>
              <w:t>Namibia</w:t>
            </w:r>
          </w:p>
        </w:tc>
        <w:tc>
          <w:tcPr>
            <w:tcW w:w="3120" w:type="dxa"/>
          </w:tcPr>
          <w:p w14:paraId="1B6AE8EC" w14:textId="1CA060D1" w:rsidR="10FCCFDA" w:rsidRDefault="10FCCFDA">
            <w:pPr>
              <w:cnfStyle w:val="000000010000" w:firstRow="0" w:lastRow="0" w:firstColumn="0" w:lastColumn="0" w:oddVBand="0" w:evenVBand="0" w:oddHBand="0" w:evenHBand="1" w:firstRowFirstColumn="0" w:firstRowLastColumn="0" w:lastRowFirstColumn="0" w:lastRowLastColumn="0"/>
            </w:pPr>
            <w:r>
              <w:t>Southern Africa</w:t>
            </w:r>
          </w:p>
        </w:tc>
        <w:tc>
          <w:tcPr>
            <w:tcW w:w="3120" w:type="dxa"/>
          </w:tcPr>
          <w:p w14:paraId="57D32470" w14:textId="157E4795" w:rsidR="10FCCFDA" w:rsidRDefault="10FCCFDA">
            <w:pPr>
              <w:cnfStyle w:val="000000010000" w:firstRow="0" w:lastRow="0" w:firstColumn="0" w:lastColumn="0" w:oddVBand="0" w:evenVBand="0" w:oddHBand="0" w:evenHBand="1" w:firstRowFirstColumn="0" w:firstRowLastColumn="0" w:lastRowFirstColumn="0" w:lastRowLastColumn="0"/>
            </w:pPr>
            <w:r>
              <w:t>+15.3%</w:t>
            </w:r>
          </w:p>
        </w:tc>
      </w:tr>
      <w:tr w:rsidR="10FCCFDA" w14:paraId="43A9A7A8" w14:textId="77777777" w:rsidTr="3E79E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5099DE" w14:textId="2C93A80A" w:rsidR="10FCCFDA" w:rsidRDefault="10FCCFDA">
            <w:r>
              <w:t>South Africa</w:t>
            </w:r>
          </w:p>
        </w:tc>
        <w:tc>
          <w:tcPr>
            <w:tcW w:w="3120" w:type="dxa"/>
          </w:tcPr>
          <w:p w14:paraId="6D94D6AB" w14:textId="25718ECE" w:rsidR="10FCCFDA" w:rsidRDefault="10FCCFDA">
            <w:pPr>
              <w:cnfStyle w:val="000000100000" w:firstRow="0" w:lastRow="0" w:firstColumn="0" w:lastColumn="0" w:oddVBand="0" w:evenVBand="0" w:oddHBand="1" w:evenHBand="0" w:firstRowFirstColumn="0" w:firstRowLastColumn="0" w:lastRowFirstColumn="0" w:lastRowLastColumn="0"/>
            </w:pPr>
            <w:r>
              <w:t>Southern Africa</w:t>
            </w:r>
          </w:p>
        </w:tc>
        <w:tc>
          <w:tcPr>
            <w:tcW w:w="3120" w:type="dxa"/>
          </w:tcPr>
          <w:p w14:paraId="14B5FF85" w14:textId="1E4F7592" w:rsidR="10FCCFDA" w:rsidRDefault="10FCCFDA">
            <w:pPr>
              <w:cnfStyle w:val="000000100000" w:firstRow="0" w:lastRow="0" w:firstColumn="0" w:lastColumn="0" w:oddVBand="0" w:evenVBand="0" w:oddHBand="1" w:evenHBand="0" w:firstRowFirstColumn="0" w:firstRowLastColumn="0" w:lastRowFirstColumn="0" w:lastRowLastColumn="0"/>
            </w:pPr>
            <w:r>
              <w:t>+15.3%</w:t>
            </w:r>
          </w:p>
        </w:tc>
      </w:tr>
      <w:tr w:rsidR="10FCCFDA" w14:paraId="71990149" w14:textId="77777777" w:rsidTr="3E79E8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A0B2F76" w14:textId="3564D607" w:rsidR="10FCCFDA" w:rsidRDefault="10FCCFDA">
            <w:r>
              <w:t>East Africa total</w:t>
            </w:r>
          </w:p>
        </w:tc>
        <w:tc>
          <w:tcPr>
            <w:tcW w:w="3120" w:type="dxa"/>
          </w:tcPr>
          <w:p w14:paraId="3820606A" w14:textId="2E42BCCB" w:rsidR="10FCCFDA" w:rsidRDefault="10FCCFDA">
            <w:pPr>
              <w:cnfStyle w:val="000000010000" w:firstRow="0" w:lastRow="0" w:firstColumn="0" w:lastColumn="0" w:oddVBand="0" w:evenVBand="0" w:oddHBand="0" w:evenHBand="1" w:firstRowFirstColumn="0" w:firstRowLastColumn="0" w:lastRowFirstColumn="0" w:lastRowLastColumn="0"/>
            </w:pPr>
            <w:r>
              <w:t>Region</w:t>
            </w:r>
          </w:p>
        </w:tc>
        <w:tc>
          <w:tcPr>
            <w:tcW w:w="3120" w:type="dxa"/>
          </w:tcPr>
          <w:p w14:paraId="3383B72E" w14:textId="2720A38F" w:rsidR="10FCCFDA" w:rsidRDefault="10FCCFDA">
            <w:pPr>
              <w:cnfStyle w:val="000000010000" w:firstRow="0" w:lastRow="0" w:firstColumn="0" w:lastColumn="0" w:oddVBand="0" w:evenVBand="0" w:oddHBand="0" w:evenHBand="1" w:firstRowFirstColumn="0" w:firstRowLastColumn="0" w:lastRowFirstColumn="0" w:lastRowLastColumn="0"/>
            </w:pPr>
            <w:r>
              <w:t>+22.6%</w:t>
            </w:r>
          </w:p>
        </w:tc>
      </w:tr>
      <w:tr w:rsidR="10FCCFDA" w14:paraId="28659BBC" w14:textId="77777777" w:rsidTr="3E79E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494E297" w14:textId="3E360404" w:rsidR="10FCCFDA" w:rsidRDefault="10FCCFDA">
            <w:r>
              <w:t>Southern Africa total</w:t>
            </w:r>
          </w:p>
        </w:tc>
        <w:tc>
          <w:tcPr>
            <w:tcW w:w="3120" w:type="dxa"/>
          </w:tcPr>
          <w:p w14:paraId="2C50A8A1" w14:textId="3713EAC8" w:rsidR="10FCCFDA" w:rsidRDefault="10FCCFDA">
            <w:pPr>
              <w:cnfStyle w:val="000000100000" w:firstRow="0" w:lastRow="0" w:firstColumn="0" w:lastColumn="0" w:oddVBand="0" w:evenVBand="0" w:oddHBand="1" w:evenHBand="0" w:firstRowFirstColumn="0" w:firstRowLastColumn="0" w:lastRowFirstColumn="0" w:lastRowLastColumn="0"/>
            </w:pPr>
            <w:r>
              <w:t>Region</w:t>
            </w:r>
          </w:p>
        </w:tc>
        <w:tc>
          <w:tcPr>
            <w:tcW w:w="3120" w:type="dxa"/>
          </w:tcPr>
          <w:p w14:paraId="280CF908" w14:textId="2FF1D18C" w:rsidR="10FCCFDA" w:rsidRDefault="10FCCFDA">
            <w:pPr>
              <w:cnfStyle w:val="000000100000" w:firstRow="0" w:lastRow="0" w:firstColumn="0" w:lastColumn="0" w:oddVBand="0" w:evenVBand="0" w:oddHBand="1" w:evenHBand="0" w:firstRowFirstColumn="0" w:firstRowLastColumn="0" w:lastRowFirstColumn="0" w:lastRowLastColumn="0"/>
            </w:pPr>
            <w:r>
              <w:t>+15.8%</w:t>
            </w:r>
          </w:p>
        </w:tc>
      </w:tr>
    </w:tbl>
    <w:p w14:paraId="11F7D791" w14:textId="2043D95F" w:rsidR="10FCCFDA" w:rsidRDefault="10FCCFDA" w:rsidP="10FCCFDA">
      <w:r>
        <w:t>All growth rates are at constant currency. They show underlying trading momentum, but not what the business earned in US dollars. Where local currencies have weakened against the dollar, reported growth will be lower than shown here, and the gap is likely to be widest in the markets whose currencies have moved most. A reported-currency bridge is not yet part of this pack.</w:t>
      </w:r>
    </w:p>
    <w:p w14:paraId="15E3F549" w14:textId="6959AEBE" w:rsidR="10FCCFDA" w:rsidRDefault="10FCCFDA" w:rsidP="10FCCFDA">
      <w:pPr>
        <w:pStyle w:val="Heading1"/>
      </w:pPr>
      <w:r w:rsidRPr="10FCCFDA">
        <w:rPr>
          <w:color w:val="F40009" w:themeColor="accent6"/>
        </w:rPr>
        <w:t>4. Channel and route-to-market</w:t>
      </w:r>
    </w:p>
    <w:p w14:paraId="61C6656D" w14:textId="5D192D04" w:rsidR="10FCCFDA" w:rsidRDefault="239AA9B8" w:rsidP="10FCCFDA">
      <w:r>
        <w:t>Growth came through every channel, with the digital route-to-market leading. Net revenue through online ordering (eB2B) grew 38.8% on volume growth of 31.5%. Active eB2B outlets reached 122,209 in September, up 33.2% from 91,770 a year earlier.</w:t>
      </w:r>
    </w:p>
    <w:tbl>
      <w:tblPr>
        <w:tblStyle w:val="MediumShading1-Accent1"/>
        <w:tblW w:w="9306" w:type="dxa"/>
        <w:tblLook w:val="04A0" w:firstRow="1" w:lastRow="0" w:firstColumn="1" w:lastColumn="0" w:noHBand="0" w:noVBand="1"/>
      </w:tblPr>
      <w:tblGrid>
        <w:gridCol w:w="2500"/>
        <w:gridCol w:w="2300"/>
        <w:gridCol w:w="4506"/>
      </w:tblGrid>
      <w:tr w:rsidR="2184E37F" w14:paraId="5D27CCB5" w14:textId="77777777" w:rsidTr="689B3EED">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500" w:type="dxa"/>
          </w:tcPr>
          <w:p w14:paraId="5D6455D1" w14:textId="13696C9C" w:rsidR="2184E37F" w:rsidRDefault="2184E37F">
            <w:r>
              <w:lastRenderedPageBreak/>
              <w:t>Channel</w:t>
            </w:r>
          </w:p>
        </w:tc>
        <w:tc>
          <w:tcPr>
            <w:tcW w:w="2300" w:type="dxa"/>
          </w:tcPr>
          <w:p w14:paraId="37D3338A" w14:textId="0C475360" w:rsidR="2184E37F" w:rsidRDefault="2184E37F">
            <w:pPr>
              <w:cnfStyle w:val="100000000000" w:firstRow="1" w:lastRow="0" w:firstColumn="0" w:lastColumn="0" w:oddVBand="0" w:evenVBand="0" w:oddHBand="0" w:evenHBand="0" w:firstRowFirstColumn="0" w:firstRowLastColumn="0" w:lastRowFirstColumn="0" w:lastRowLastColumn="0"/>
            </w:pPr>
            <w:r>
              <w:t>Net revenue growth vs prior year</w:t>
            </w:r>
          </w:p>
        </w:tc>
        <w:tc>
          <w:tcPr>
            <w:tcW w:w="4506" w:type="dxa"/>
          </w:tcPr>
          <w:p w14:paraId="76764C32" w14:textId="05253A24" w:rsidR="2184E37F" w:rsidRDefault="2184E37F">
            <w:pPr>
              <w:cnfStyle w:val="100000000000" w:firstRow="1" w:lastRow="0" w:firstColumn="0" w:lastColumn="0" w:oddVBand="0" w:evenVBand="0" w:oddHBand="0" w:evenHBand="0" w:firstRowFirstColumn="0" w:firstRowLastColumn="0" w:lastRowFirstColumn="0" w:lastRowLastColumn="0"/>
            </w:pPr>
            <w:r>
              <w:t>Comment</w:t>
            </w:r>
          </w:p>
        </w:tc>
      </w:tr>
      <w:tr w:rsidR="2184E37F" w14:paraId="4849F1F5" w14:textId="77777777" w:rsidTr="689B3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1268ECA" w14:textId="1C3A9A99" w:rsidR="2184E37F" w:rsidRDefault="7DA533DB">
            <w:r>
              <w:t>eB2B</w:t>
            </w:r>
          </w:p>
        </w:tc>
        <w:tc>
          <w:tcPr>
            <w:tcW w:w="2300" w:type="dxa"/>
          </w:tcPr>
          <w:p w14:paraId="31321403" w14:textId="1518815D" w:rsidR="2184E37F" w:rsidRDefault="2184E37F">
            <w:pPr>
              <w:cnfStyle w:val="000000100000" w:firstRow="0" w:lastRow="0" w:firstColumn="0" w:lastColumn="0" w:oddVBand="0" w:evenVBand="0" w:oddHBand="1" w:evenHBand="0" w:firstRowFirstColumn="0" w:firstRowLastColumn="0" w:lastRowFirstColumn="0" w:lastRowLastColumn="0"/>
            </w:pPr>
            <w:r>
              <w:t>+38.8%</w:t>
            </w:r>
          </w:p>
        </w:tc>
        <w:tc>
          <w:tcPr>
            <w:tcW w:w="4506" w:type="dxa"/>
          </w:tcPr>
          <w:p w14:paraId="3605E35B" w14:textId="0DF66821" w:rsidR="2184E37F" w:rsidRDefault="2184E37F">
            <w:pPr>
              <w:cnfStyle w:val="000000100000" w:firstRow="0" w:lastRow="0" w:firstColumn="0" w:lastColumn="0" w:oddVBand="0" w:evenVBand="0" w:oddHBand="1" w:evenHBand="0" w:firstRowFirstColumn="0" w:firstRowLastColumn="0" w:lastRowFirstColumn="0" w:lastRowLastColumn="0"/>
            </w:pPr>
            <w:r>
              <w:t>Volume +31.5%; 122,209 active outlets in September</w:t>
            </w:r>
          </w:p>
        </w:tc>
      </w:tr>
      <w:tr w:rsidR="2184E37F" w14:paraId="65E06587" w14:textId="77777777" w:rsidTr="689B3E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350F32B7" w14:textId="250BC896" w:rsidR="2184E37F" w:rsidRDefault="2184E37F">
            <w:r>
              <w:t>HORECA / On-Premise</w:t>
            </w:r>
          </w:p>
        </w:tc>
        <w:tc>
          <w:tcPr>
            <w:tcW w:w="2300" w:type="dxa"/>
          </w:tcPr>
          <w:p w14:paraId="3A8D7397" w14:textId="1DE9AF5A" w:rsidR="2184E37F" w:rsidRDefault="2184E37F">
            <w:pPr>
              <w:cnfStyle w:val="000000010000" w:firstRow="0" w:lastRow="0" w:firstColumn="0" w:lastColumn="0" w:oddVBand="0" w:evenVBand="0" w:oddHBand="0" w:evenHBand="1" w:firstRowFirstColumn="0" w:firstRowLastColumn="0" w:lastRowFirstColumn="0" w:lastRowLastColumn="0"/>
            </w:pPr>
            <w:r>
              <w:t>+19.6%</w:t>
            </w:r>
          </w:p>
        </w:tc>
        <w:tc>
          <w:tcPr>
            <w:tcW w:w="4506" w:type="dxa"/>
          </w:tcPr>
          <w:p w14:paraId="7D622A15" w14:textId="16C7961E" w:rsidR="2184E37F" w:rsidRDefault="2184E37F">
            <w:pPr>
              <w:cnfStyle w:val="000000010000" w:firstRow="0" w:lastRow="0" w:firstColumn="0" w:lastColumn="0" w:oddVBand="0" w:evenVBand="0" w:oddHBand="0" w:evenHBand="1" w:firstRowFirstColumn="0" w:firstRowLastColumn="0" w:lastRowFirstColumn="0" w:lastRowLastColumn="0"/>
            </w:pPr>
            <w:r>
              <w:t>Second-fastest-growing channel</w:t>
            </w:r>
          </w:p>
        </w:tc>
      </w:tr>
      <w:tr w:rsidR="2184E37F" w14:paraId="6711F16B" w14:textId="77777777" w:rsidTr="689B3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7748289" w14:textId="2DDCF693" w:rsidR="2184E37F" w:rsidRDefault="2184E37F">
            <w:r>
              <w:t>Modern Trade</w:t>
            </w:r>
          </w:p>
        </w:tc>
        <w:tc>
          <w:tcPr>
            <w:tcW w:w="2300" w:type="dxa"/>
          </w:tcPr>
          <w:p w14:paraId="380B461B" w14:textId="26BADD57" w:rsidR="2184E37F" w:rsidRDefault="2184E37F">
            <w:pPr>
              <w:cnfStyle w:val="000000100000" w:firstRow="0" w:lastRow="0" w:firstColumn="0" w:lastColumn="0" w:oddVBand="0" w:evenVBand="0" w:oddHBand="1" w:evenHBand="0" w:firstRowFirstColumn="0" w:firstRowLastColumn="0" w:lastRowFirstColumn="0" w:lastRowLastColumn="0"/>
            </w:pPr>
            <w:r>
              <w:t>+18.3%</w:t>
            </w:r>
          </w:p>
        </w:tc>
        <w:tc>
          <w:tcPr>
            <w:tcW w:w="4506" w:type="dxa"/>
          </w:tcPr>
          <w:p w14:paraId="5B09E36A" w14:textId="1F98C41B" w:rsidR="2184E37F" w:rsidRDefault="2184E37F">
            <w:pPr>
              <w:cnfStyle w:val="000000100000" w:firstRow="0" w:lastRow="0" w:firstColumn="0" w:lastColumn="0" w:oddVBand="0" w:evenVBand="0" w:oddHBand="1" w:evenHBand="0" w:firstRowFirstColumn="0" w:firstRowLastColumn="0" w:lastRowFirstColumn="0" w:lastRowLastColumn="0"/>
            </w:pPr>
            <w:r>
              <w:t>Grew faster than Traditional Trade and Wholesale</w:t>
            </w:r>
          </w:p>
        </w:tc>
      </w:tr>
      <w:tr w:rsidR="2184E37F" w14:paraId="7601C7C6" w14:textId="77777777" w:rsidTr="689B3E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4EE0ABB8" w14:textId="36AE2490" w:rsidR="2184E37F" w:rsidRDefault="2184E37F">
            <w:r>
              <w:t>Traditional Trade</w:t>
            </w:r>
          </w:p>
        </w:tc>
        <w:tc>
          <w:tcPr>
            <w:tcW w:w="2300" w:type="dxa"/>
          </w:tcPr>
          <w:p w14:paraId="5D1029EE" w14:textId="2F8C0B54" w:rsidR="2184E37F" w:rsidRDefault="2184E37F">
            <w:pPr>
              <w:cnfStyle w:val="000000010000" w:firstRow="0" w:lastRow="0" w:firstColumn="0" w:lastColumn="0" w:oddVBand="0" w:evenVBand="0" w:oddHBand="0" w:evenHBand="1" w:firstRowFirstColumn="0" w:firstRowLastColumn="0" w:lastRowFirstColumn="0" w:lastRowLastColumn="0"/>
            </w:pPr>
            <w:r>
              <w:t>+15.0%</w:t>
            </w:r>
          </w:p>
        </w:tc>
        <w:tc>
          <w:tcPr>
            <w:tcW w:w="4506" w:type="dxa"/>
          </w:tcPr>
          <w:p w14:paraId="76BDF3A3" w14:textId="2869F218" w:rsidR="2184E37F" w:rsidRDefault="2184E37F">
            <w:pPr>
              <w:cnfStyle w:val="000000010000" w:firstRow="0" w:lastRow="0" w:firstColumn="0" w:lastColumn="0" w:oddVBand="0" w:evenVBand="0" w:oddHBand="0" w:evenHBand="1" w:firstRowFirstColumn="0" w:firstRowLastColumn="0" w:lastRowFirstColumn="0" w:lastRowLastColumn="0"/>
            </w:pPr>
            <w:r>
              <w:t>Largest channel: USD 452,123.6k net revenue</w:t>
            </w:r>
          </w:p>
        </w:tc>
      </w:tr>
      <w:tr w:rsidR="2184E37F" w14:paraId="44D3A5E6" w14:textId="77777777" w:rsidTr="689B3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82A9F27" w14:textId="3F7F528D" w:rsidR="2184E37F" w:rsidRDefault="2184E37F">
            <w:r>
              <w:t>Wholesale</w:t>
            </w:r>
          </w:p>
        </w:tc>
        <w:tc>
          <w:tcPr>
            <w:tcW w:w="2300" w:type="dxa"/>
          </w:tcPr>
          <w:p w14:paraId="536963C0" w14:textId="385D3951" w:rsidR="2184E37F" w:rsidRDefault="2184E37F">
            <w:pPr>
              <w:cnfStyle w:val="000000100000" w:firstRow="0" w:lastRow="0" w:firstColumn="0" w:lastColumn="0" w:oddVBand="0" w:evenVBand="0" w:oddHBand="1" w:evenHBand="0" w:firstRowFirstColumn="0" w:firstRowLastColumn="0" w:lastRowFirstColumn="0" w:lastRowLastColumn="0"/>
            </w:pPr>
            <w:r>
              <w:t>+14.6%</w:t>
            </w:r>
          </w:p>
        </w:tc>
        <w:tc>
          <w:tcPr>
            <w:tcW w:w="4506" w:type="dxa"/>
          </w:tcPr>
          <w:p w14:paraId="4F088832" w14:textId="313B2015" w:rsidR="2184E37F" w:rsidRDefault="2184E37F">
            <w:pPr>
              <w:cnfStyle w:val="000000100000" w:firstRow="0" w:lastRow="0" w:firstColumn="0" w:lastColumn="0" w:oddVBand="0" w:evenVBand="0" w:oddHBand="1" w:evenHBand="0" w:firstRowFirstColumn="0" w:firstRowLastColumn="0" w:lastRowFirstColumn="0" w:lastRowLastColumn="0"/>
            </w:pPr>
            <w:r>
              <w:t>Slowest-growing channel, still double-digit</w:t>
            </w:r>
          </w:p>
        </w:tc>
      </w:tr>
    </w:tbl>
    <w:p w14:paraId="5E24795B" w14:textId="6BD38E08" w:rsidR="2184E37F" w:rsidRDefault="2184E37F" w:rsidP="2184E37F">
      <w:r>
        <w:t>Traditional Trade remains our largest channel at USD 452,123.6k of net revenue and grew 15.0%. HORECA and on-premise grew 19.6% and Modern Trade 18.3%. We placed 13,255 coolers in the quarter, compared with 11,851 in Q3 2025.</w:t>
      </w:r>
    </w:p>
    <w:p w14:paraId="272B8D6F" w14:textId="3626F2E6" w:rsidR="2184E37F" w:rsidRDefault="7DA533DB" w:rsidP="2184E37F">
      <w:r>
        <w:t>The Q4 proposals assume eB2B continues to grow at close to the Q3 rate. That assumption deserves scrutiny: growth from a larger outlet base becomes harder, and some eB2B growth is likely to be orders moving from Traditional Trade and Wholesale rather than new demand. Channel attribution between eB2B and an outlet's home channel is also not yet defined consistently across markets.</w:t>
      </w:r>
    </w:p>
    <w:p w14:paraId="277379B5" w14:textId="2FA74862" w:rsidR="2184E37F" w:rsidRDefault="2184E37F" w:rsidP="2184E37F">
      <w:pPr>
        <w:pStyle w:val="Heading1"/>
      </w:pPr>
      <w:r w:rsidRPr="2184E37F">
        <w:rPr>
          <w:color w:val="F40009" w:themeColor="accent6"/>
        </w:rPr>
        <w:t>5. Portfolio and pack</w:t>
      </w:r>
    </w:p>
    <w:p w14:paraId="44E3E85D" w14:textId="5E65F4BF" w:rsidR="2184E37F" w:rsidRDefault="2184E37F" w:rsidP="2184E37F">
      <w:r>
        <w:t>Growth was led by the newer, higher-value categories. Energy grew 33.7%, Coffee 27.2% and Hydration 20.9%. At brand level, Monster Energy grew 33.7%, Costa Coffee 27.2% and Coca-Cola No Sugar 26.8%. These portfolios are growing from a smaller base, so their contribution to absolute growth is smaller than their rates suggest, and they lift average revenue per case.</w:t>
      </w:r>
    </w:p>
    <w:tbl>
      <w:tblPr>
        <w:tblStyle w:val="MediumShading1-Accent1"/>
        <w:tblW w:w="0" w:type="auto"/>
        <w:tblLook w:val="04A0" w:firstRow="1" w:lastRow="0" w:firstColumn="1" w:lastColumn="0" w:noHBand="0" w:noVBand="1"/>
      </w:tblPr>
      <w:tblGrid>
        <w:gridCol w:w="3120"/>
        <w:gridCol w:w="3120"/>
        <w:gridCol w:w="3120"/>
      </w:tblGrid>
      <w:tr w:rsidR="2184E37F" w14:paraId="3FB759E6" w14:textId="77777777" w:rsidTr="7DC0CB23">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3120" w:type="dxa"/>
          </w:tcPr>
          <w:p w14:paraId="1F1DDC1A" w14:textId="503A1D11" w:rsidR="2184E37F" w:rsidRDefault="7DC0CB23">
            <w:r>
              <w:t>Category or brand</w:t>
            </w:r>
          </w:p>
        </w:tc>
        <w:tc>
          <w:tcPr>
            <w:tcW w:w="3120" w:type="dxa"/>
          </w:tcPr>
          <w:p w14:paraId="7E2E27E7" w14:textId="2E0B7B4B" w:rsidR="2184E37F" w:rsidRDefault="7DC0CB23">
            <w:pPr>
              <w:cnfStyle w:val="100000000000" w:firstRow="1" w:lastRow="0" w:firstColumn="0" w:lastColumn="0" w:oddVBand="0" w:evenVBand="0" w:oddHBand="0" w:evenHBand="0" w:firstRowFirstColumn="0" w:firstRowLastColumn="0" w:lastRowFirstColumn="0" w:lastRowLastColumn="0"/>
            </w:pPr>
            <w:r>
              <w:t>Level</w:t>
            </w:r>
          </w:p>
        </w:tc>
        <w:tc>
          <w:tcPr>
            <w:tcW w:w="3120" w:type="dxa"/>
          </w:tcPr>
          <w:p w14:paraId="7436254E" w14:textId="5259F68E" w:rsidR="2184E37F" w:rsidRDefault="7DC0CB23">
            <w:pPr>
              <w:cnfStyle w:val="100000000000" w:firstRow="1" w:lastRow="0" w:firstColumn="0" w:lastColumn="0" w:oddVBand="0" w:evenVBand="0" w:oddHBand="0" w:evenHBand="0" w:firstRowFirstColumn="0" w:firstRowLastColumn="0" w:lastRowFirstColumn="0" w:lastRowLastColumn="0"/>
            </w:pPr>
            <w:r>
              <w:t>Net revenue growth vs prior year</w:t>
            </w:r>
          </w:p>
        </w:tc>
      </w:tr>
      <w:tr w:rsidR="2184E37F" w14:paraId="7080AA3E" w14:textId="77777777" w:rsidTr="7DC0C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4814E0" w14:textId="594DCB1C" w:rsidR="2184E37F" w:rsidRDefault="7DC0CB23">
            <w:r>
              <w:t>Energy</w:t>
            </w:r>
          </w:p>
        </w:tc>
        <w:tc>
          <w:tcPr>
            <w:tcW w:w="3120" w:type="dxa"/>
          </w:tcPr>
          <w:p w14:paraId="3CF6ABEE" w14:textId="4E27BC0A" w:rsidR="2184E37F" w:rsidRDefault="7DC0CB23">
            <w:pPr>
              <w:cnfStyle w:val="000000100000" w:firstRow="0" w:lastRow="0" w:firstColumn="0" w:lastColumn="0" w:oddVBand="0" w:evenVBand="0" w:oddHBand="1" w:evenHBand="0" w:firstRowFirstColumn="0" w:firstRowLastColumn="0" w:lastRowFirstColumn="0" w:lastRowLastColumn="0"/>
            </w:pPr>
            <w:r>
              <w:t>Category</w:t>
            </w:r>
          </w:p>
        </w:tc>
        <w:tc>
          <w:tcPr>
            <w:tcW w:w="3120" w:type="dxa"/>
          </w:tcPr>
          <w:p w14:paraId="272C7E03" w14:textId="3FE01075" w:rsidR="2184E37F" w:rsidRDefault="7DC0CB23">
            <w:pPr>
              <w:cnfStyle w:val="000000100000" w:firstRow="0" w:lastRow="0" w:firstColumn="0" w:lastColumn="0" w:oddVBand="0" w:evenVBand="0" w:oddHBand="1" w:evenHBand="0" w:firstRowFirstColumn="0" w:firstRowLastColumn="0" w:lastRowFirstColumn="0" w:lastRowLastColumn="0"/>
            </w:pPr>
            <w:r>
              <w:t>+33.7%</w:t>
            </w:r>
          </w:p>
        </w:tc>
      </w:tr>
      <w:tr w:rsidR="2184E37F" w14:paraId="57594A58" w14:textId="77777777" w:rsidTr="7DC0CB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97D77D" w14:textId="5CDDB874" w:rsidR="2184E37F" w:rsidRDefault="7DC0CB23">
            <w:r>
              <w:t>Coffee</w:t>
            </w:r>
          </w:p>
        </w:tc>
        <w:tc>
          <w:tcPr>
            <w:tcW w:w="3120" w:type="dxa"/>
          </w:tcPr>
          <w:p w14:paraId="4E12A700" w14:textId="643AC468" w:rsidR="2184E37F" w:rsidRDefault="7DC0CB23">
            <w:pPr>
              <w:cnfStyle w:val="000000010000" w:firstRow="0" w:lastRow="0" w:firstColumn="0" w:lastColumn="0" w:oddVBand="0" w:evenVBand="0" w:oddHBand="0" w:evenHBand="1" w:firstRowFirstColumn="0" w:firstRowLastColumn="0" w:lastRowFirstColumn="0" w:lastRowLastColumn="0"/>
            </w:pPr>
            <w:r>
              <w:t>Category</w:t>
            </w:r>
          </w:p>
        </w:tc>
        <w:tc>
          <w:tcPr>
            <w:tcW w:w="3120" w:type="dxa"/>
          </w:tcPr>
          <w:p w14:paraId="312448DE" w14:textId="335991A4" w:rsidR="2184E37F" w:rsidRDefault="7DC0CB23">
            <w:pPr>
              <w:cnfStyle w:val="000000010000" w:firstRow="0" w:lastRow="0" w:firstColumn="0" w:lastColumn="0" w:oddVBand="0" w:evenVBand="0" w:oddHBand="0" w:evenHBand="1" w:firstRowFirstColumn="0" w:firstRowLastColumn="0" w:lastRowFirstColumn="0" w:lastRowLastColumn="0"/>
            </w:pPr>
            <w:r>
              <w:t>+27.2%</w:t>
            </w:r>
          </w:p>
        </w:tc>
      </w:tr>
      <w:tr w:rsidR="2184E37F" w14:paraId="402F79EB" w14:textId="77777777" w:rsidTr="7DC0C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22840E" w14:textId="7BC5B2BA" w:rsidR="2184E37F" w:rsidRDefault="7DC0CB23">
            <w:r>
              <w:t>Hydration</w:t>
            </w:r>
          </w:p>
        </w:tc>
        <w:tc>
          <w:tcPr>
            <w:tcW w:w="3120" w:type="dxa"/>
          </w:tcPr>
          <w:p w14:paraId="5F753A61" w14:textId="4F46A00C" w:rsidR="2184E37F" w:rsidRDefault="7DC0CB23">
            <w:pPr>
              <w:cnfStyle w:val="000000100000" w:firstRow="0" w:lastRow="0" w:firstColumn="0" w:lastColumn="0" w:oddVBand="0" w:evenVBand="0" w:oddHBand="1" w:evenHBand="0" w:firstRowFirstColumn="0" w:firstRowLastColumn="0" w:lastRowFirstColumn="0" w:lastRowLastColumn="0"/>
            </w:pPr>
            <w:r>
              <w:t>Category</w:t>
            </w:r>
          </w:p>
        </w:tc>
        <w:tc>
          <w:tcPr>
            <w:tcW w:w="3120" w:type="dxa"/>
          </w:tcPr>
          <w:p w14:paraId="4765B067" w14:textId="44EE5BB8" w:rsidR="2184E37F" w:rsidRDefault="7DC0CB23">
            <w:pPr>
              <w:cnfStyle w:val="000000100000" w:firstRow="0" w:lastRow="0" w:firstColumn="0" w:lastColumn="0" w:oddVBand="0" w:evenVBand="0" w:oddHBand="1" w:evenHBand="0" w:firstRowFirstColumn="0" w:firstRowLastColumn="0" w:lastRowFirstColumn="0" w:lastRowLastColumn="0"/>
            </w:pPr>
            <w:r>
              <w:t>+20.9%</w:t>
            </w:r>
          </w:p>
        </w:tc>
      </w:tr>
      <w:tr w:rsidR="2184E37F" w14:paraId="26E1DCA2" w14:textId="77777777" w:rsidTr="7DC0CB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C1BCECE" w14:textId="5CF2F4C5" w:rsidR="2184E37F" w:rsidRDefault="7DC0CB23">
            <w:r>
              <w:t>Monster Energy</w:t>
            </w:r>
          </w:p>
        </w:tc>
        <w:tc>
          <w:tcPr>
            <w:tcW w:w="3120" w:type="dxa"/>
          </w:tcPr>
          <w:p w14:paraId="1CA21651" w14:textId="6903FDD2" w:rsidR="2184E37F" w:rsidRDefault="7DC0CB23">
            <w:pPr>
              <w:cnfStyle w:val="000000010000" w:firstRow="0" w:lastRow="0" w:firstColumn="0" w:lastColumn="0" w:oddVBand="0" w:evenVBand="0" w:oddHBand="0" w:evenHBand="1" w:firstRowFirstColumn="0" w:firstRowLastColumn="0" w:lastRowFirstColumn="0" w:lastRowLastColumn="0"/>
            </w:pPr>
            <w:r>
              <w:t>Brand</w:t>
            </w:r>
          </w:p>
        </w:tc>
        <w:tc>
          <w:tcPr>
            <w:tcW w:w="3120" w:type="dxa"/>
          </w:tcPr>
          <w:p w14:paraId="56EB57EC" w14:textId="6328BF10" w:rsidR="2184E37F" w:rsidRDefault="7DC0CB23">
            <w:pPr>
              <w:cnfStyle w:val="000000010000" w:firstRow="0" w:lastRow="0" w:firstColumn="0" w:lastColumn="0" w:oddVBand="0" w:evenVBand="0" w:oddHBand="0" w:evenHBand="1" w:firstRowFirstColumn="0" w:firstRowLastColumn="0" w:lastRowFirstColumn="0" w:lastRowLastColumn="0"/>
            </w:pPr>
            <w:r>
              <w:t>+33.7%</w:t>
            </w:r>
          </w:p>
        </w:tc>
      </w:tr>
      <w:tr w:rsidR="2184E37F" w14:paraId="5DB15A15" w14:textId="77777777" w:rsidTr="7DC0C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4AA0DE" w14:textId="5396190C" w:rsidR="2184E37F" w:rsidRDefault="7DC0CB23">
            <w:r>
              <w:t>Costa Coffee</w:t>
            </w:r>
          </w:p>
        </w:tc>
        <w:tc>
          <w:tcPr>
            <w:tcW w:w="3120" w:type="dxa"/>
          </w:tcPr>
          <w:p w14:paraId="702A0F87" w14:textId="54C4DA7E" w:rsidR="2184E37F" w:rsidRDefault="7DC0CB23">
            <w:pPr>
              <w:cnfStyle w:val="000000100000" w:firstRow="0" w:lastRow="0" w:firstColumn="0" w:lastColumn="0" w:oddVBand="0" w:evenVBand="0" w:oddHBand="1" w:evenHBand="0" w:firstRowFirstColumn="0" w:firstRowLastColumn="0" w:lastRowFirstColumn="0" w:lastRowLastColumn="0"/>
            </w:pPr>
            <w:r>
              <w:t>Brand</w:t>
            </w:r>
          </w:p>
        </w:tc>
        <w:tc>
          <w:tcPr>
            <w:tcW w:w="3120" w:type="dxa"/>
          </w:tcPr>
          <w:p w14:paraId="3BFCE281" w14:textId="639164BC" w:rsidR="2184E37F" w:rsidRDefault="7DC0CB23">
            <w:pPr>
              <w:cnfStyle w:val="000000100000" w:firstRow="0" w:lastRow="0" w:firstColumn="0" w:lastColumn="0" w:oddVBand="0" w:evenVBand="0" w:oddHBand="1" w:evenHBand="0" w:firstRowFirstColumn="0" w:firstRowLastColumn="0" w:lastRowFirstColumn="0" w:lastRowLastColumn="0"/>
            </w:pPr>
            <w:r>
              <w:t>+27.2%</w:t>
            </w:r>
          </w:p>
        </w:tc>
      </w:tr>
      <w:tr w:rsidR="2184E37F" w14:paraId="54F0E3C4" w14:textId="77777777" w:rsidTr="7DC0CB2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B69864" w14:textId="0C55DA31" w:rsidR="2184E37F" w:rsidRDefault="7DC0CB23">
            <w:r>
              <w:t>Coca-Cola No Sugar</w:t>
            </w:r>
          </w:p>
        </w:tc>
        <w:tc>
          <w:tcPr>
            <w:tcW w:w="3120" w:type="dxa"/>
          </w:tcPr>
          <w:p w14:paraId="607C1420" w14:textId="2A367E1A" w:rsidR="2184E37F" w:rsidRDefault="7DC0CB23">
            <w:pPr>
              <w:cnfStyle w:val="000000010000" w:firstRow="0" w:lastRow="0" w:firstColumn="0" w:lastColumn="0" w:oddVBand="0" w:evenVBand="0" w:oddHBand="0" w:evenHBand="1" w:firstRowFirstColumn="0" w:firstRowLastColumn="0" w:lastRowFirstColumn="0" w:lastRowLastColumn="0"/>
            </w:pPr>
            <w:r>
              <w:t>Brand</w:t>
            </w:r>
          </w:p>
        </w:tc>
        <w:tc>
          <w:tcPr>
            <w:tcW w:w="3120" w:type="dxa"/>
          </w:tcPr>
          <w:p w14:paraId="22636B67" w14:textId="42051C08" w:rsidR="2184E37F" w:rsidRDefault="7DC0CB23">
            <w:pPr>
              <w:cnfStyle w:val="000000010000" w:firstRow="0" w:lastRow="0" w:firstColumn="0" w:lastColumn="0" w:oddVBand="0" w:evenVBand="0" w:oddHBand="0" w:evenHBand="1" w:firstRowFirstColumn="0" w:firstRowLastColumn="0" w:lastRowFirstColumn="0" w:lastRowLastColumn="0"/>
            </w:pPr>
            <w:r>
              <w:t>+26.8%</w:t>
            </w:r>
          </w:p>
        </w:tc>
      </w:tr>
    </w:tbl>
    <w:p w14:paraId="4B29DB81" w14:textId="1C0F2B93" w:rsidR="7DC0CB23" w:rsidRDefault="7DC0CB23" w:rsidP="7DC0CB23">
      <w:pPr>
        <w:pStyle w:val="Heading2"/>
      </w:pPr>
      <w:r w:rsidRPr="7DC0CB23">
        <w:rPr>
          <w:color w:val="455560" w:themeColor="text1"/>
        </w:rPr>
        <w:t>Returnable packs</w:t>
      </w:r>
    </w:p>
    <w:p w14:paraId="450F4E26" w14:textId="76E6C11D" w:rsidR="7DC0CB23" w:rsidRDefault="7DC0CB23" w:rsidP="7DC0CB23">
      <w:r>
        <w:t>Returnable glass (RGB) and Returnable PET remain central to affordability, particularly in Traditional Trade, where a lower price per serve helps protect volume as prices rise. They also tie up capital in bottles and crates and depend on bottle float and wash-line capacity, which becomes the binding constraint in the festive peak. Returnables sit alongside our one-way PET recycling commitments, delivered in South Africa through our partnership with PETCO, the industry's PET recycling body.</w:t>
      </w:r>
    </w:p>
    <w:p w14:paraId="28290597" w14:textId="47E0DFDE" w:rsidR="7DC0CB23" w:rsidRDefault="7DC0CB23" w:rsidP="7DC0CB23">
      <w:r>
        <w:t>Pack-level results are available in the tracker by pack type but are not summarised in this paper. The ELT may wish to see the returnable share of volume by market before approving the capacity request in Section 6.</w:t>
      </w:r>
    </w:p>
    <w:p w14:paraId="2AF129B8" w14:textId="6C079B58" w:rsidR="7DC0CB23" w:rsidRDefault="7DC0CB23" w:rsidP="7DC0CB23">
      <w:pPr>
        <w:pStyle w:val="Heading1"/>
      </w:pPr>
      <w:r w:rsidRPr="7DC0CB23">
        <w:rPr>
          <w:color w:val="F40009" w:themeColor="accent6"/>
        </w:rPr>
        <w:t>6. Q4 priorities and proposed investments</w:t>
      </w:r>
    </w:p>
    <w:p w14:paraId="1CFB7A10" w14:textId="18BB0DC0" w:rsidR="7DC0CB23" w:rsidRDefault="7DC0CB23" w:rsidP="7DC0CB23">
      <w:r>
        <w:t>Commercial proposes four Q4 priorities. Investment amounts are being finalised with Finance and are shown as [TBC]; the assumption behind each request is stated so that it can be tested.</w:t>
      </w:r>
    </w:p>
    <w:tbl>
      <w:tblPr>
        <w:tblStyle w:val="MediumShading1-Accent1"/>
        <w:tblW w:w="9306" w:type="dxa"/>
        <w:tblLook w:val="04A0" w:firstRow="1" w:lastRow="0" w:firstColumn="1" w:lastColumn="0" w:noHBand="0" w:noVBand="1"/>
      </w:tblPr>
      <w:tblGrid>
        <w:gridCol w:w="1800"/>
        <w:gridCol w:w="3000"/>
        <w:gridCol w:w="2850"/>
        <w:gridCol w:w="1656"/>
      </w:tblGrid>
      <w:tr w:rsidR="7DC0CB23" w14:paraId="1467A900" w14:textId="77777777" w:rsidTr="689B3EED">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1800" w:type="dxa"/>
          </w:tcPr>
          <w:p w14:paraId="42770351" w14:textId="0966EBF7" w:rsidR="7DC0CB23" w:rsidRDefault="7DC0CB23">
            <w:r>
              <w:lastRenderedPageBreak/>
              <w:t>Priority</w:t>
            </w:r>
          </w:p>
        </w:tc>
        <w:tc>
          <w:tcPr>
            <w:tcW w:w="3000" w:type="dxa"/>
          </w:tcPr>
          <w:p w14:paraId="78D9450F" w14:textId="0244D2BB" w:rsidR="7DC0CB23" w:rsidRDefault="7DC0CB23">
            <w:pPr>
              <w:cnfStyle w:val="100000000000" w:firstRow="1" w:lastRow="0" w:firstColumn="0" w:lastColumn="0" w:oddVBand="0" w:evenVBand="0" w:oddHBand="0" w:evenHBand="0" w:firstRowFirstColumn="0" w:firstRowLastColumn="0" w:lastRowFirstColumn="0" w:lastRowLastColumn="0"/>
            </w:pPr>
            <w:r>
              <w:t>What we propose</w:t>
            </w:r>
          </w:p>
        </w:tc>
        <w:tc>
          <w:tcPr>
            <w:tcW w:w="2850" w:type="dxa"/>
          </w:tcPr>
          <w:p w14:paraId="1EC6A9C6" w14:textId="7B22B97F" w:rsidR="7DC0CB23" w:rsidRDefault="7DC0CB23">
            <w:pPr>
              <w:cnfStyle w:val="100000000000" w:firstRow="1" w:lastRow="0" w:firstColumn="0" w:lastColumn="0" w:oddVBand="0" w:evenVBand="0" w:oddHBand="0" w:evenHBand="0" w:firstRowFirstColumn="0" w:firstRowLastColumn="0" w:lastRowFirstColumn="0" w:lastRowLastColumn="0"/>
            </w:pPr>
            <w:r>
              <w:t>Key assumption</w:t>
            </w:r>
          </w:p>
        </w:tc>
        <w:tc>
          <w:tcPr>
            <w:tcW w:w="1656" w:type="dxa"/>
          </w:tcPr>
          <w:p w14:paraId="1F1AA7BB" w14:textId="7400A043" w:rsidR="7DC0CB23" w:rsidRDefault="649B9C53">
            <w:pPr>
              <w:cnfStyle w:val="100000000000" w:firstRow="1" w:lastRow="0" w:firstColumn="0" w:lastColumn="0" w:oddVBand="0" w:evenVBand="0" w:oddHBand="0" w:evenHBand="0" w:firstRowFirstColumn="0" w:firstRowLastColumn="0" w:lastRowFirstColumn="0" w:lastRowLastColumn="0"/>
            </w:pPr>
            <w:r>
              <w:t>Amount (USD k)</w:t>
            </w:r>
          </w:p>
        </w:tc>
      </w:tr>
      <w:tr w:rsidR="7DC0CB23" w14:paraId="12CBBF62" w14:textId="77777777" w:rsidTr="689B3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E943DE5" w14:textId="0B1600B8" w:rsidR="7DC0CB23" w:rsidRDefault="7DC0CB23">
            <w:r>
              <w:t>Festive season execution</w:t>
            </w:r>
          </w:p>
        </w:tc>
        <w:tc>
          <w:tcPr>
            <w:tcW w:w="3000" w:type="dxa"/>
          </w:tcPr>
          <w:p w14:paraId="320C1F33" w14:textId="03F3E77C" w:rsidR="7DC0CB23" w:rsidRDefault="7DC0CB23">
            <w:pPr>
              <w:cnfStyle w:val="000000100000" w:firstRow="0" w:lastRow="0" w:firstColumn="0" w:lastColumn="0" w:oddVBand="0" w:evenVBand="0" w:oddHBand="1" w:evenHBand="0" w:firstRowFirstColumn="0" w:firstRowLastColumn="0" w:lastRowFirstColumn="0" w:lastRowLastColumn="0"/>
            </w:pPr>
            <w:r>
              <w:t>Secure stock, displays and pricing plans for November and December in all markets, with a focus on Traditional Trade and HORECA</w:t>
            </w:r>
          </w:p>
        </w:tc>
        <w:tc>
          <w:tcPr>
            <w:tcW w:w="2850" w:type="dxa"/>
          </w:tcPr>
          <w:p w14:paraId="31A0A542" w14:textId="7CD1CE40" w:rsidR="7DC0CB23" w:rsidRDefault="7DC0CB23">
            <w:pPr>
              <w:cnfStyle w:val="000000100000" w:firstRow="0" w:lastRow="0" w:firstColumn="0" w:lastColumn="0" w:oddVBand="0" w:evenVBand="0" w:oddHBand="1" w:evenHBand="0" w:firstRowFirstColumn="0" w:firstRowLastColumn="0" w:lastRowFirstColumn="0" w:lastRowLastColumn="0"/>
            </w:pPr>
            <w:r>
              <w:t>September's net revenue run-rate of USD 420,958.8k is sustained into the festive period</w:t>
            </w:r>
          </w:p>
        </w:tc>
        <w:tc>
          <w:tcPr>
            <w:tcW w:w="1656" w:type="dxa"/>
          </w:tcPr>
          <w:p w14:paraId="6D538AC3" w14:textId="75AFB504" w:rsidR="7DC0CB23" w:rsidRDefault="7DC0CB23">
            <w:pPr>
              <w:cnfStyle w:val="000000100000" w:firstRow="0" w:lastRow="0" w:firstColumn="0" w:lastColumn="0" w:oddVBand="0" w:evenVBand="0" w:oddHBand="1" w:evenHBand="0" w:firstRowFirstColumn="0" w:firstRowLastColumn="0" w:lastRowFirstColumn="0" w:lastRowLastColumn="0"/>
            </w:pPr>
            <w:r>
              <w:t>[TBC]</w:t>
            </w:r>
          </w:p>
        </w:tc>
      </w:tr>
      <w:tr w:rsidR="7DC0CB23" w14:paraId="772910DC" w14:textId="77777777" w:rsidTr="689B3E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C70C356" w14:textId="0CC51579" w:rsidR="7DC0CB23" w:rsidRDefault="7DC0CB23">
            <w:r>
              <w:t>Cooler placements</w:t>
            </w:r>
          </w:p>
        </w:tc>
        <w:tc>
          <w:tcPr>
            <w:tcW w:w="3000" w:type="dxa"/>
          </w:tcPr>
          <w:p w14:paraId="45419C1B" w14:textId="05A2FC3D" w:rsidR="7DC0CB23" w:rsidRDefault="7DC0CB23">
            <w:pPr>
              <w:cnfStyle w:val="000000010000" w:firstRow="0" w:lastRow="0" w:firstColumn="0" w:lastColumn="0" w:oddVBand="0" w:evenVBand="0" w:oddHBand="0" w:evenHBand="1" w:firstRowFirstColumn="0" w:firstRowLastColumn="0" w:lastRowFirstColumn="0" w:lastRowLastColumn="0"/>
            </w:pPr>
            <w:r>
              <w:t>Continue placements at no less than the Q3 rate of 13,255 per quarter, prioritising the fastest-growing markets</w:t>
            </w:r>
          </w:p>
        </w:tc>
        <w:tc>
          <w:tcPr>
            <w:tcW w:w="2850" w:type="dxa"/>
          </w:tcPr>
          <w:p w14:paraId="65C19663" w14:textId="7E80E301" w:rsidR="7DC0CB23" w:rsidRDefault="7DC0CB23">
            <w:pPr>
              <w:cnfStyle w:val="000000010000" w:firstRow="0" w:lastRow="0" w:firstColumn="0" w:lastColumn="0" w:oddVBand="0" w:evenVBand="0" w:oddHBand="0" w:evenHBand="1" w:firstRowFirstColumn="0" w:firstRowLastColumn="0" w:lastRowFirstColumn="0" w:lastRowLastColumn="0"/>
            </w:pPr>
            <w:r>
              <w:t>Each new cooler adds incremental volume rather than shifting it from nearby outlets</w:t>
            </w:r>
          </w:p>
        </w:tc>
        <w:tc>
          <w:tcPr>
            <w:tcW w:w="1656" w:type="dxa"/>
          </w:tcPr>
          <w:p w14:paraId="693DC3FD" w14:textId="775EC9C5" w:rsidR="7DC0CB23" w:rsidRDefault="7DC0CB23">
            <w:pPr>
              <w:cnfStyle w:val="000000010000" w:firstRow="0" w:lastRow="0" w:firstColumn="0" w:lastColumn="0" w:oddVBand="0" w:evenVBand="0" w:oddHBand="0" w:evenHBand="1" w:firstRowFirstColumn="0" w:firstRowLastColumn="0" w:lastRowFirstColumn="0" w:lastRowLastColumn="0"/>
            </w:pPr>
            <w:r>
              <w:t>[TBC]</w:t>
            </w:r>
          </w:p>
        </w:tc>
      </w:tr>
      <w:tr w:rsidR="7DC0CB23" w14:paraId="5A041B23" w14:textId="77777777" w:rsidTr="689B3E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DA96E8C" w14:textId="0E742A3A" w:rsidR="7DC0CB23" w:rsidRDefault="23EE75F9">
            <w:r>
              <w:t>eB2B onboarding</w:t>
            </w:r>
          </w:p>
        </w:tc>
        <w:tc>
          <w:tcPr>
            <w:tcW w:w="3000" w:type="dxa"/>
          </w:tcPr>
          <w:p w14:paraId="29FDC37D" w14:textId="075210FE" w:rsidR="7DC0CB23" w:rsidRDefault="23EE75F9">
            <w:pPr>
              <w:cnfStyle w:val="000000100000" w:firstRow="0" w:lastRow="0" w:firstColumn="0" w:lastColumn="0" w:oddVBand="0" w:evenVBand="0" w:oddHBand="1" w:evenHBand="0" w:firstRowFirstColumn="0" w:firstRowLastColumn="0" w:lastRowFirstColumn="0" w:lastRowLastColumn="0"/>
            </w:pPr>
            <w:r>
              <w:t>Onboard further Traditional Trade and Wholesale customers onto eB2B ahead of the festive peak</w:t>
            </w:r>
          </w:p>
        </w:tc>
        <w:tc>
          <w:tcPr>
            <w:tcW w:w="2850" w:type="dxa"/>
          </w:tcPr>
          <w:p w14:paraId="7DF5E69D" w14:textId="002FF7C2" w:rsidR="7DC0CB23" w:rsidRDefault="7DC0CB23">
            <w:pPr>
              <w:cnfStyle w:val="000000100000" w:firstRow="0" w:lastRow="0" w:firstColumn="0" w:lastColumn="0" w:oddVBand="0" w:evenVBand="0" w:oddHBand="1" w:evenHBand="0" w:firstRowFirstColumn="0" w:firstRowLastColumn="0" w:lastRowFirstColumn="0" w:lastRowLastColumn="0"/>
            </w:pPr>
            <w:r>
              <w:t>eB2B net revenue keeps growing close to the Q3 rate of 38.8%</w:t>
            </w:r>
          </w:p>
        </w:tc>
        <w:tc>
          <w:tcPr>
            <w:tcW w:w="1656" w:type="dxa"/>
          </w:tcPr>
          <w:p w14:paraId="56ABA58B" w14:textId="790DDE86" w:rsidR="7DC0CB23" w:rsidRDefault="7DC0CB23">
            <w:pPr>
              <w:cnfStyle w:val="000000100000" w:firstRow="0" w:lastRow="0" w:firstColumn="0" w:lastColumn="0" w:oddVBand="0" w:evenVBand="0" w:oddHBand="1" w:evenHBand="0" w:firstRowFirstColumn="0" w:firstRowLastColumn="0" w:lastRowFirstColumn="0" w:lastRowLastColumn="0"/>
            </w:pPr>
            <w:r>
              <w:t>[TBC]</w:t>
            </w:r>
          </w:p>
        </w:tc>
      </w:tr>
      <w:tr w:rsidR="7DC0CB23" w14:paraId="337F33AA" w14:textId="77777777" w:rsidTr="689B3EE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3D82CEC" w14:textId="10233EFB" w:rsidR="7DC0CB23" w:rsidRDefault="7DC0CB23">
            <w:r>
              <w:t>Returnable pack capacity</w:t>
            </w:r>
          </w:p>
        </w:tc>
        <w:tc>
          <w:tcPr>
            <w:tcW w:w="3000" w:type="dxa"/>
          </w:tcPr>
          <w:p w14:paraId="6B9AD1F3" w14:textId="090125BF" w:rsidR="7DC0CB23" w:rsidRDefault="7DC0CB23">
            <w:pPr>
              <w:cnfStyle w:val="000000010000" w:firstRow="0" w:lastRow="0" w:firstColumn="0" w:lastColumn="0" w:oddVBand="0" w:evenVBand="0" w:oddHBand="0" w:evenHBand="1" w:firstRowFirstColumn="0" w:firstRowLastColumn="0" w:lastRowFirstColumn="0" w:lastRowLastColumn="0"/>
            </w:pPr>
            <w:r>
              <w:t>Increase RGB and Returnable PET bottle float and crate availability, and secure wash-line capacity</w:t>
            </w:r>
          </w:p>
        </w:tc>
        <w:tc>
          <w:tcPr>
            <w:tcW w:w="2850" w:type="dxa"/>
          </w:tcPr>
          <w:p w14:paraId="7694B6EB" w14:textId="01DF0C83" w:rsidR="7DC0CB23" w:rsidRDefault="7DC0CB23">
            <w:pPr>
              <w:cnfStyle w:val="000000010000" w:firstRow="0" w:lastRow="0" w:firstColumn="0" w:lastColumn="0" w:oddVBand="0" w:evenVBand="0" w:oddHBand="0" w:evenHBand="1" w:firstRowFirstColumn="0" w:firstRowLastColumn="0" w:lastRowFirstColumn="0" w:lastRowLastColumn="0"/>
            </w:pPr>
            <w:r>
              <w:t>Returnable demand rises with affordability pressure during the festive season</w:t>
            </w:r>
          </w:p>
        </w:tc>
        <w:tc>
          <w:tcPr>
            <w:tcW w:w="1656" w:type="dxa"/>
          </w:tcPr>
          <w:p w14:paraId="59D2D0AC" w14:textId="7ABCF347" w:rsidR="7DC0CB23" w:rsidRDefault="7DC0CB23">
            <w:pPr>
              <w:cnfStyle w:val="000000010000" w:firstRow="0" w:lastRow="0" w:firstColumn="0" w:lastColumn="0" w:oddVBand="0" w:evenVBand="0" w:oddHBand="0" w:evenHBand="1" w:firstRowFirstColumn="0" w:firstRowLastColumn="0" w:lastRowFirstColumn="0" w:lastRowLastColumn="0"/>
            </w:pPr>
            <w:r>
              <w:t>[TBC]</w:t>
            </w:r>
          </w:p>
        </w:tc>
      </w:tr>
    </w:tbl>
    <w:p w14:paraId="7F5B2842" w14:textId="14C5DEB3" w:rsidR="24AAD533" w:rsidRDefault="24AAD533" w:rsidP="24AAD533">
      <w:r>
        <w:t>Two planning points sit behind these requests. First, the Q4 targets were set before Q3's 3.0% outperformance on net revenue and have not been rebased, so beating them again may say more about the plan than about execution. Second, the proposals are sized on the constant-currency view; their US dollar cost and return will depend on exchange rates in each market.</w:t>
      </w:r>
    </w:p>
    <w:p w14:paraId="26677FFE" w14:textId="13FC79D8" w:rsidR="24AAD533" w:rsidRDefault="24AAD533" w:rsidP="24AAD533">
      <w:pPr>
        <w:pStyle w:val="Heading1"/>
      </w:pPr>
      <w:r w:rsidRPr="24AAD533">
        <w:rPr>
          <w:color w:val="F40009" w:themeColor="accent6"/>
        </w:rPr>
        <w:t>7. Risks and watch-items</w:t>
      </w:r>
    </w:p>
    <w:p w14:paraId="16063C23" w14:textId="4CF310F8" w:rsidR="24AAD533" w:rsidRDefault="24AAD533" w:rsidP="24AAD533">
      <w:r>
        <w:t>None of the items below is a reason to slow down. They are the areas where early executive attention will protect the Q4 result.</w:t>
      </w:r>
    </w:p>
    <w:tbl>
      <w:tblPr>
        <w:tblStyle w:val="MediumShading1-Accent1"/>
        <w:tblW w:w="9306" w:type="dxa"/>
        <w:tblLook w:val="04A0" w:firstRow="1" w:lastRow="0" w:firstColumn="1" w:lastColumn="0" w:noHBand="0" w:noVBand="1"/>
      </w:tblPr>
      <w:tblGrid>
        <w:gridCol w:w="2100"/>
        <w:gridCol w:w="3700"/>
        <w:gridCol w:w="3506"/>
      </w:tblGrid>
      <w:tr w:rsidR="24AAD533" w14:paraId="3C90ADEA" w14:textId="77777777" w:rsidTr="3E79E80D">
        <w:trPr>
          <w:cnfStyle w:val="100000000000" w:firstRow="1" w:lastRow="0" w:firstColumn="0" w:lastColumn="0" w:oddVBand="0" w:evenVBand="0" w:oddHBand="0" w:evenHBand="0" w:firstRowFirstColumn="0" w:firstRowLastColumn="0" w:lastRowFirstColumn="0" w:lastRowLastColumn="0"/>
          <w:trHeight w:val="300"/>
          <w:tblHeader/>
        </w:trPr>
        <w:tc>
          <w:tcPr>
            <w:cnfStyle w:val="001000000000" w:firstRow="0" w:lastRow="0" w:firstColumn="1" w:lastColumn="0" w:oddVBand="0" w:evenVBand="0" w:oddHBand="0" w:evenHBand="0" w:firstRowFirstColumn="0" w:firstRowLastColumn="0" w:lastRowFirstColumn="0" w:lastRowLastColumn="0"/>
            <w:tcW w:w="2100" w:type="dxa"/>
          </w:tcPr>
          <w:p w14:paraId="45AF7FE0" w14:textId="7C6C0808" w:rsidR="24AAD533" w:rsidRDefault="24AAD533">
            <w:r>
              <w:t>Area</w:t>
            </w:r>
          </w:p>
        </w:tc>
        <w:tc>
          <w:tcPr>
            <w:tcW w:w="3700" w:type="dxa"/>
          </w:tcPr>
          <w:p w14:paraId="1DE6E89B" w14:textId="7549EECC" w:rsidR="24AAD533" w:rsidRDefault="24AAD533">
            <w:pPr>
              <w:cnfStyle w:val="100000000000" w:firstRow="1" w:lastRow="0" w:firstColumn="0" w:lastColumn="0" w:oddVBand="0" w:evenVBand="0" w:oddHBand="0" w:evenHBand="0" w:firstRowFirstColumn="0" w:firstRowLastColumn="0" w:lastRowFirstColumn="0" w:lastRowLastColumn="0"/>
            </w:pPr>
            <w:r>
              <w:t>What we are watching</w:t>
            </w:r>
          </w:p>
        </w:tc>
        <w:tc>
          <w:tcPr>
            <w:tcW w:w="3506" w:type="dxa"/>
          </w:tcPr>
          <w:p w14:paraId="46A4D640" w14:textId="6E27D590" w:rsidR="24AAD533" w:rsidRDefault="24AAD533">
            <w:pPr>
              <w:cnfStyle w:val="100000000000" w:firstRow="1" w:lastRow="0" w:firstColumn="0" w:lastColumn="0" w:oddVBand="0" w:evenVBand="0" w:oddHBand="0" w:evenHBand="0" w:firstRowFirstColumn="0" w:firstRowLastColumn="0" w:lastRowFirstColumn="0" w:lastRowLastColumn="0"/>
            </w:pPr>
            <w:r>
              <w:t>Proposed response</w:t>
            </w:r>
          </w:p>
        </w:tc>
      </w:tr>
      <w:tr w:rsidR="24AAD533" w14:paraId="7B97721C" w14:textId="77777777" w:rsidTr="3E79E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1465C4F0" w14:textId="053D3605" w:rsidR="24AAD533" w:rsidRDefault="24AAD533">
            <w:r>
              <w:t>Capacity</w:t>
            </w:r>
          </w:p>
        </w:tc>
        <w:tc>
          <w:tcPr>
            <w:tcW w:w="3700" w:type="dxa"/>
          </w:tcPr>
          <w:p w14:paraId="3C73D652" w14:textId="7E1B1CC9" w:rsidR="24AAD533" w:rsidRDefault="24AAD533">
            <w:pPr>
              <w:cnfStyle w:val="000000100000" w:firstRow="0" w:lastRow="0" w:firstColumn="0" w:lastColumn="0" w:oddVBand="0" w:evenVBand="0" w:oddHBand="1" w:evenHBand="0" w:firstRowFirstColumn="0" w:firstRowLastColumn="0" w:lastRowFirstColumn="0" w:lastRowLastColumn="0"/>
            </w:pPr>
            <w:r>
              <w:t>Festive demand on top of Q3 momentum may exceed bottle float, wash-line and production capacity in peak weeks</w:t>
            </w:r>
          </w:p>
        </w:tc>
        <w:tc>
          <w:tcPr>
            <w:tcW w:w="3506" w:type="dxa"/>
          </w:tcPr>
          <w:p w14:paraId="266D654B" w14:textId="76F9038D" w:rsidR="24AAD533" w:rsidRDefault="24AAD533">
            <w:pPr>
              <w:cnfStyle w:val="000000100000" w:firstRow="0" w:lastRow="0" w:firstColumn="0" w:lastColumn="0" w:oddVBand="0" w:evenVBand="0" w:oddHBand="1" w:evenHBand="0" w:firstRowFirstColumn="0" w:firstRowLastColumn="0" w:lastRowFirstColumn="0" w:lastRowLastColumn="0"/>
            </w:pPr>
            <w:r>
              <w:t>Weekly capacity review by market from November, with pre-build where possible</w:t>
            </w:r>
          </w:p>
        </w:tc>
      </w:tr>
      <w:tr w:rsidR="24AAD533" w14:paraId="3F0DAD99" w14:textId="77777777" w:rsidTr="3E79E8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7EA113FF" w14:textId="0E0E6402" w:rsidR="24AAD533" w:rsidRDefault="24AAD533">
            <w:r>
              <w:t>Pricing and affordability</w:t>
            </w:r>
          </w:p>
        </w:tc>
        <w:tc>
          <w:tcPr>
            <w:tcW w:w="3700" w:type="dxa"/>
          </w:tcPr>
          <w:p w14:paraId="2B997D9E" w14:textId="06EC4AC6" w:rsidR="24AAD533" w:rsidRDefault="24AAD533">
            <w:pPr>
              <w:cnfStyle w:val="000000010000" w:firstRow="0" w:lastRow="0" w:firstColumn="0" w:lastColumn="0" w:oddVBand="0" w:evenVBand="0" w:oddHBand="0" w:evenHBand="1" w:firstRowFirstColumn="0" w:firstRowLastColumn="0" w:lastRowFirstColumn="0" w:lastRowLastColumn="0"/>
            </w:pPr>
            <w:r>
              <w:t>Net revenue per UC rose from $6.41 to $6.78; Traditional Trade shoppers are sensitive to further price moves</w:t>
            </w:r>
          </w:p>
        </w:tc>
        <w:tc>
          <w:tcPr>
            <w:tcW w:w="3506" w:type="dxa"/>
          </w:tcPr>
          <w:p w14:paraId="64EAEFA0" w14:textId="7FCA318A" w:rsidR="24AAD533" w:rsidRDefault="24AAD533">
            <w:pPr>
              <w:cnfStyle w:val="000000010000" w:firstRow="0" w:lastRow="0" w:firstColumn="0" w:lastColumn="0" w:oddVBand="0" w:evenVBand="0" w:oddHBand="0" w:evenHBand="1" w:firstRowFirstColumn="0" w:firstRowLastColumn="0" w:lastRowFirstColumn="0" w:lastRowLastColumn="0"/>
            </w:pPr>
            <w:r>
              <w:t>Lead with returnable and affordable packs; review price-pack architecture by market before any Q4 increase</w:t>
            </w:r>
          </w:p>
        </w:tc>
      </w:tr>
      <w:tr w:rsidR="24AAD533" w14:paraId="6DDA2E39" w14:textId="77777777" w:rsidTr="3E79E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42E0E4EF" w14:textId="16DF91FF" w:rsidR="24AAD533" w:rsidRDefault="24AAD533">
            <w:r>
              <w:t>FX comparability</w:t>
            </w:r>
          </w:p>
        </w:tc>
        <w:tc>
          <w:tcPr>
            <w:tcW w:w="3700" w:type="dxa"/>
          </w:tcPr>
          <w:p w14:paraId="2E190933" w14:textId="0FBD78C3" w:rsidR="24AAD533" w:rsidRDefault="24AAD533">
            <w:pPr>
              <w:cnfStyle w:val="000000100000" w:firstRow="0" w:lastRow="0" w:firstColumn="0" w:lastColumn="0" w:oddVBand="0" w:evenVBand="0" w:oddHBand="1" w:evenHBand="0" w:firstRowFirstColumn="0" w:firstRowLastColumn="0" w:lastRowFirstColumn="0" w:lastRowLastColumn="0"/>
            </w:pPr>
            <w:r>
              <w:t>Constant-currency growth does not show reported US dollar performance</w:t>
            </w:r>
          </w:p>
        </w:tc>
        <w:tc>
          <w:tcPr>
            <w:tcW w:w="3506" w:type="dxa"/>
          </w:tcPr>
          <w:p w14:paraId="50F40D45" w14:textId="089B5F87" w:rsidR="24AAD533" w:rsidRDefault="24AAD533">
            <w:pPr>
              <w:cnfStyle w:val="000000100000" w:firstRow="0" w:lastRow="0" w:firstColumn="0" w:lastColumn="0" w:oddVBand="0" w:evenVBand="0" w:oddHBand="1" w:evenHBand="0" w:firstRowFirstColumn="0" w:firstRowLastColumn="0" w:lastRowFirstColumn="0" w:lastRowLastColumn="0"/>
            </w:pPr>
            <w:r>
              <w:t>Add a reported-currency bridge to the Q4 review pack</w:t>
            </w:r>
          </w:p>
        </w:tc>
      </w:tr>
      <w:tr w:rsidR="24AAD533" w14:paraId="7441C8C7" w14:textId="77777777" w:rsidTr="3E79E8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7C4F9F90" w14:textId="1FB0BFFC" w:rsidR="24AAD533" w:rsidRDefault="24AAD533">
            <w:r>
              <w:t>Margin mix</w:t>
            </w:r>
          </w:p>
        </w:tc>
        <w:tc>
          <w:tcPr>
            <w:tcW w:w="3700" w:type="dxa"/>
          </w:tcPr>
          <w:p w14:paraId="703FBFD1" w14:textId="188EA6C0" w:rsidR="24AAD533" w:rsidRDefault="24AAD533">
            <w:pPr>
              <w:cnfStyle w:val="000000010000" w:firstRow="0" w:lastRow="0" w:firstColumn="0" w:lastColumn="0" w:oddVBand="0" w:evenVBand="0" w:oddHBand="0" w:evenHBand="1" w:firstRowFirstColumn="0" w:firstRowLastColumn="0" w:lastRowFirstColumn="0" w:lastRowLastColumn="0"/>
            </w:pPr>
            <w:r>
              <w:t>Part of the 1.0 point gross margin gain is mix rather than rate</w:t>
            </w:r>
          </w:p>
        </w:tc>
        <w:tc>
          <w:tcPr>
            <w:tcW w:w="3506" w:type="dxa"/>
          </w:tcPr>
          <w:p w14:paraId="6CC6F443" w14:textId="116C8D84" w:rsidR="24AAD533" w:rsidRDefault="24AAD533">
            <w:pPr>
              <w:cnfStyle w:val="000000010000" w:firstRow="0" w:lastRow="0" w:firstColumn="0" w:lastColumn="0" w:oddVBand="0" w:evenVBand="0" w:oddHBand="0" w:evenHBand="1" w:firstRowFirstColumn="0" w:firstRowLastColumn="0" w:lastRowFirstColumn="0" w:lastRowLastColumn="0"/>
            </w:pPr>
            <w:r>
              <w:t>Separate rate and mix effects before the Q4 forecast</w:t>
            </w:r>
          </w:p>
        </w:tc>
      </w:tr>
      <w:tr w:rsidR="24AAD533" w14:paraId="21B74B53" w14:textId="77777777" w:rsidTr="3E79E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0" w:type="dxa"/>
          </w:tcPr>
          <w:p w14:paraId="16A62CC2" w14:textId="2881EDF9" w:rsidR="24AAD533" w:rsidRDefault="24AAD533">
            <w:r>
              <w:t>Data definitions</w:t>
            </w:r>
          </w:p>
        </w:tc>
        <w:tc>
          <w:tcPr>
            <w:tcW w:w="3700" w:type="dxa"/>
          </w:tcPr>
          <w:p w14:paraId="170BDA65" w14:textId="215FD4BD" w:rsidR="24AAD533" w:rsidRDefault="24AAD533">
            <w:pPr>
              <w:cnfStyle w:val="000000100000" w:firstRow="0" w:lastRow="0" w:firstColumn="0" w:lastColumn="0" w:oddVBand="0" w:evenVBand="0" w:oddHBand="1" w:evenHBand="0" w:firstRowFirstColumn="0" w:firstRowLastColumn="0" w:lastRowFirstColumn="0" w:lastRowLastColumn="0"/>
            </w:pPr>
            <w:r>
              <w:t>Active outlets, eB2B channel attribution and cooler placements are not counted identically in every market</w:t>
            </w:r>
          </w:p>
        </w:tc>
        <w:tc>
          <w:tcPr>
            <w:tcW w:w="3506" w:type="dxa"/>
          </w:tcPr>
          <w:p w14:paraId="66C088C4" w14:textId="1A3DBB81" w:rsidR="24AAD533" w:rsidRDefault="24AAD533">
            <w:pPr>
              <w:cnfStyle w:val="000000100000" w:firstRow="0" w:lastRow="0" w:firstColumn="0" w:lastColumn="0" w:oddVBand="0" w:evenVBand="0" w:oddHBand="1" w:evenHBand="0" w:firstRowFirstColumn="0" w:firstRowLastColumn="0" w:lastRowFirstColumn="0" w:lastRowLastColumn="0"/>
            </w:pPr>
            <w:r>
              <w:t>Agree one definition set, owned by Commercial Finance, for Q4 reporting</w:t>
            </w:r>
          </w:p>
        </w:tc>
      </w:tr>
    </w:tbl>
    <w:p w14:paraId="28BECBCC" w14:textId="7DE10146" w:rsidR="24AAD533" w:rsidRDefault="24AAD533" w:rsidP="24AAD533">
      <w:pPr>
        <w:pStyle w:val="Heading1"/>
      </w:pPr>
      <w:r w:rsidRPr="24AAD533">
        <w:rPr>
          <w:color w:val="F40009" w:themeColor="accent6"/>
        </w:rPr>
        <w:t>8. Asks of the ELT</w:t>
      </w:r>
    </w:p>
    <w:p w14:paraId="35CAAAD4" w14:textId="5296C6C4" w:rsidR="24AAD533" w:rsidRDefault="24AAD533" w:rsidP="24AAD533">
      <w:pPr>
        <w:pStyle w:val="ListNumber"/>
      </w:pPr>
      <w:r>
        <w:t>Endorse the four Q4 priorities in Section 6 and the assumptions behind them.</w:t>
      </w:r>
    </w:p>
    <w:p w14:paraId="787681DF" w14:textId="697A68FA" w:rsidR="24AAD533" w:rsidRDefault="01D1AE7B" w:rsidP="24AAD533">
      <w:pPr>
        <w:pStyle w:val="ListNumber"/>
      </w:pPr>
      <w:r>
        <w:t>Approve in principle the Q4 investment envelope for coolers, eB2B onboarding and returnable pack capacity, with final amounts [TBC] returning to the ELT for confirmation.</w:t>
      </w:r>
    </w:p>
    <w:p w14:paraId="4F97F124" w14:textId="2AB4B2DC" w:rsidR="24AAD533" w:rsidRDefault="24AAD533" w:rsidP="24AAD533">
      <w:pPr>
        <w:pStyle w:val="ListNumber"/>
      </w:pPr>
      <w:r>
        <w:t>Ask Commercial Finance to rebase the Q4 plan view and add a reported-currency bridge to the next review.</w:t>
      </w:r>
    </w:p>
    <w:p w14:paraId="3672D154" w14:textId="7DA7AB23" w:rsidR="02167A9B" w:rsidRDefault="0A40B70E" w:rsidP="02167A9B">
      <w:pPr>
        <w:pStyle w:val="ListNumber"/>
      </w:pPr>
      <w:r>
        <w:t>Sponsor common definitions for active outlets, eB2B attribution and cooler placements across all markets.</w:t>
      </w:r>
    </w:p>
    <w:p w14:paraId="77633DD0" w14:textId="6BF41351" w:rsidR="3E79E80D" w:rsidRDefault="3E79E80D" w:rsidP="3E79E80D">
      <w:pPr>
        <w:pStyle w:val="ListNumber"/>
      </w:pPr>
      <w:r>
        <w:t>Name an executive owner for each watch-item in Section 7.</w:t>
      </w:r>
    </w:p>
    <w:p w14:paraId="6C598EB5" w14:textId="76364EF1" w:rsidR="3E79E80D" w:rsidRDefault="671F7896" w:rsidP="3E79E80D">
      <w:r w:rsidRPr="689B3EED">
        <w:rPr>
          <w:i/>
          <w:iCs/>
          <w:color w:val="808285" w:themeColor="accent2"/>
          <w:sz w:val="18"/>
          <w:szCs w:val="18"/>
        </w:rPr>
        <w:t>Prepared by Commercial Finance for the Q3 2026 quarterly business review. Figures from CCBA_Q3_2026_Sales_Revenue_Tracker.xlsx (Q3, July–September 2026; USD k at constant currency).</w:t>
      </w:r>
    </w:p>
    <w:sectPr w:rsidR="3E79E80D" w:rsidSect="00034616">
      <w:headerReference w:type="default" r:id="rId9"/>
      <w:pgSz w:w="11906" w:h="16838"/>
      <w:pgMar w:top="1200" w:right="1300" w:bottom="1200" w:left="13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5723" w14:textId="77777777" w:rsidR="006004ED" w:rsidRDefault="006004ED">
      <w:pPr>
        <w:spacing w:after="0" w:line="240" w:lineRule="auto"/>
      </w:pPr>
      <w:r>
        <w:separator/>
      </w:r>
    </w:p>
  </w:endnote>
  <w:endnote w:type="continuationSeparator" w:id="0">
    <w:p w14:paraId="5FB69FF2" w14:textId="77777777" w:rsidR="006004ED" w:rsidRDefault="00600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29ECF" w14:textId="77777777" w:rsidR="006004ED" w:rsidRDefault="006004ED">
      <w:pPr>
        <w:spacing w:after="0" w:line="240" w:lineRule="auto"/>
      </w:pPr>
      <w:r>
        <w:separator/>
      </w:r>
    </w:p>
  </w:footnote>
  <w:footnote w:type="continuationSeparator" w:id="0">
    <w:p w14:paraId="6ED5D550" w14:textId="77777777" w:rsidR="006004ED" w:rsidRDefault="00600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0DA59" w14:textId="38DEF57A" w:rsidR="7722E7C6" w:rsidRDefault="6279D131">
    <w:r>
      <w:t>CCBA  |  Q3 2026 Commercial Business Review  |  Internal  |  Commercial Finance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2144558">
    <w:abstractNumId w:val="8"/>
  </w:num>
  <w:num w:numId="2" w16cid:durableId="1467774875">
    <w:abstractNumId w:val="6"/>
  </w:num>
  <w:num w:numId="3" w16cid:durableId="235290498">
    <w:abstractNumId w:val="5"/>
  </w:num>
  <w:num w:numId="4" w16cid:durableId="1473405540">
    <w:abstractNumId w:val="4"/>
  </w:num>
  <w:num w:numId="5" w16cid:durableId="634873800">
    <w:abstractNumId w:val="7"/>
  </w:num>
  <w:num w:numId="6" w16cid:durableId="613514806">
    <w:abstractNumId w:val="3"/>
  </w:num>
  <w:num w:numId="7" w16cid:durableId="1927615458">
    <w:abstractNumId w:val="2"/>
  </w:num>
  <w:num w:numId="8" w16cid:durableId="1299799262">
    <w:abstractNumId w:val="1"/>
  </w:num>
  <w:num w:numId="9" w16cid:durableId="1503816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04ED"/>
    <w:rsid w:val="00AA1D8D"/>
    <w:rsid w:val="00B47730"/>
    <w:rsid w:val="00BA2A87"/>
    <w:rsid w:val="00CB0664"/>
    <w:rsid w:val="00F85541"/>
    <w:rsid w:val="00FC693F"/>
    <w:rsid w:val="01D1AE7B"/>
    <w:rsid w:val="02167A9B"/>
    <w:rsid w:val="02BC404E"/>
    <w:rsid w:val="04FD1D1C"/>
    <w:rsid w:val="05DC2416"/>
    <w:rsid w:val="07353A12"/>
    <w:rsid w:val="081C1507"/>
    <w:rsid w:val="09AC71A4"/>
    <w:rsid w:val="09F40893"/>
    <w:rsid w:val="0A40B70E"/>
    <w:rsid w:val="0D47FFFD"/>
    <w:rsid w:val="0FD9F28D"/>
    <w:rsid w:val="10FCCFDA"/>
    <w:rsid w:val="13D983CF"/>
    <w:rsid w:val="13DDDD87"/>
    <w:rsid w:val="18E267AC"/>
    <w:rsid w:val="1B32B7C1"/>
    <w:rsid w:val="1D78CDE3"/>
    <w:rsid w:val="1F45762E"/>
    <w:rsid w:val="2184E37F"/>
    <w:rsid w:val="21C9BCFC"/>
    <w:rsid w:val="239AA9B8"/>
    <w:rsid w:val="23E5EE6D"/>
    <w:rsid w:val="23EE75F9"/>
    <w:rsid w:val="24AAD533"/>
    <w:rsid w:val="25BC4A39"/>
    <w:rsid w:val="2C22939D"/>
    <w:rsid w:val="2D221133"/>
    <w:rsid w:val="2E28F891"/>
    <w:rsid w:val="30D08ED8"/>
    <w:rsid w:val="35CD6BFD"/>
    <w:rsid w:val="36021372"/>
    <w:rsid w:val="370DAD9E"/>
    <w:rsid w:val="39BAB06E"/>
    <w:rsid w:val="3A26F8FB"/>
    <w:rsid w:val="3CFF98FC"/>
    <w:rsid w:val="3E79E80D"/>
    <w:rsid w:val="40004CB0"/>
    <w:rsid w:val="40C5DAA9"/>
    <w:rsid w:val="451A4BE4"/>
    <w:rsid w:val="454C1FF7"/>
    <w:rsid w:val="49826734"/>
    <w:rsid w:val="4C34E1F7"/>
    <w:rsid w:val="4C5359FE"/>
    <w:rsid w:val="4EE25CC0"/>
    <w:rsid w:val="51206F7F"/>
    <w:rsid w:val="55414CD8"/>
    <w:rsid w:val="557E8EED"/>
    <w:rsid w:val="58E1E073"/>
    <w:rsid w:val="59DEAE0D"/>
    <w:rsid w:val="5A856DDE"/>
    <w:rsid w:val="5B539240"/>
    <w:rsid w:val="5DC8F530"/>
    <w:rsid w:val="5ECEE86A"/>
    <w:rsid w:val="613E9B2B"/>
    <w:rsid w:val="623D6198"/>
    <w:rsid w:val="6279D131"/>
    <w:rsid w:val="63A66B66"/>
    <w:rsid w:val="649B9C53"/>
    <w:rsid w:val="661C71AB"/>
    <w:rsid w:val="671F7896"/>
    <w:rsid w:val="689B3EED"/>
    <w:rsid w:val="68C9A802"/>
    <w:rsid w:val="6E8AD8FD"/>
    <w:rsid w:val="718C209A"/>
    <w:rsid w:val="7722E7C6"/>
    <w:rsid w:val="7B29F198"/>
    <w:rsid w:val="7BA27ABD"/>
    <w:rsid w:val="7DA533DB"/>
    <w:rsid w:val="7DC0CB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9E1BC20-EDF7-4F26-92D3-383037136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60006"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40009"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40009"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F40009"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790004"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790004"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698192"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F40009"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698192"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B6000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F40009"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F40009" w:themeColor="accent1"/>
    </w:rPr>
  </w:style>
  <w:style w:type="paragraph" w:styleId="Title">
    <w:name w:val="Title"/>
    <w:basedOn w:val="Normal"/>
    <w:next w:val="Normal"/>
    <w:link w:val="TitleChar"/>
    <w:uiPriority w:val="10"/>
    <w:qFormat/>
    <w:rsid w:val="00FC693F"/>
    <w:pPr>
      <w:pBdr>
        <w:bottom w:val="single" w:sz="8" w:space="4" w:color="F40009" w:themeColor="accent1"/>
      </w:pBdr>
      <w:spacing w:after="300" w:line="240" w:lineRule="auto"/>
      <w:contextualSpacing/>
    </w:pPr>
    <w:rPr>
      <w:rFonts w:asciiTheme="majorHAnsi" w:eastAsiaTheme="majorEastAsia" w:hAnsiTheme="majorHAnsi" w:cstheme="majorBidi"/>
      <w:color w:val="B60006"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B60006"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F40009"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F40009"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455560" w:themeColor="text1"/>
    </w:rPr>
  </w:style>
  <w:style w:type="character" w:customStyle="1" w:styleId="QuoteChar">
    <w:name w:val="Quote Char"/>
    <w:basedOn w:val="DefaultParagraphFont"/>
    <w:link w:val="Quote"/>
    <w:uiPriority w:val="29"/>
    <w:rsid w:val="00FC693F"/>
    <w:rPr>
      <w:i/>
      <w:iCs/>
      <w:color w:val="45556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F40009"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790004"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790004"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698192"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F40009"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698192"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F40009"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F40009" w:themeColor="accent1"/>
      </w:pBdr>
      <w:spacing w:before="200" w:after="280"/>
      <w:ind w:left="936" w:right="936"/>
    </w:pPr>
    <w:rPr>
      <w:b/>
      <w:bCs/>
      <w:i/>
      <w:iCs/>
      <w:color w:val="F40009" w:themeColor="accent1"/>
    </w:rPr>
  </w:style>
  <w:style w:type="character" w:customStyle="1" w:styleId="IntenseQuoteChar">
    <w:name w:val="Intense Quote Char"/>
    <w:basedOn w:val="DefaultParagraphFont"/>
    <w:link w:val="IntenseQuote"/>
    <w:uiPriority w:val="30"/>
    <w:rsid w:val="00FC693F"/>
    <w:rPr>
      <w:b/>
      <w:bCs/>
      <w:i/>
      <w:iCs/>
      <w:color w:val="F40009" w:themeColor="accent1"/>
    </w:rPr>
  </w:style>
  <w:style w:type="character" w:styleId="SubtleEmphasis">
    <w:name w:val="Subtle Emphasis"/>
    <w:basedOn w:val="DefaultParagraphFont"/>
    <w:uiPriority w:val="19"/>
    <w:qFormat/>
    <w:rsid w:val="00FC693F"/>
    <w:rPr>
      <w:i/>
      <w:iCs/>
      <w:color w:val="9AABB7" w:themeColor="text1" w:themeTint="7F"/>
    </w:rPr>
  </w:style>
  <w:style w:type="character" w:styleId="IntenseEmphasis">
    <w:name w:val="Intense Emphasis"/>
    <w:basedOn w:val="DefaultParagraphFont"/>
    <w:uiPriority w:val="21"/>
    <w:qFormat/>
    <w:rsid w:val="00FC693F"/>
    <w:rPr>
      <w:b/>
      <w:bCs/>
      <w:i/>
      <w:iCs/>
      <w:color w:val="F40009" w:themeColor="accent1"/>
    </w:rPr>
  </w:style>
  <w:style w:type="character" w:styleId="SubtleReference">
    <w:name w:val="Subtle Reference"/>
    <w:basedOn w:val="DefaultParagraphFont"/>
    <w:uiPriority w:val="31"/>
    <w:qFormat/>
    <w:rsid w:val="00FC693F"/>
    <w:rPr>
      <w:smallCaps/>
      <w:color w:val="808285" w:themeColor="accent2"/>
      <w:u w:val="single"/>
    </w:rPr>
  </w:style>
  <w:style w:type="character" w:styleId="IntenseReference">
    <w:name w:val="Intense Reference"/>
    <w:basedOn w:val="DefaultParagraphFont"/>
    <w:uiPriority w:val="32"/>
    <w:qFormat/>
    <w:rsid w:val="00FC693F"/>
    <w:rPr>
      <w:b/>
      <w:bCs/>
      <w:smallCaps/>
      <w:color w:val="808285"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333F47" w:themeColor="text1" w:themeShade="BF"/>
    </w:rPr>
    <w:tblPr>
      <w:tblStyleRowBandSize w:val="1"/>
      <w:tblStyleColBandSize w:val="1"/>
      <w:tblBorders>
        <w:top w:val="single" w:sz="8" w:space="0" w:color="455560" w:themeColor="text1"/>
        <w:bottom w:val="single" w:sz="8" w:space="0" w:color="455560" w:themeColor="text1"/>
      </w:tblBorders>
    </w:tblPr>
    <w:tblStylePr w:type="firstRow">
      <w:pPr>
        <w:spacing w:before="0" w:after="0" w:line="240" w:lineRule="auto"/>
      </w:pPr>
      <w:rPr>
        <w:b/>
        <w:bCs/>
      </w:rPr>
      <w:tblPr/>
      <w:tcPr>
        <w:tcBorders>
          <w:top w:val="single" w:sz="8" w:space="0" w:color="455560" w:themeColor="text1"/>
          <w:left w:val="nil"/>
          <w:bottom w:val="single" w:sz="8" w:space="0" w:color="455560" w:themeColor="text1"/>
          <w:right w:val="nil"/>
          <w:insideH w:val="nil"/>
          <w:insideV w:val="nil"/>
        </w:tcBorders>
      </w:tcPr>
    </w:tblStylePr>
    <w:tblStylePr w:type="lastRow">
      <w:pPr>
        <w:spacing w:before="0" w:after="0" w:line="240" w:lineRule="auto"/>
      </w:pPr>
      <w:rPr>
        <w:b/>
        <w:bCs/>
      </w:rPr>
      <w:tblPr/>
      <w:tcPr>
        <w:tcBorders>
          <w:top w:val="single" w:sz="8" w:space="0" w:color="455560" w:themeColor="text1"/>
          <w:left w:val="nil"/>
          <w:bottom w:val="single" w:sz="8" w:space="0" w:color="45556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DD5DB" w:themeFill="text1" w:themeFillTint="3F"/>
      </w:tcPr>
    </w:tblStylePr>
    <w:tblStylePr w:type="band1Horz">
      <w:tblPr/>
      <w:tcPr>
        <w:tcBorders>
          <w:left w:val="nil"/>
          <w:right w:val="nil"/>
          <w:insideH w:val="nil"/>
          <w:insideV w:val="nil"/>
        </w:tcBorders>
        <w:shd w:val="clear" w:color="auto" w:fill="CDD5DB" w:themeFill="text1" w:themeFillTint="3F"/>
      </w:tcPr>
    </w:tblStylePr>
  </w:style>
  <w:style w:type="table" w:styleId="LightShading-Accent1">
    <w:name w:val="Light Shading Accent 1"/>
    <w:basedOn w:val="TableNormal"/>
    <w:uiPriority w:val="60"/>
    <w:rsid w:val="00FC693F"/>
    <w:pPr>
      <w:spacing w:after="0" w:line="240" w:lineRule="auto"/>
    </w:pPr>
    <w:rPr>
      <w:color w:val="B60006" w:themeColor="accent1" w:themeShade="BF"/>
    </w:rPr>
    <w:tblPr>
      <w:tblStyleRowBandSize w:val="1"/>
      <w:tblStyleColBandSize w:val="1"/>
      <w:tblBorders>
        <w:top w:val="single" w:sz="8" w:space="0" w:color="F40009" w:themeColor="accent1"/>
        <w:bottom w:val="single" w:sz="8" w:space="0" w:color="F40009" w:themeColor="accent1"/>
      </w:tblBorders>
    </w:tblPr>
    <w:tblStylePr w:type="firstRow">
      <w:pPr>
        <w:spacing w:before="0" w:after="0" w:line="240" w:lineRule="auto"/>
      </w:pPr>
      <w:rPr>
        <w:b/>
        <w:bCs/>
      </w:rPr>
      <w:tblPr/>
      <w:tcPr>
        <w:tcBorders>
          <w:top w:val="single" w:sz="8" w:space="0" w:color="F40009" w:themeColor="accent1"/>
          <w:left w:val="nil"/>
          <w:bottom w:val="single" w:sz="8" w:space="0" w:color="F40009" w:themeColor="accent1"/>
          <w:right w:val="nil"/>
          <w:insideH w:val="nil"/>
          <w:insideV w:val="nil"/>
        </w:tcBorders>
      </w:tcPr>
    </w:tblStylePr>
    <w:tblStylePr w:type="lastRow">
      <w:pPr>
        <w:spacing w:before="0" w:after="0" w:line="240" w:lineRule="auto"/>
      </w:pPr>
      <w:rPr>
        <w:b/>
        <w:bCs/>
      </w:rPr>
      <w:tblPr/>
      <w:tcPr>
        <w:tcBorders>
          <w:top w:val="single" w:sz="8" w:space="0" w:color="F40009" w:themeColor="accent1"/>
          <w:left w:val="nil"/>
          <w:bottom w:val="single" w:sz="8" w:space="0" w:color="F4000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DBF" w:themeFill="accent1" w:themeFillTint="3F"/>
      </w:tcPr>
    </w:tblStylePr>
    <w:tblStylePr w:type="band1Horz">
      <w:tblPr/>
      <w:tcPr>
        <w:tcBorders>
          <w:left w:val="nil"/>
          <w:right w:val="nil"/>
          <w:insideH w:val="nil"/>
          <w:insideV w:val="nil"/>
        </w:tcBorders>
        <w:shd w:val="clear" w:color="auto" w:fill="FFBDBF" w:themeFill="accent1" w:themeFillTint="3F"/>
      </w:tcPr>
    </w:tblStylePr>
  </w:style>
  <w:style w:type="table" w:styleId="LightShading-Accent2">
    <w:name w:val="Light Shading Accent 2"/>
    <w:basedOn w:val="TableNormal"/>
    <w:uiPriority w:val="60"/>
    <w:rsid w:val="00FC693F"/>
    <w:pPr>
      <w:spacing w:after="0" w:line="240" w:lineRule="auto"/>
    </w:pPr>
    <w:rPr>
      <w:color w:val="5F6163" w:themeColor="accent2" w:themeShade="BF"/>
    </w:rPr>
    <w:tblPr>
      <w:tblStyleRowBandSize w:val="1"/>
      <w:tblStyleColBandSize w:val="1"/>
      <w:tblBorders>
        <w:top w:val="single" w:sz="8" w:space="0" w:color="808285" w:themeColor="accent2"/>
        <w:bottom w:val="single" w:sz="8" w:space="0" w:color="808285" w:themeColor="accent2"/>
      </w:tblBorders>
    </w:tblPr>
    <w:tblStylePr w:type="firstRow">
      <w:pPr>
        <w:spacing w:before="0" w:after="0" w:line="240" w:lineRule="auto"/>
      </w:pPr>
      <w:rPr>
        <w:b/>
        <w:bCs/>
      </w:rPr>
      <w:tblPr/>
      <w:tcPr>
        <w:tcBorders>
          <w:top w:val="single" w:sz="8" w:space="0" w:color="808285" w:themeColor="accent2"/>
          <w:left w:val="nil"/>
          <w:bottom w:val="single" w:sz="8" w:space="0" w:color="808285" w:themeColor="accent2"/>
          <w:right w:val="nil"/>
          <w:insideH w:val="nil"/>
          <w:insideV w:val="nil"/>
        </w:tcBorders>
      </w:tcPr>
    </w:tblStylePr>
    <w:tblStylePr w:type="lastRow">
      <w:pPr>
        <w:spacing w:before="0" w:after="0" w:line="240" w:lineRule="auto"/>
      </w:pPr>
      <w:rPr>
        <w:b/>
        <w:bCs/>
      </w:rPr>
      <w:tblPr/>
      <w:tcPr>
        <w:tcBorders>
          <w:top w:val="single" w:sz="8" w:space="0" w:color="808285" w:themeColor="accent2"/>
          <w:left w:val="nil"/>
          <w:bottom w:val="single" w:sz="8" w:space="0" w:color="80828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0E0" w:themeFill="accent2" w:themeFillTint="3F"/>
      </w:tcPr>
    </w:tblStylePr>
    <w:tblStylePr w:type="band1Horz">
      <w:tblPr/>
      <w:tcPr>
        <w:tcBorders>
          <w:left w:val="nil"/>
          <w:right w:val="nil"/>
          <w:insideH w:val="nil"/>
          <w:insideV w:val="nil"/>
        </w:tcBorders>
        <w:shd w:val="clear" w:color="auto" w:fill="DFE0E0" w:themeFill="accent2" w:themeFillTint="3F"/>
      </w:tcPr>
    </w:tblStylePr>
  </w:style>
  <w:style w:type="table" w:styleId="LightShading-Accent3">
    <w:name w:val="Light Shading Accent 3"/>
    <w:basedOn w:val="TableNormal"/>
    <w:uiPriority w:val="60"/>
    <w:rsid w:val="00FC693F"/>
    <w:pPr>
      <w:spacing w:after="0" w:line="240" w:lineRule="auto"/>
    </w:pPr>
    <w:rPr>
      <w:color w:val="B60006" w:themeColor="accent3" w:themeShade="BF"/>
    </w:rPr>
    <w:tblPr>
      <w:tblStyleRowBandSize w:val="1"/>
      <w:tblStyleColBandSize w:val="1"/>
      <w:tblBorders>
        <w:top w:val="single" w:sz="8" w:space="0" w:color="F40009" w:themeColor="accent3"/>
        <w:bottom w:val="single" w:sz="8" w:space="0" w:color="F40009" w:themeColor="accent3"/>
      </w:tblBorders>
    </w:tblPr>
    <w:tblStylePr w:type="firstRow">
      <w:pPr>
        <w:spacing w:before="0" w:after="0" w:line="240" w:lineRule="auto"/>
      </w:pPr>
      <w:rPr>
        <w:b/>
        <w:bCs/>
      </w:rPr>
      <w:tblPr/>
      <w:tcPr>
        <w:tcBorders>
          <w:top w:val="single" w:sz="8" w:space="0" w:color="F40009" w:themeColor="accent3"/>
          <w:left w:val="nil"/>
          <w:bottom w:val="single" w:sz="8" w:space="0" w:color="F40009" w:themeColor="accent3"/>
          <w:right w:val="nil"/>
          <w:insideH w:val="nil"/>
          <w:insideV w:val="nil"/>
        </w:tcBorders>
      </w:tcPr>
    </w:tblStylePr>
    <w:tblStylePr w:type="lastRow">
      <w:pPr>
        <w:spacing w:before="0" w:after="0" w:line="240" w:lineRule="auto"/>
      </w:pPr>
      <w:rPr>
        <w:b/>
        <w:bCs/>
      </w:rPr>
      <w:tblPr/>
      <w:tcPr>
        <w:tcBorders>
          <w:top w:val="single" w:sz="8" w:space="0" w:color="F40009" w:themeColor="accent3"/>
          <w:left w:val="nil"/>
          <w:bottom w:val="single" w:sz="8" w:space="0" w:color="F400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DBF" w:themeFill="accent3" w:themeFillTint="3F"/>
      </w:tcPr>
    </w:tblStylePr>
    <w:tblStylePr w:type="band1Horz">
      <w:tblPr/>
      <w:tcPr>
        <w:tcBorders>
          <w:left w:val="nil"/>
          <w:right w:val="nil"/>
          <w:insideH w:val="nil"/>
          <w:insideV w:val="nil"/>
        </w:tcBorders>
        <w:shd w:val="clear" w:color="auto" w:fill="FFBDBF" w:themeFill="accent3" w:themeFillTint="3F"/>
      </w:tcPr>
    </w:tblStylePr>
  </w:style>
  <w:style w:type="table" w:styleId="LightShading-Accent4">
    <w:name w:val="Light Shading Accent 4"/>
    <w:basedOn w:val="TableNormal"/>
    <w:uiPriority w:val="60"/>
    <w:rsid w:val="00FC693F"/>
    <w:pPr>
      <w:spacing w:after="0" w:line="240" w:lineRule="auto"/>
    </w:pPr>
    <w:rPr>
      <w:color w:val="B60006" w:themeColor="accent4" w:themeShade="BF"/>
    </w:rPr>
    <w:tblPr>
      <w:tblStyleRowBandSize w:val="1"/>
      <w:tblStyleColBandSize w:val="1"/>
      <w:tblBorders>
        <w:top w:val="single" w:sz="8" w:space="0" w:color="F40009" w:themeColor="accent4"/>
        <w:bottom w:val="single" w:sz="8" w:space="0" w:color="F40009" w:themeColor="accent4"/>
      </w:tblBorders>
    </w:tblPr>
    <w:tblStylePr w:type="firstRow">
      <w:pPr>
        <w:spacing w:before="0" w:after="0" w:line="240" w:lineRule="auto"/>
      </w:pPr>
      <w:rPr>
        <w:b/>
        <w:bCs/>
      </w:rPr>
      <w:tblPr/>
      <w:tcPr>
        <w:tcBorders>
          <w:top w:val="single" w:sz="8" w:space="0" w:color="F40009" w:themeColor="accent4"/>
          <w:left w:val="nil"/>
          <w:bottom w:val="single" w:sz="8" w:space="0" w:color="F40009" w:themeColor="accent4"/>
          <w:right w:val="nil"/>
          <w:insideH w:val="nil"/>
          <w:insideV w:val="nil"/>
        </w:tcBorders>
      </w:tcPr>
    </w:tblStylePr>
    <w:tblStylePr w:type="lastRow">
      <w:pPr>
        <w:spacing w:before="0" w:after="0" w:line="240" w:lineRule="auto"/>
      </w:pPr>
      <w:rPr>
        <w:b/>
        <w:bCs/>
      </w:rPr>
      <w:tblPr/>
      <w:tcPr>
        <w:tcBorders>
          <w:top w:val="single" w:sz="8" w:space="0" w:color="F40009" w:themeColor="accent4"/>
          <w:left w:val="nil"/>
          <w:bottom w:val="single" w:sz="8" w:space="0" w:color="F4000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DBF" w:themeFill="accent4" w:themeFillTint="3F"/>
      </w:tcPr>
    </w:tblStylePr>
    <w:tblStylePr w:type="band1Horz">
      <w:tblPr/>
      <w:tcPr>
        <w:tcBorders>
          <w:left w:val="nil"/>
          <w:right w:val="nil"/>
          <w:insideH w:val="nil"/>
          <w:insideV w:val="nil"/>
        </w:tcBorders>
        <w:shd w:val="clear" w:color="auto" w:fill="FFBDBF" w:themeFill="accent4" w:themeFillTint="3F"/>
      </w:tcPr>
    </w:tblStylePr>
  </w:style>
  <w:style w:type="table" w:styleId="LightShading-Accent5">
    <w:name w:val="Light Shading Accent 5"/>
    <w:basedOn w:val="TableNormal"/>
    <w:uiPriority w:val="60"/>
    <w:rsid w:val="00FC693F"/>
    <w:pPr>
      <w:spacing w:after="0" w:line="240" w:lineRule="auto"/>
    </w:pPr>
    <w:rPr>
      <w:color w:val="B60006" w:themeColor="accent5" w:themeShade="BF"/>
    </w:rPr>
    <w:tblPr>
      <w:tblStyleRowBandSize w:val="1"/>
      <w:tblStyleColBandSize w:val="1"/>
      <w:tblBorders>
        <w:top w:val="single" w:sz="8" w:space="0" w:color="F40009" w:themeColor="accent5"/>
        <w:bottom w:val="single" w:sz="8" w:space="0" w:color="F40009" w:themeColor="accent5"/>
      </w:tblBorders>
    </w:tblPr>
    <w:tblStylePr w:type="firstRow">
      <w:pPr>
        <w:spacing w:before="0" w:after="0" w:line="240" w:lineRule="auto"/>
      </w:pPr>
      <w:rPr>
        <w:b/>
        <w:bCs/>
      </w:rPr>
      <w:tblPr/>
      <w:tcPr>
        <w:tcBorders>
          <w:top w:val="single" w:sz="8" w:space="0" w:color="F40009" w:themeColor="accent5"/>
          <w:left w:val="nil"/>
          <w:bottom w:val="single" w:sz="8" w:space="0" w:color="F40009" w:themeColor="accent5"/>
          <w:right w:val="nil"/>
          <w:insideH w:val="nil"/>
          <w:insideV w:val="nil"/>
        </w:tcBorders>
      </w:tcPr>
    </w:tblStylePr>
    <w:tblStylePr w:type="lastRow">
      <w:pPr>
        <w:spacing w:before="0" w:after="0" w:line="240" w:lineRule="auto"/>
      </w:pPr>
      <w:rPr>
        <w:b/>
        <w:bCs/>
      </w:rPr>
      <w:tblPr/>
      <w:tcPr>
        <w:tcBorders>
          <w:top w:val="single" w:sz="8" w:space="0" w:color="F40009" w:themeColor="accent5"/>
          <w:left w:val="nil"/>
          <w:bottom w:val="single" w:sz="8" w:space="0" w:color="F4000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DBF" w:themeFill="accent5" w:themeFillTint="3F"/>
      </w:tcPr>
    </w:tblStylePr>
    <w:tblStylePr w:type="band1Horz">
      <w:tblPr/>
      <w:tcPr>
        <w:tcBorders>
          <w:left w:val="nil"/>
          <w:right w:val="nil"/>
          <w:insideH w:val="nil"/>
          <w:insideV w:val="nil"/>
        </w:tcBorders>
        <w:shd w:val="clear" w:color="auto" w:fill="FFBDBF" w:themeFill="accent5" w:themeFillTint="3F"/>
      </w:tcPr>
    </w:tblStylePr>
  </w:style>
  <w:style w:type="table" w:styleId="LightShading-Accent6">
    <w:name w:val="Light Shading Accent 6"/>
    <w:basedOn w:val="TableNormal"/>
    <w:uiPriority w:val="60"/>
    <w:rsid w:val="00FC693F"/>
    <w:pPr>
      <w:spacing w:after="0" w:line="240" w:lineRule="auto"/>
    </w:pPr>
    <w:rPr>
      <w:color w:val="B60006" w:themeColor="accent6" w:themeShade="BF"/>
    </w:rPr>
    <w:tblPr>
      <w:tblStyleRowBandSize w:val="1"/>
      <w:tblStyleColBandSize w:val="1"/>
      <w:tblBorders>
        <w:top w:val="single" w:sz="8" w:space="0" w:color="F40009" w:themeColor="accent6"/>
        <w:bottom w:val="single" w:sz="8" w:space="0" w:color="F40009" w:themeColor="accent6"/>
      </w:tblBorders>
    </w:tblPr>
    <w:tblStylePr w:type="firstRow">
      <w:pPr>
        <w:spacing w:before="0" w:after="0" w:line="240" w:lineRule="auto"/>
      </w:pPr>
      <w:rPr>
        <w:b/>
        <w:bCs/>
      </w:rPr>
      <w:tblPr/>
      <w:tcPr>
        <w:tcBorders>
          <w:top w:val="single" w:sz="8" w:space="0" w:color="F40009" w:themeColor="accent6"/>
          <w:left w:val="nil"/>
          <w:bottom w:val="single" w:sz="8" w:space="0" w:color="F40009" w:themeColor="accent6"/>
          <w:right w:val="nil"/>
          <w:insideH w:val="nil"/>
          <w:insideV w:val="nil"/>
        </w:tcBorders>
      </w:tcPr>
    </w:tblStylePr>
    <w:tblStylePr w:type="lastRow">
      <w:pPr>
        <w:spacing w:before="0" w:after="0" w:line="240" w:lineRule="auto"/>
      </w:pPr>
      <w:rPr>
        <w:b/>
        <w:bCs/>
      </w:rPr>
      <w:tblPr/>
      <w:tcPr>
        <w:tcBorders>
          <w:top w:val="single" w:sz="8" w:space="0" w:color="F40009" w:themeColor="accent6"/>
          <w:left w:val="nil"/>
          <w:bottom w:val="single" w:sz="8" w:space="0" w:color="F4000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DBF" w:themeFill="accent6" w:themeFillTint="3F"/>
      </w:tcPr>
    </w:tblStylePr>
    <w:tblStylePr w:type="band1Horz">
      <w:tblPr/>
      <w:tcPr>
        <w:tcBorders>
          <w:left w:val="nil"/>
          <w:right w:val="nil"/>
          <w:insideH w:val="nil"/>
          <w:insideV w:val="nil"/>
        </w:tcBorders>
        <w:shd w:val="clear" w:color="auto" w:fill="FFBDBF"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455560" w:themeColor="text1"/>
        <w:left w:val="single" w:sz="8" w:space="0" w:color="455560" w:themeColor="text1"/>
        <w:bottom w:val="single" w:sz="8" w:space="0" w:color="455560" w:themeColor="text1"/>
        <w:right w:val="single" w:sz="8" w:space="0" w:color="455560" w:themeColor="text1"/>
      </w:tblBorders>
    </w:tblPr>
    <w:tblStylePr w:type="firstRow">
      <w:pPr>
        <w:spacing w:before="0" w:after="0" w:line="240" w:lineRule="auto"/>
      </w:pPr>
      <w:rPr>
        <w:b/>
        <w:bCs/>
        <w:color w:val="FFFFFF" w:themeColor="background1"/>
      </w:rPr>
      <w:tblPr/>
      <w:tcPr>
        <w:shd w:val="clear" w:color="auto" w:fill="455560" w:themeFill="text1"/>
      </w:tcPr>
    </w:tblStylePr>
    <w:tblStylePr w:type="lastRow">
      <w:pPr>
        <w:spacing w:before="0" w:after="0" w:line="240" w:lineRule="auto"/>
      </w:pPr>
      <w:rPr>
        <w:b/>
        <w:bCs/>
      </w:rPr>
      <w:tblPr/>
      <w:tcPr>
        <w:tcBorders>
          <w:top w:val="double" w:sz="6" w:space="0" w:color="455560" w:themeColor="text1"/>
          <w:left w:val="single" w:sz="8" w:space="0" w:color="455560" w:themeColor="text1"/>
          <w:bottom w:val="single" w:sz="8" w:space="0" w:color="455560" w:themeColor="text1"/>
          <w:right w:val="single" w:sz="8" w:space="0" w:color="455560" w:themeColor="text1"/>
        </w:tcBorders>
      </w:tcPr>
    </w:tblStylePr>
    <w:tblStylePr w:type="firstCol">
      <w:rPr>
        <w:b/>
        <w:bCs/>
      </w:rPr>
    </w:tblStylePr>
    <w:tblStylePr w:type="lastCol">
      <w:rPr>
        <w:b/>
        <w:bCs/>
      </w:rPr>
    </w:tblStylePr>
    <w:tblStylePr w:type="band1Vert">
      <w:tblPr/>
      <w:tcPr>
        <w:tcBorders>
          <w:top w:val="single" w:sz="8" w:space="0" w:color="455560" w:themeColor="text1"/>
          <w:left w:val="single" w:sz="8" w:space="0" w:color="455560" w:themeColor="text1"/>
          <w:bottom w:val="single" w:sz="8" w:space="0" w:color="455560" w:themeColor="text1"/>
          <w:right w:val="single" w:sz="8" w:space="0" w:color="455560" w:themeColor="text1"/>
        </w:tcBorders>
      </w:tcPr>
    </w:tblStylePr>
    <w:tblStylePr w:type="band1Horz">
      <w:tblPr/>
      <w:tcPr>
        <w:tcBorders>
          <w:top w:val="single" w:sz="8" w:space="0" w:color="455560" w:themeColor="text1"/>
          <w:left w:val="single" w:sz="8" w:space="0" w:color="455560" w:themeColor="text1"/>
          <w:bottom w:val="single" w:sz="8" w:space="0" w:color="455560" w:themeColor="text1"/>
          <w:right w:val="single" w:sz="8" w:space="0" w:color="45556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40009" w:themeColor="accent1"/>
        <w:left w:val="single" w:sz="8" w:space="0" w:color="F40009" w:themeColor="accent1"/>
        <w:bottom w:val="single" w:sz="8" w:space="0" w:color="F40009" w:themeColor="accent1"/>
        <w:right w:val="single" w:sz="8" w:space="0" w:color="F40009" w:themeColor="accent1"/>
      </w:tblBorders>
    </w:tblPr>
    <w:tblStylePr w:type="firstRow">
      <w:pPr>
        <w:spacing w:before="0" w:after="0" w:line="240" w:lineRule="auto"/>
      </w:pPr>
      <w:rPr>
        <w:b/>
        <w:bCs/>
        <w:color w:val="FFFFFF" w:themeColor="background1"/>
      </w:rPr>
      <w:tblPr/>
      <w:tcPr>
        <w:shd w:val="clear" w:color="auto" w:fill="F40009" w:themeFill="accent1"/>
      </w:tcPr>
    </w:tblStylePr>
    <w:tblStylePr w:type="lastRow">
      <w:pPr>
        <w:spacing w:before="0" w:after="0" w:line="240" w:lineRule="auto"/>
      </w:pPr>
      <w:rPr>
        <w:b/>
        <w:bCs/>
      </w:rPr>
      <w:tblPr/>
      <w:tcPr>
        <w:tcBorders>
          <w:top w:val="double" w:sz="6" w:space="0" w:color="F40009" w:themeColor="accent1"/>
          <w:left w:val="single" w:sz="8" w:space="0" w:color="F40009" w:themeColor="accent1"/>
          <w:bottom w:val="single" w:sz="8" w:space="0" w:color="F40009" w:themeColor="accent1"/>
          <w:right w:val="single" w:sz="8" w:space="0" w:color="F40009" w:themeColor="accent1"/>
        </w:tcBorders>
      </w:tcPr>
    </w:tblStylePr>
    <w:tblStylePr w:type="firstCol">
      <w:rPr>
        <w:b/>
        <w:bCs/>
      </w:rPr>
    </w:tblStylePr>
    <w:tblStylePr w:type="lastCol">
      <w:rPr>
        <w:b/>
        <w:bCs/>
      </w:rPr>
    </w:tblStylePr>
    <w:tblStylePr w:type="band1Vert">
      <w:tblPr/>
      <w:tcPr>
        <w:tcBorders>
          <w:top w:val="single" w:sz="8" w:space="0" w:color="F40009" w:themeColor="accent1"/>
          <w:left w:val="single" w:sz="8" w:space="0" w:color="F40009" w:themeColor="accent1"/>
          <w:bottom w:val="single" w:sz="8" w:space="0" w:color="F40009" w:themeColor="accent1"/>
          <w:right w:val="single" w:sz="8" w:space="0" w:color="F40009" w:themeColor="accent1"/>
        </w:tcBorders>
      </w:tcPr>
    </w:tblStylePr>
    <w:tblStylePr w:type="band1Horz">
      <w:tblPr/>
      <w:tcPr>
        <w:tcBorders>
          <w:top w:val="single" w:sz="8" w:space="0" w:color="F40009" w:themeColor="accent1"/>
          <w:left w:val="single" w:sz="8" w:space="0" w:color="F40009" w:themeColor="accent1"/>
          <w:bottom w:val="single" w:sz="8" w:space="0" w:color="F40009" w:themeColor="accent1"/>
          <w:right w:val="single" w:sz="8" w:space="0" w:color="F40009"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808285" w:themeColor="accent2"/>
        <w:left w:val="single" w:sz="8" w:space="0" w:color="808285" w:themeColor="accent2"/>
        <w:bottom w:val="single" w:sz="8" w:space="0" w:color="808285" w:themeColor="accent2"/>
        <w:right w:val="single" w:sz="8" w:space="0" w:color="808285" w:themeColor="accent2"/>
      </w:tblBorders>
    </w:tblPr>
    <w:tblStylePr w:type="firstRow">
      <w:pPr>
        <w:spacing w:before="0" w:after="0" w:line="240" w:lineRule="auto"/>
      </w:pPr>
      <w:rPr>
        <w:b/>
        <w:bCs/>
        <w:color w:val="FFFFFF" w:themeColor="background1"/>
      </w:rPr>
      <w:tblPr/>
      <w:tcPr>
        <w:shd w:val="clear" w:color="auto" w:fill="808285" w:themeFill="accent2"/>
      </w:tcPr>
    </w:tblStylePr>
    <w:tblStylePr w:type="lastRow">
      <w:pPr>
        <w:spacing w:before="0" w:after="0" w:line="240" w:lineRule="auto"/>
      </w:pPr>
      <w:rPr>
        <w:b/>
        <w:bCs/>
      </w:rPr>
      <w:tblPr/>
      <w:tcPr>
        <w:tcBorders>
          <w:top w:val="double" w:sz="6" w:space="0" w:color="808285" w:themeColor="accent2"/>
          <w:left w:val="single" w:sz="8" w:space="0" w:color="808285" w:themeColor="accent2"/>
          <w:bottom w:val="single" w:sz="8" w:space="0" w:color="808285" w:themeColor="accent2"/>
          <w:right w:val="single" w:sz="8" w:space="0" w:color="808285" w:themeColor="accent2"/>
        </w:tcBorders>
      </w:tcPr>
    </w:tblStylePr>
    <w:tblStylePr w:type="firstCol">
      <w:rPr>
        <w:b/>
        <w:bCs/>
      </w:rPr>
    </w:tblStylePr>
    <w:tblStylePr w:type="lastCol">
      <w:rPr>
        <w:b/>
        <w:bCs/>
      </w:rPr>
    </w:tblStylePr>
    <w:tblStylePr w:type="band1Vert">
      <w:tblPr/>
      <w:tcPr>
        <w:tcBorders>
          <w:top w:val="single" w:sz="8" w:space="0" w:color="808285" w:themeColor="accent2"/>
          <w:left w:val="single" w:sz="8" w:space="0" w:color="808285" w:themeColor="accent2"/>
          <w:bottom w:val="single" w:sz="8" w:space="0" w:color="808285" w:themeColor="accent2"/>
          <w:right w:val="single" w:sz="8" w:space="0" w:color="808285" w:themeColor="accent2"/>
        </w:tcBorders>
      </w:tcPr>
    </w:tblStylePr>
    <w:tblStylePr w:type="band1Horz">
      <w:tblPr/>
      <w:tcPr>
        <w:tcBorders>
          <w:top w:val="single" w:sz="8" w:space="0" w:color="808285" w:themeColor="accent2"/>
          <w:left w:val="single" w:sz="8" w:space="0" w:color="808285" w:themeColor="accent2"/>
          <w:bottom w:val="single" w:sz="8" w:space="0" w:color="808285" w:themeColor="accent2"/>
          <w:right w:val="single" w:sz="8" w:space="0" w:color="808285"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F40009" w:themeColor="accent3"/>
        <w:left w:val="single" w:sz="8" w:space="0" w:color="F40009" w:themeColor="accent3"/>
        <w:bottom w:val="single" w:sz="8" w:space="0" w:color="F40009" w:themeColor="accent3"/>
        <w:right w:val="single" w:sz="8" w:space="0" w:color="F40009" w:themeColor="accent3"/>
      </w:tblBorders>
    </w:tblPr>
    <w:tblStylePr w:type="firstRow">
      <w:pPr>
        <w:spacing w:before="0" w:after="0" w:line="240" w:lineRule="auto"/>
      </w:pPr>
      <w:rPr>
        <w:b/>
        <w:bCs/>
        <w:color w:val="FFFFFF" w:themeColor="background1"/>
      </w:rPr>
      <w:tblPr/>
      <w:tcPr>
        <w:shd w:val="clear" w:color="auto" w:fill="F40009" w:themeFill="accent3"/>
      </w:tcPr>
    </w:tblStylePr>
    <w:tblStylePr w:type="lastRow">
      <w:pPr>
        <w:spacing w:before="0" w:after="0" w:line="240" w:lineRule="auto"/>
      </w:pPr>
      <w:rPr>
        <w:b/>
        <w:bCs/>
      </w:rPr>
      <w:tblPr/>
      <w:tcPr>
        <w:tcBorders>
          <w:top w:val="double" w:sz="6" w:space="0" w:color="F40009" w:themeColor="accent3"/>
          <w:left w:val="single" w:sz="8" w:space="0" w:color="F40009" w:themeColor="accent3"/>
          <w:bottom w:val="single" w:sz="8" w:space="0" w:color="F40009" w:themeColor="accent3"/>
          <w:right w:val="single" w:sz="8" w:space="0" w:color="F40009" w:themeColor="accent3"/>
        </w:tcBorders>
      </w:tcPr>
    </w:tblStylePr>
    <w:tblStylePr w:type="firstCol">
      <w:rPr>
        <w:b/>
        <w:bCs/>
      </w:rPr>
    </w:tblStylePr>
    <w:tblStylePr w:type="lastCol">
      <w:rPr>
        <w:b/>
        <w:bCs/>
      </w:rPr>
    </w:tblStylePr>
    <w:tblStylePr w:type="band1Vert">
      <w:tblPr/>
      <w:tcPr>
        <w:tcBorders>
          <w:top w:val="single" w:sz="8" w:space="0" w:color="F40009" w:themeColor="accent3"/>
          <w:left w:val="single" w:sz="8" w:space="0" w:color="F40009" w:themeColor="accent3"/>
          <w:bottom w:val="single" w:sz="8" w:space="0" w:color="F40009" w:themeColor="accent3"/>
          <w:right w:val="single" w:sz="8" w:space="0" w:color="F40009" w:themeColor="accent3"/>
        </w:tcBorders>
      </w:tcPr>
    </w:tblStylePr>
    <w:tblStylePr w:type="band1Horz">
      <w:tblPr/>
      <w:tcPr>
        <w:tcBorders>
          <w:top w:val="single" w:sz="8" w:space="0" w:color="F40009" w:themeColor="accent3"/>
          <w:left w:val="single" w:sz="8" w:space="0" w:color="F40009" w:themeColor="accent3"/>
          <w:bottom w:val="single" w:sz="8" w:space="0" w:color="F40009" w:themeColor="accent3"/>
          <w:right w:val="single" w:sz="8" w:space="0" w:color="F4000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40009" w:themeColor="accent4"/>
        <w:left w:val="single" w:sz="8" w:space="0" w:color="F40009" w:themeColor="accent4"/>
        <w:bottom w:val="single" w:sz="8" w:space="0" w:color="F40009" w:themeColor="accent4"/>
        <w:right w:val="single" w:sz="8" w:space="0" w:color="F40009" w:themeColor="accent4"/>
      </w:tblBorders>
    </w:tblPr>
    <w:tblStylePr w:type="firstRow">
      <w:pPr>
        <w:spacing w:before="0" w:after="0" w:line="240" w:lineRule="auto"/>
      </w:pPr>
      <w:rPr>
        <w:b/>
        <w:bCs/>
        <w:color w:val="FFFFFF" w:themeColor="background1"/>
      </w:rPr>
      <w:tblPr/>
      <w:tcPr>
        <w:shd w:val="clear" w:color="auto" w:fill="F40009" w:themeFill="accent4"/>
      </w:tcPr>
    </w:tblStylePr>
    <w:tblStylePr w:type="lastRow">
      <w:pPr>
        <w:spacing w:before="0" w:after="0" w:line="240" w:lineRule="auto"/>
      </w:pPr>
      <w:rPr>
        <w:b/>
        <w:bCs/>
      </w:rPr>
      <w:tblPr/>
      <w:tcPr>
        <w:tcBorders>
          <w:top w:val="double" w:sz="6" w:space="0" w:color="F40009" w:themeColor="accent4"/>
          <w:left w:val="single" w:sz="8" w:space="0" w:color="F40009" w:themeColor="accent4"/>
          <w:bottom w:val="single" w:sz="8" w:space="0" w:color="F40009" w:themeColor="accent4"/>
          <w:right w:val="single" w:sz="8" w:space="0" w:color="F40009" w:themeColor="accent4"/>
        </w:tcBorders>
      </w:tcPr>
    </w:tblStylePr>
    <w:tblStylePr w:type="firstCol">
      <w:rPr>
        <w:b/>
        <w:bCs/>
      </w:rPr>
    </w:tblStylePr>
    <w:tblStylePr w:type="lastCol">
      <w:rPr>
        <w:b/>
        <w:bCs/>
      </w:rPr>
    </w:tblStylePr>
    <w:tblStylePr w:type="band1Vert">
      <w:tblPr/>
      <w:tcPr>
        <w:tcBorders>
          <w:top w:val="single" w:sz="8" w:space="0" w:color="F40009" w:themeColor="accent4"/>
          <w:left w:val="single" w:sz="8" w:space="0" w:color="F40009" w:themeColor="accent4"/>
          <w:bottom w:val="single" w:sz="8" w:space="0" w:color="F40009" w:themeColor="accent4"/>
          <w:right w:val="single" w:sz="8" w:space="0" w:color="F40009" w:themeColor="accent4"/>
        </w:tcBorders>
      </w:tcPr>
    </w:tblStylePr>
    <w:tblStylePr w:type="band1Horz">
      <w:tblPr/>
      <w:tcPr>
        <w:tcBorders>
          <w:top w:val="single" w:sz="8" w:space="0" w:color="F40009" w:themeColor="accent4"/>
          <w:left w:val="single" w:sz="8" w:space="0" w:color="F40009" w:themeColor="accent4"/>
          <w:bottom w:val="single" w:sz="8" w:space="0" w:color="F40009" w:themeColor="accent4"/>
          <w:right w:val="single" w:sz="8" w:space="0" w:color="F40009"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F40009" w:themeColor="accent5"/>
        <w:left w:val="single" w:sz="8" w:space="0" w:color="F40009" w:themeColor="accent5"/>
        <w:bottom w:val="single" w:sz="8" w:space="0" w:color="F40009" w:themeColor="accent5"/>
        <w:right w:val="single" w:sz="8" w:space="0" w:color="F40009" w:themeColor="accent5"/>
      </w:tblBorders>
    </w:tblPr>
    <w:tblStylePr w:type="firstRow">
      <w:pPr>
        <w:spacing w:before="0" w:after="0" w:line="240" w:lineRule="auto"/>
      </w:pPr>
      <w:rPr>
        <w:b/>
        <w:bCs/>
        <w:color w:val="FFFFFF" w:themeColor="background1"/>
      </w:rPr>
      <w:tblPr/>
      <w:tcPr>
        <w:shd w:val="clear" w:color="auto" w:fill="F40009" w:themeFill="accent5"/>
      </w:tcPr>
    </w:tblStylePr>
    <w:tblStylePr w:type="lastRow">
      <w:pPr>
        <w:spacing w:before="0" w:after="0" w:line="240" w:lineRule="auto"/>
      </w:pPr>
      <w:rPr>
        <w:b/>
        <w:bCs/>
      </w:rPr>
      <w:tblPr/>
      <w:tcPr>
        <w:tcBorders>
          <w:top w:val="double" w:sz="6" w:space="0" w:color="F40009" w:themeColor="accent5"/>
          <w:left w:val="single" w:sz="8" w:space="0" w:color="F40009" w:themeColor="accent5"/>
          <w:bottom w:val="single" w:sz="8" w:space="0" w:color="F40009" w:themeColor="accent5"/>
          <w:right w:val="single" w:sz="8" w:space="0" w:color="F40009" w:themeColor="accent5"/>
        </w:tcBorders>
      </w:tcPr>
    </w:tblStylePr>
    <w:tblStylePr w:type="firstCol">
      <w:rPr>
        <w:b/>
        <w:bCs/>
      </w:rPr>
    </w:tblStylePr>
    <w:tblStylePr w:type="lastCol">
      <w:rPr>
        <w:b/>
        <w:bCs/>
      </w:rPr>
    </w:tblStylePr>
    <w:tblStylePr w:type="band1Vert">
      <w:tblPr/>
      <w:tcPr>
        <w:tcBorders>
          <w:top w:val="single" w:sz="8" w:space="0" w:color="F40009" w:themeColor="accent5"/>
          <w:left w:val="single" w:sz="8" w:space="0" w:color="F40009" w:themeColor="accent5"/>
          <w:bottom w:val="single" w:sz="8" w:space="0" w:color="F40009" w:themeColor="accent5"/>
          <w:right w:val="single" w:sz="8" w:space="0" w:color="F40009" w:themeColor="accent5"/>
        </w:tcBorders>
      </w:tcPr>
    </w:tblStylePr>
    <w:tblStylePr w:type="band1Horz">
      <w:tblPr/>
      <w:tcPr>
        <w:tcBorders>
          <w:top w:val="single" w:sz="8" w:space="0" w:color="F40009" w:themeColor="accent5"/>
          <w:left w:val="single" w:sz="8" w:space="0" w:color="F40009" w:themeColor="accent5"/>
          <w:bottom w:val="single" w:sz="8" w:space="0" w:color="F40009" w:themeColor="accent5"/>
          <w:right w:val="single" w:sz="8" w:space="0" w:color="F40009"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40009" w:themeColor="accent6"/>
        <w:left w:val="single" w:sz="8" w:space="0" w:color="F40009" w:themeColor="accent6"/>
        <w:bottom w:val="single" w:sz="8" w:space="0" w:color="F40009" w:themeColor="accent6"/>
        <w:right w:val="single" w:sz="8" w:space="0" w:color="F40009" w:themeColor="accent6"/>
      </w:tblBorders>
    </w:tblPr>
    <w:tblStylePr w:type="firstRow">
      <w:pPr>
        <w:spacing w:before="0" w:after="0" w:line="240" w:lineRule="auto"/>
      </w:pPr>
      <w:rPr>
        <w:b/>
        <w:bCs/>
        <w:color w:val="FFFFFF" w:themeColor="background1"/>
      </w:rPr>
      <w:tblPr/>
      <w:tcPr>
        <w:shd w:val="clear" w:color="auto" w:fill="F40009" w:themeFill="accent6"/>
      </w:tcPr>
    </w:tblStylePr>
    <w:tblStylePr w:type="lastRow">
      <w:pPr>
        <w:spacing w:before="0" w:after="0" w:line="240" w:lineRule="auto"/>
      </w:pPr>
      <w:rPr>
        <w:b/>
        <w:bCs/>
      </w:rPr>
      <w:tblPr/>
      <w:tcPr>
        <w:tcBorders>
          <w:top w:val="double" w:sz="6" w:space="0" w:color="F40009" w:themeColor="accent6"/>
          <w:left w:val="single" w:sz="8" w:space="0" w:color="F40009" w:themeColor="accent6"/>
          <w:bottom w:val="single" w:sz="8" w:space="0" w:color="F40009" w:themeColor="accent6"/>
          <w:right w:val="single" w:sz="8" w:space="0" w:color="F40009" w:themeColor="accent6"/>
        </w:tcBorders>
      </w:tcPr>
    </w:tblStylePr>
    <w:tblStylePr w:type="firstCol">
      <w:rPr>
        <w:b/>
        <w:bCs/>
      </w:rPr>
    </w:tblStylePr>
    <w:tblStylePr w:type="lastCol">
      <w:rPr>
        <w:b/>
        <w:bCs/>
      </w:rPr>
    </w:tblStylePr>
    <w:tblStylePr w:type="band1Vert">
      <w:tblPr/>
      <w:tcPr>
        <w:tcBorders>
          <w:top w:val="single" w:sz="8" w:space="0" w:color="F40009" w:themeColor="accent6"/>
          <w:left w:val="single" w:sz="8" w:space="0" w:color="F40009" w:themeColor="accent6"/>
          <w:bottom w:val="single" w:sz="8" w:space="0" w:color="F40009" w:themeColor="accent6"/>
          <w:right w:val="single" w:sz="8" w:space="0" w:color="F40009" w:themeColor="accent6"/>
        </w:tcBorders>
      </w:tcPr>
    </w:tblStylePr>
    <w:tblStylePr w:type="band1Horz">
      <w:tblPr/>
      <w:tcPr>
        <w:tcBorders>
          <w:top w:val="single" w:sz="8" w:space="0" w:color="F40009" w:themeColor="accent6"/>
          <w:left w:val="single" w:sz="8" w:space="0" w:color="F40009" w:themeColor="accent6"/>
          <w:bottom w:val="single" w:sz="8" w:space="0" w:color="F40009" w:themeColor="accent6"/>
          <w:right w:val="single" w:sz="8" w:space="0" w:color="F40009"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455560" w:themeColor="text1"/>
        <w:left w:val="single" w:sz="8" w:space="0" w:color="455560" w:themeColor="text1"/>
        <w:bottom w:val="single" w:sz="8" w:space="0" w:color="455560" w:themeColor="text1"/>
        <w:right w:val="single" w:sz="8" w:space="0" w:color="455560" w:themeColor="text1"/>
        <w:insideH w:val="single" w:sz="8" w:space="0" w:color="455560" w:themeColor="text1"/>
        <w:insideV w:val="single" w:sz="8" w:space="0" w:color="45556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55560" w:themeColor="text1"/>
          <w:left w:val="single" w:sz="8" w:space="0" w:color="455560" w:themeColor="text1"/>
          <w:bottom w:val="single" w:sz="18" w:space="0" w:color="455560" w:themeColor="text1"/>
          <w:right w:val="single" w:sz="8" w:space="0" w:color="455560" w:themeColor="text1"/>
          <w:insideH w:val="nil"/>
          <w:insideV w:val="single" w:sz="8" w:space="0" w:color="45556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55560" w:themeColor="text1"/>
          <w:left w:val="single" w:sz="8" w:space="0" w:color="455560" w:themeColor="text1"/>
          <w:bottom w:val="single" w:sz="8" w:space="0" w:color="455560" w:themeColor="text1"/>
          <w:right w:val="single" w:sz="8" w:space="0" w:color="455560" w:themeColor="text1"/>
          <w:insideH w:val="nil"/>
          <w:insideV w:val="single" w:sz="8" w:space="0" w:color="45556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55560" w:themeColor="text1"/>
          <w:left w:val="single" w:sz="8" w:space="0" w:color="455560" w:themeColor="text1"/>
          <w:bottom w:val="single" w:sz="8" w:space="0" w:color="455560" w:themeColor="text1"/>
          <w:right w:val="single" w:sz="8" w:space="0" w:color="455560" w:themeColor="text1"/>
        </w:tcBorders>
      </w:tcPr>
    </w:tblStylePr>
    <w:tblStylePr w:type="band1Vert">
      <w:tblPr/>
      <w:tcPr>
        <w:tcBorders>
          <w:top w:val="single" w:sz="8" w:space="0" w:color="455560" w:themeColor="text1"/>
          <w:left w:val="single" w:sz="8" w:space="0" w:color="455560" w:themeColor="text1"/>
          <w:bottom w:val="single" w:sz="8" w:space="0" w:color="455560" w:themeColor="text1"/>
          <w:right w:val="single" w:sz="8" w:space="0" w:color="455560" w:themeColor="text1"/>
        </w:tcBorders>
        <w:shd w:val="clear" w:color="auto" w:fill="CDD5DB" w:themeFill="text1" w:themeFillTint="3F"/>
      </w:tcPr>
    </w:tblStylePr>
    <w:tblStylePr w:type="band1Horz">
      <w:tblPr/>
      <w:tcPr>
        <w:tcBorders>
          <w:top w:val="single" w:sz="8" w:space="0" w:color="455560" w:themeColor="text1"/>
          <w:left w:val="single" w:sz="8" w:space="0" w:color="455560" w:themeColor="text1"/>
          <w:bottom w:val="single" w:sz="8" w:space="0" w:color="455560" w:themeColor="text1"/>
          <w:right w:val="single" w:sz="8" w:space="0" w:color="455560" w:themeColor="text1"/>
          <w:insideV w:val="single" w:sz="8" w:space="0" w:color="455560" w:themeColor="text1"/>
        </w:tcBorders>
        <w:shd w:val="clear" w:color="auto" w:fill="CDD5DB" w:themeFill="text1" w:themeFillTint="3F"/>
      </w:tcPr>
    </w:tblStylePr>
    <w:tblStylePr w:type="band2Horz">
      <w:tblPr/>
      <w:tcPr>
        <w:tcBorders>
          <w:top w:val="single" w:sz="8" w:space="0" w:color="455560" w:themeColor="text1"/>
          <w:left w:val="single" w:sz="8" w:space="0" w:color="455560" w:themeColor="text1"/>
          <w:bottom w:val="single" w:sz="8" w:space="0" w:color="455560" w:themeColor="text1"/>
          <w:right w:val="single" w:sz="8" w:space="0" w:color="455560" w:themeColor="text1"/>
          <w:insideV w:val="single" w:sz="8" w:space="0" w:color="45556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40009" w:themeColor="accent1"/>
        <w:left w:val="single" w:sz="8" w:space="0" w:color="F40009" w:themeColor="accent1"/>
        <w:bottom w:val="single" w:sz="8" w:space="0" w:color="F40009" w:themeColor="accent1"/>
        <w:right w:val="single" w:sz="8" w:space="0" w:color="F40009" w:themeColor="accent1"/>
        <w:insideH w:val="single" w:sz="8" w:space="0" w:color="F40009" w:themeColor="accent1"/>
        <w:insideV w:val="single" w:sz="8" w:space="0" w:color="F4000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40009" w:themeColor="accent1"/>
          <w:left w:val="single" w:sz="8" w:space="0" w:color="F40009" w:themeColor="accent1"/>
          <w:bottom w:val="single" w:sz="18" w:space="0" w:color="F40009" w:themeColor="accent1"/>
          <w:right w:val="single" w:sz="8" w:space="0" w:color="F40009" w:themeColor="accent1"/>
          <w:insideH w:val="nil"/>
          <w:insideV w:val="single" w:sz="8" w:space="0" w:color="F4000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40009" w:themeColor="accent1"/>
          <w:left w:val="single" w:sz="8" w:space="0" w:color="F40009" w:themeColor="accent1"/>
          <w:bottom w:val="single" w:sz="8" w:space="0" w:color="F40009" w:themeColor="accent1"/>
          <w:right w:val="single" w:sz="8" w:space="0" w:color="F40009" w:themeColor="accent1"/>
          <w:insideH w:val="nil"/>
          <w:insideV w:val="single" w:sz="8" w:space="0" w:color="F4000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40009" w:themeColor="accent1"/>
          <w:left w:val="single" w:sz="8" w:space="0" w:color="F40009" w:themeColor="accent1"/>
          <w:bottom w:val="single" w:sz="8" w:space="0" w:color="F40009" w:themeColor="accent1"/>
          <w:right w:val="single" w:sz="8" w:space="0" w:color="F40009" w:themeColor="accent1"/>
        </w:tcBorders>
      </w:tcPr>
    </w:tblStylePr>
    <w:tblStylePr w:type="band1Vert">
      <w:tblPr/>
      <w:tcPr>
        <w:tcBorders>
          <w:top w:val="single" w:sz="8" w:space="0" w:color="F40009" w:themeColor="accent1"/>
          <w:left w:val="single" w:sz="8" w:space="0" w:color="F40009" w:themeColor="accent1"/>
          <w:bottom w:val="single" w:sz="8" w:space="0" w:color="F40009" w:themeColor="accent1"/>
          <w:right w:val="single" w:sz="8" w:space="0" w:color="F40009" w:themeColor="accent1"/>
        </w:tcBorders>
        <w:shd w:val="clear" w:color="auto" w:fill="FFBDBF" w:themeFill="accent1" w:themeFillTint="3F"/>
      </w:tcPr>
    </w:tblStylePr>
    <w:tblStylePr w:type="band1Horz">
      <w:tblPr/>
      <w:tcPr>
        <w:tcBorders>
          <w:top w:val="single" w:sz="8" w:space="0" w:color="F40009" w:themeColor="accent1"/>
          <w:left w:val="single" w:sz="8" w:space="0" w:color="F40009" w:themeColor="accent1"/>
          <w:bottom w:val="single" w:sz="8" w:space="0" w:color="F40009" w:themeColor="accent1"/>
          <w:right w:val="single" w:sz="8" w:space="0" w:color="F40009" w:themeColor="accent1"/>
          <w:insideV w:val="single" w:sz="8" w:space="0" w:color="F40009" w:themeColor="accent1"/>
        </w:tcBorders>
        <w:shd w:val="clear" w:color="auto" w:fill="FFBDBF" w:themeFill="accent1" w:themeFillTint="3F"/>
      </w:tcPr>
    </w:tblStylePr>
    <w:tblStylePr w:type="band2Horz">
      <w:tblPr/>
      <w:tcPr>
        <w:tcBorders>
          <w:top w:val="single" w:sz="8" w:space="0" w:color="F40009" w:themeColor="accent1"/>
          <w:left w:val="single" w:sz="8" w:space="0" w:color="F40009" w:themeColor="accent1"/>
          <w:bottom w:val="single" w:sz="8" w:space="0" w:color="F40009" w:themeColor="accent1"/>
          <w:right w:val="single" w:sz="8" w:space="0" w:color="F40009" w:themeColor="accent1"/>
          <w:insideV w:val="single" w:sz="8" w:space="0" w:color="F40009"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808285" w:themeColor="accent2"/>
        <w:left w:val="single" w:sz="8" w:space="0" w:color="808285" w:themeColor="accent2"/>
        <w:bottom w:val="single" w:sz="8" w:space="0" w:color="808285" w:themeColor="accent2"/>
        <w:right w:val="single" w:sz="8" w:space="0" w:color="808285" w:themeColor="accent2"/>
        <w:insideH w:val="single" w:sz="8" w:space="0" w:color="808285" w:themeColor="accent2"/>
        <w:insideV w:val="single" w:sz="8" w:space="0" w:color="80828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285" w:themeColor="accent2"/>
          <w:left w:val="single" w:sz="8" w:space="0" w:color="808285" w:themeColor="accent2"/>
          <w:bottom w:val="single" w:sz="18" w:space="0" w:color="808285" w:themeColor="accent2"/>
          <w:right w:val="single" w:sz="8" w:space="0" w:color="808285" w:themeColor="accent2"/>
          <w:insideH w:val="nil"/>
          <w:insideV w:val="single" w:sz="8" w:space="0" w:color="80828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285" w:themeColor="accent2"/>
          <w:left w:val="single" w:sz="8" w:space="0" w:color="808285" w:themeColor="accent2"/>
          <w:bottom w:val="single" w:sz="8" w:space="0" w:color="808285" w:themeColor="accent2"/>
          <w:right w:val="single" w:sz="8" w:space="0" w:color="808285" w:themeColor="accent2"/>
          <w:insideH w:val="nil"/>
          <w:insideV w:val="single" w:sz="8" w:space="0" w:color="80828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285" w:themeColor="accent2"/>
          <w:left w:val="single" w:sz="8" w:space="0" w:color="808285" w:themeColor="accent2"/>
          <w:bottom w:val="single" w:sz="8" w:space="0" w:color="808285" w:themeColor="accent2"/>
          <w:right w:val="single" w:sz="8" w:space="0" w:color="808285" w:themeColor="accent2"/>
        </w:tcBorders>
      </w:tcPr>
    </w:tblStylePr>
    <w:tblStylePr w:type="band1Vert">
      <w:tblPr/>
      <w:tcPr>
        <w:tcBorders>
          <w:top w:val="single" w:sz="8" w:space="0" w:color="808285" w:themeColor="accent2"/>
          <w:left w:val="single" w:sz="8" w:space="0" w:color="808285" w:themeColor="accent2"/>
          <w:bottom w:val="single" w:sz="8" w:space="0" w:color="808285" w:themeColor="accent2"/>
          <w:right w:val="single" w:sz="8" w:space="0" w:color="808285" w:themeColor="accent2"/>
        </w:tcBorders>
        <w:shd w:val="clear" w:color="auto" w:fill="DFE0E0" w:themeFill="accent2" w:themeFillTint="3F"/>
      </w:tcPr>
    </w:tblStylePr>
    <w:tblStylePr w:type="band1Horz">
      <w:tblPr/>
      <w:tcPr>
        <w:tcBorders>
          <w:top w:val="single" w:sz="8" w:space="0" w:color="808285" w:themeColor="accent2"/>
          <w:left w:val="single" w:sz="8" w:space="0" w:color="808285" w:themeColor="accent2"/>
          <w:bottom w:val="single" w:sz="8" w:space="0" w:color="808285" w:themeColor="accent2"/>
          <w:right w:val="single" w:sz="8" w:space="0" w:color="808285" w:themeColor="accent2"/>
          <w:insideV w:val="single" w:sz="8" w:space="0" w:color="808285" w:themeColor="accent2"/>
        </w:tcBorders>
        <w:shd w:val="clear" w:color="auto" w:fill="DFE0E0" w:themeFill="accent2" w:themeFillTint="3F"/>
      </w:tcPr>
    </w:tblStylePr>
    <w:tblStylePr w:type="band2Horz">
      <w:tblPr/>
      <w:tcPr>
        <w:tcBorders>
          <w:top w:val="single" w:sz="8" w:space="0" w:color="808285" w:themeColor="accent2"/>
          <w:left w:val="single" w:sz="8" w:space="0" w:color="808285" w:themeColor="accent2"/>
          <w:bottom w:val="single" w:sz="8" w:space="0" w:color="808285" w:themeColor="accent2"/>
          <w:right w:val="single" w:sz="8" w:space="0" w:color="808285" w:themeColor="accent2"/>
          <w:insideV w:val="single" w:sz="8" w:space="0" w:color="808285"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F40009" w:themeColor="accent3"/>
        <w:left w:val="single" w:sz="8" w:space="0" w:color="F40009" w:themeColor="accent3"/>
        <w:bottom w:val="single" w:sz="8" w:space="0" w:color="F40009" w:themeColor="accent3"/>
        <w:right w:val="single" w:sz="8" w:space="0" w:color="F40009" w:themeColor="accent3"/>
        <w:insideH w:val="single" w:sz="8" w:space="0" w:color="F40009" w:themeColor="accent3"/>
        <w:insideV w:val="single" w:sz="8" w:space="0" w:color="F400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40009" w:themeColor="accent3"/>
          <w:left w:val="single" w:sz="8" w:space="0" w:color="F40009" w:themeColor="accent3"/>
          <w:bottom w:val="single" w:sz="18" w:space="0" w:color="F40009" w:themeColor="accent3"/>
          <w:right w:val="single" w:sz="8" w:space="0" w:color="F40009" w:themeColor="accent3"/>
          <w:insideH w:val="nil"/>
          <w:insideV w:val="single" w:sz="8" w:space="0" w:color="F4000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40009" w:themeColor="accent3"/>
          <w:left w:val="single" w:sz="8" w:space="0" w:color="F40009" w:themeColor="accent3"/>
          <w:bottom w:val="single" w:sz="8" w:space="0" w:color="F40009" w:themeColor="accent3"/>
          <w:right w:val="single" w:sz="8" w:space="0" w:color="F40009" w:themeColor="accent3"/>
          <w:insideH w:val="nil"/>
          <w:insideV w:val="single" w:sz="8" w:space="0" w:color="F4000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40009" w:themeColor="accent3"/>
          <w:left w:val="single" w:sz="8" w:space="0" w:color="F40009" w:themeColor="accent3"/>
          <w:bottom w:val="single" w:sz="8" w:space="0" w:color="F40009" w:themeColor="accent3"/>
          <w:right w:val="single" w:sz="8" w:space="0" w:color="F40009" w:themeColor="accent3"/>
        </w:tcBorders>
      </w:tcPr>
    </w:tblStylePr>
    <w:tblStylePr w:type="band1Vert">
      <w:tblPr/>
      <w:tcPr>
        <w:tcBorders>
          <w:top w:val="single" w:sz="8" w:space="0" w:color="F40009" w:themeColor="accent3"/>
          <w:left w:val="single" w:sz="8" w:space="0" w:color="F40009" w:themeColor="accent3"/>
          <w:bottom w:val="single" w:sz="8" w:space="0" w:color="F40009" w:themeColor="accent3"/>
          <w:right w:val="single" w:sz="8" w:space="0" w:color="F40009" w:themeColor="accent3"/>
        </w:tcBorders>
        <w:shd w:val="clear" w:color="auto" w:fill="FFBDBF" w:themeFill="accent3" w:themeFillTint="3F"/>
      </w:tcPr>
    </w:tblStylePr>
    <w:tblStylePr w:type="band1Horz">
      <w:tblPr/>
      <w:tcPr>
        <w:tcBorders>
          <w:top w:val="single" w:sz="8" w:space="0" w:color="F40009" w:themeColor="accent3"/>
          <w:left w:val="single" w:sz="8" w:space="0" w:color="F40009" w:themeColor="accent3"/>
          <w:bottom w:val="single" w:sz="8" w:space="0" w:color="F40009" w:themeColor="accent3"/>
          <w:right w:val="single" w:sz="8" w:space="0" w:color="F40009" w:themeColor="accent3"/>
          <w:insideV w:val="single" w:sz="8" w:space="0" w:color="F40009" w:themeColor="accent3"/>
        </w:tcBorders>
        <w:shd w:val="clear" w:color="auto" w:fill="FFBDBF" w:themeFill="accent3" w:themeFillTint="3F"/>
      </w:tcPr>
    </w:tblStylePr>
    <w:tblStylePr w:type="band2Horz">
      <w:tblPr/>
      <w:tcPr>
        <w:tcBorders>
          <w:top w:val="single" w:sz="8" w:space="0" w:color="F40009" w:themeColor="accent3"/>
          <w:left w:val="single" w:sz="8" w:space="0" w:color="F40009" w:themeColor="accent3"/>
          <w:bottom w:val="single" w:sz="8" w:space="0" w:color="F40009" w:themeColor="accent3"/>
          <w:right w:val="single" w:sz="8" w:space="0" w:color="F40009" w:themeColor="accent3"/>
          <w:insideV w:val="single" w:sz="8" w:space="0" w:color="F4000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40009" w:themeColor="accent4"/>
        <w:left w:val="single" w:sz="8" w:space="0" w:color="F40009" w:themeColor="accent4"/>
        <w:bottom w:val="single" w:sz="8" w:space="0" w:color="F40009" w:themeColor="accent4"/>
        <w:right w:val="single" w:sz="8" w:space="0" w:color="F40009" w:themeColor="accent4"/>
        <w:insideH w:val="single" w:sz="8" w:space="0" w:color="F40009" w:themeColor="accent4"/>
        <w:insideV w:val="single" w:sz="8" w:space="0" w:color="F4000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40009" w:themeColor="accent4"/>
          <w:left w:val="single" w:sz="8" w:space="0" w:color="F40009" w:themeColor="accent4"/>
          <w:bottom w:val="single" w:sz="18" w:space="0" w:color="F40009" w:themeColor="accent4"/>
          <w:right w:val="single" w:sz="8" w:space="0" w:color="F40009" w:themeColor="accent4"/>
          <w:insideH w:val="nil"/>
          <w:insideV w:val="single" w:sz="8" w:space="0" w:color="F4000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40009" w:themeColor="accent4"/>
          <w:left w:val="single" w:sz="8" w:space="0" w:color="F40009" w:themeColor="accent4"/>
          <w:bottom w:val="single" w:sz="8" w:space="0" w:color="F40009" w:themeColor="accent4"/>
          <w:right w:val="single" w:sz="8" w:space="0" w:color="F40009" w:themeColor="accent4"/>
          <w:insideH w:val="nil"/>
          <w:insideV w:val="single" w:sz="8" w:space="0" w:color="F4000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40009" w:themeColor="accent4"/>
          <w:left w:val="single" w:sz="8" w:space="0" w:color="F40009" w:themeColor="accent4"/>
          <w:bottom w:val="single" w:sz="8" w:space="0" w:color="F40009" w:themeColor="accent4"/>
          <w:right w:val="single" w:sz="8" w:space="0" w:color="F40009" w:themeColor="accent4"/>
        </w:tcBorders>
      </w:tcPr>
    </w:tblStylePr>
    <w:tblStylePr w:type="band1Vert">
      <w:tblPr/>
      <w:tcPr>
        <w:tcBorders>
          <w:top w:val="single" w:sz="8" w:space="0" w:color="F40009" w:themeColor="accent4"/>
          <w:left w:val="single" w:sz="8" w:space="0" w:color="F40009" w:themeColor="accent4"/>
          <w:bottom w:val="single" w:sz="8" w:space="0" w:color="F40009" w:themeColor="accent4"/>
          <w:right w:val="single" w:sz="8" w:space="0" w:color="F40009" w:themeColor="accent4"/>
        </w:tcBorders>
        <w:shd w:val="clear" w:color="auto" w:fill="FFBDBF" w:themeFill="accent4" w:themeFillTint="3F"/>
      </w:tcPr>
    </w:tblStylePr>
    <w:tblStylePr w:type="band1Horz">
      <w:tblPr/>
      <w:tcPr>
        <w:tcBorders>
          <w:top w:val="single" w:sz="8" w:space="0" w:color="F40009" w:themeColor="accent4"/>
          <w:left w:val="single" w:sz="8" w:space="0" w:color="F40009" w:themeColor="accent4"/>
          <w:bottom w:val="single" w:sz="8" w:space="0" w:color="F40009" w:themeColor="accent4"/>
          <w:right w:val="single" w:sz="8" w:space="0" w:color="F40009" w:themeColor="accent4"/>
          <w:insideV w:val="single" w:sz="8" w:space="0" w:color="F40009" w:themeColor="accent4"/>
        </w:tcBorders>
        <w:shd w:val="clear" w:color="auto" w:fill="FFBDBF" w:themeFill="accent4" w:themeFillTint="3F"/>
      </w:tcPr>
    </w:tblStylePr>
    <w:tblStylePr w:type="band2Horz">
      <w:tblPr/>
      <w:tcPr>
        <w:tcBorders>
          <w:top w:val="single" w:sz="8" w:space="0" w:color="F40009" w:themeColor="accent4"/>
          <w:left w:val="single" w:sz="8" w:space="0" w:color="F40009" w:themeColor="accent4"/>
          <w:bottom w:val="single" w:sz="8" w:space="0" w:color="F40009" w:themeColor="accent4"/>
          <w:right w:val="single" w:sz="8" w:space="0" w:color="F40009" w:themeColor="accent4"/>
          <w:insideV w:val="single" w:sz="8" w:space="0" w:color="F40009"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F40009" w:themeColor="accent5"/>
        <w:left w:val="single" w:sz="8" w:space="0" w:color="F40009" w:themeColor="accent5"/>
        <w:bottom w:val="single" w:sz="8" w:space="0" w:color="F40009" w:themeColor="accent5"/>
        <w:right w:val="single" w:sz="8" w:space="0" w:color="F40009" w:themeColor="accent5"/>
        <w:insideH w:val="single" w:sz="8" w:space="0" w:color="F40009" w:themeColor="accent5"/>
        <w:insideV w:val="single" w:sz="8" w:space="0" w:color="F4000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40009" w:themeColor="accent5"/>
          <w:left w:val="single" w:sz="8" w:space="0" w:color="F40009" w:themeColor="accent5"/>
          <w:bottom w:val="single" w:sz="18" w:space="0" w:color="F40009" w:themeColor="accent5"/>
          <w:right w:val="single" w:sz="8" w:space="0" w:color="F40009" w:themeColor="accent5"/>
          <w:insideH w:val="nil"/>
          <w:insideV w:val="single" w:sz="8" w:space="0" w:color="F4000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40009" w:themeColor="accent5"/>
          <w:left w:val="single" w:sz="8" w:space="0" w:color="F40009" w:themeColor="accent5"/>
          <w:bottom w:val="single" w:sz="8" w:space="0" w:color="F40009" w:themeColor="accent5"/>
          <w:right w:val="single" w:sz="8" w:space="0" w:color="F40009" w:themeColor="accent5"/>
          <w:insideH w:val="nil"/>
          <w:insideV w:val="single" w:sz="8" w:space="0" w:color="F4000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40009" w:themeColor="accent5"/>
          <w:left w:val="single" w:sz="8" w:space="0" w:color="F40009" w:themeColor="accent5"/>
          <w:bottom w:val="single" w:sz="8" w:space="0" w:color="F40009" w:themeColor="accent5"/>
          <w:right w:val="single" w:sz="8" w:space="0" w:color="F40009" w:themeColor="accent5"/>
        </w:tcBorders>
      </w:tcPr>
    </w:tblStylePr>
    <w:tblStylePr w:type="band1Vert">
      <w:tblPr/>
      <w:tcPr>
        <w:tcBorders>
          <w:top w:val="single" w:sz="8" w:space="0" w:color="F40009" w:themeColor="accent5"/>
          <w:left w:val="single" w:sz="8" w:space="0" w:color="F40009" w:themeColor="accent5"/>
          <w:bottom w:val="single" w:sz="8" w:space="0" w:color="F40009" w:themeColor="accent5"/>
          <w:right w:val="single" w:sz="8" w:space="0" w:color="F40009" w:themeColor="accent5"/>
        </w:tcBorders>
        <w:shd w:val="clear" w:color="auto" w:fill="FFBDBF" w:themeFill="accent5" w:themeFillTint="3F"/>
      </w:tcPr>
    </w:tblStylePr>
    <w:tblStylePr w:type="band1Horz">
      <w:tblPr/>
      <w:tcPr>
        <w:tcBorders>
          <w:top w:val="single" w:sz="8" w:space="0" w:color="F40009" w:themeColor="accent5"/>
          <w:left w:val="single" w:sz="8" w:space="0" w:color="F40009" w:themeColor="accent5"/>
          <w:bottom w:val="single" w:sz="8" w:space="0" w:color="F40009" w:themeColor="accent5"/>
          <w:right w:val="single" w:sz="8" w:space="0" w:color="F40009" w:themeColor="accent5"/>
          <w:insideV w:val="single" w:sz="8" w:space="0" w:color="F40009" w:themeColor="accent5"/>
        </w:tcBorders>
        <w:shd w:val="clear" w:color="auto" w:fill="FFBDBF" w:themeFill="accent5" w:themeFillTint="3F"/>
      </w:tcPr>
    </w:tblStylePr>
    <w:tblStylePr w:type="band2Horz">
      <w:tblPr/>
      <w:tcPr>
        <w:tcBorders>
          <w:top w:val="single" w:sz="8" w:space="0" w:color="F40009" w:themeColor="accent5"/>
          <w:left w:val="single" w:sz="8" w:space="0" w:color="F40009" w:themeColor="accent5"/>
          <w:bottom w:val="single" w:sz="8" w:space="0" w:color="F40009" w:themeColor="accent5"/>
          <w:right w:val="single" w:sz="8" w:space="0" w:color="F40009" w:themeColor="accent5"/>
          <w:insideV w:val="single" w:sz="8" w:space="0" w:color="F40009"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40009" w:themeColor="accent6"/>
        <w:left w:val="single" w:sz="8" w:space="0" w:color="F40009" w:themeColor="accent6"/>
        <w:bottom w:val="single" w:sz="8" w:space="0" w:color="F40009" w:themeColor="accent6"/>
        <w:right w:val="single" w:sz="8" w:space="0" w:color="F40009" w:themeColor="accent6"/>
        <w:insideH w:val="single" w:sz="8" w:space="0" w:color="F40009" w:themeColor="accent6"/>
        <w:insideV w:val="single" w:sz="8" w:space="0" w:color="F4000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40009" w:themeColor="accent6"/>
          <w:left w:val="single" w:sz="8" w:space="0" w:color="F40009" w:themeColor="accent6"/>
          <w:bottom w:val="single" w:sz="18" w:space="0" w:color="F40009" w:themeColor="accent6"/>
          <w:right w:val="single" w:sz="8" w:space="0" w:color="F40009" w:themeColor="accent6"/>
          <w:insideH w:val="nil"/>
          <w:insideV w:val="single" w:sz="8" w:space="0" w:color="F4000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40009" w:themeColor="accent6"/>
          <w:left w:val="single" w:sz="8" w:space="0" w:color="F40009" w:themeColor="accent6"/>
          <w:bottom w:val="single" w:sz="8" w:space="0" w:color="F40009" w:themeColor="accent6"/>
          <w:right w:val="single" w:sz="8" w:space="0" w:color="F40009" w:themeColor="accent6"/>
          <w:insideH w:val="nil"/>
          <w:insideV w:val="single" w:sz="8" w:space="0" w:color="F4000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40009" w:themeColor="accent6"/>
          <w:left w:val="single" w:sz="8" w:space="0" w:color="F40009" w:themeColor="accent6"/>
          <w:bottom w:val="single" w:sz="8" w:space="0" w:color="F40009" w:themeColor="accent6"/>
          <w:right w:val="single" w:sz="8" w:space="0" w:color="F40009" w:themeColor="accent6"/>
        </w:tcBorders>
      </w:tcPr>
    </w:tblStylePr>
    <w:tblStylePr w:type="band1Vert">
      <w:tblPr/>
      <w:tcPr>
        <w:tcBorders>
          <w:top w:val="single" w:sz="8" w:space="0" w:color="F40009" w:themeColor="accent6"/>
          <w:left w:val="single" w:sz="8" w:space="0" w:color="F40009" w:themeColor="accent6"/>
          <w:bottom w:val="single" w:sz="8" w:space="0" w:color="F40009" w:themeColor="accent6"/>
          <w:right w:val="single" w:sz="8" w:space="0" w:color="F40009" w:themeColor="accent6"/>
        </w:tcBorders>
        <w:shd w:val="clear" w:color="auto" w:fill="FFBDBF" w:themeFill="accent6" w:themeFillTint="3F"/>
      </w:tcPr>
    </w:tblStylePr>
    <w:tblStylePr w:type="band1Horz">
      <w:tblPr/>
      <w:tcPr>
        <w:tcBorders>
          <w:top w:val="single" w:sz="8" w:space="0" w:color="F40009" w:themeColor="accent6"/>
          <w:left w:val="single" w:sz="8" w:space="0" w:color="F40009" w:themeColor="accent6"/>
          <w:bottom w:val="single" w:sz="8" w:space="0" w:color="F40009" w:themeColor="accent6"/>
          <w:right w:val="single" w:sz="8" w:space="0" w:color="F40009" w:themeColor="accent6"/>
          <w:insideV w:val="single" w:sz="8" w:space="0" w:color="F40009" w:themeColor="accent6"/>
        </w:tcBorders>
        <w:shd w:val="clear" w:color="auto" w:fill="FFBDBF" w:themeFill="accent6" w:themeFillTint="3F"/>
      </w:tcPr>
    </w:tblStylePr>
    <w:tblStylePr w:type="band2Horz">
      <w:tblPr/>
      <w:tcPr>
        <w:tcBorders>
          <w:top w:val="single" w:sz="8" w:space="0" w:color="F40009" w:themeColor="accent6"/>
          <w:left w:val="single" w:sz="8" w:space="0" w:color="F40009" w:themeColor="accent6"/>
          <w:bottom w:val="single" w:sz="8" w:space="0" w:color="F40009" w:themeColor="accent6"/>
          <w:right w:val="single" w:sz="8" w:space="0" w:color="F40009" w:themeColor="accent6"/>
          <w:insideV w:val="single" w:sz="8" w:space="0" w:color="F40009"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698192" w:themeColor="text1" w:themeTint="BF"/>
        <w:left w:val="single" w:sz="8" w:space="0" w:color="698192" w:themeColor="text1" w:themeTint="BF"/>
        <w:bottom w:val="single" w:sz="8" w:space="0" w:color="698192" w:themeColor="text1" w:themeTint="BF"/>
        <w:right w:val="single" w:sz="8" w:space="0" w:color="698192" w:themeColor="text1" w:themeTint="BF"/>
        <w:insideH w:val="single" w:sz="8" w:space="0" w:color="698192" w:themeColor="text1" w:themeTint="BF"/>
      </w:tblBorders>
    </w:tblPr>
    <w:tblStylePr w:type="firstRow">
      <w:pPr>
        <w:spacing w:before="0" w:after="0" w:line="240" w:lineRule="auto"/>
      </w:pPr>
      <w:rPr>
        <w:b/>
        <w:bCs/>
        <w:color w:val="FFFFFF" w:themeColor="background1"/>
      </w:rPr>
      <w:tblPr/>
      <w:tcPr>
        <w:tcBorders>
          <w:top w:val="single" w:sz="8" w:space="0" w:color="698192" w:themeColor="text1" w:themeTint="BF"/>
          <w:left w:val="single" w:sz="8" w:space="0" w:color="698192" w:themeColor="text1" w:themeTint="BF"/>
          <w:bottom w:val="single" w:sz="8" w:space="0" w:color="698192" w:themeColor="text1" w:themeTint="BF"/>
          <w:right w:val="single" w:sz="8" w:space="0" w:color="698192" w:themeColor="text1" w:themeTint="BF"/>
          <w:insideH w:val="nil"/>
          <w:insideV w:val="nil"/>
        </w:tcBorders>
        <w:shd w:val="clear" w:color="auto" w:fill="455560" w:themeFill="text1"/>
      </w:tcPr>
    </w:tblStylePr>
    <w:tblStylePr w:type="lastRow">
      <w:pPr>
        <w:spacing w:before="0" w:after="0" w:line="240" w:lineRule="auto"/>
      </w:pPr>
      <w:rPr>
        <w:b/>
        <w:bCs/>
      </w:rPr>
      <w:tblPr/>
      <w:tcPr>
        <w:tcBorders>
          <w:top w:val="double" w:sz="6" w:space="0" w:color="698192" w:themeColor="text1" w:themeTint="BF"/>
          <w:left w:val="single" w:sz="8" w:space="0" w:color="698192" w:themeColor="text1" w:themeTint="BF"/>
          <w:bottom w:val="single" w:sz="8" w:space="0" w:color="698192" w:themeColor="text1" w:themeTint="BF"/>
          <w:right w:val="single" w:sz="8" w:space="0" w:color="698192" w:themeColor="text1" w:themeTint="BF"/>
          <w:insideH w:val="nil"/>
          <w:insideV w:val="nil"/>
        </w:tcBorders>
      </w:tcPr>
    </w:tblStylePr>
    <w:tblStylePr w:type="firstCol">
      <w:rPr>
        <w:b/>
        <w:bCs/>
      </w:rPr>
    </w:tblStylePr>
    <w:tblStylePr w:type="lastCol">
      <w:rPr>
        <w:b/>
        <w:bCs/>
      </w:rPr>
    </w:tblStylePr>
    <w:tblStylePr w:type="band1Vert">
      <w:tblPr/>
      <w:tcPr>
        <w:shd w:val="clear" w:color="auto" w:fill="CDD5DB" w:themeFill="text1" w:themeFillTint="3F"/>
      </w:tcPr>
    </w:tblStylePr>
    <w:tblStylePr w:type="band1Horz">
      <w:tblPr/>
      <w:tcPr>
        <w:tcBorders>
          <w:insideH w:val="nil"/>
          <w:insideV w:val="nil"/>
        </w:tcBorders>
        <w:shd w:val="clear" w:color="auto" w:fill="CDD5D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F373E" w:themeColor="accent1" w:themeTint="BF"/>
        <w:left w:val="single" w:sz="8" w:space="0" w:color="FF373E" w:themeColor="accent1" w:themeTint="BF"/>
        <w:bottom w:val="single" w:sz="8" w:space="0" w:color="FF373E" w:themeColor="accent1" w:themeTint="BF"/>
        <w:right w:val="single" w:sz="8" w:space="0" w:color="FF373E" w:themeColor="accent1" w:themeTint="BF"/>
        <w:insideH w:val="single" w:sz="8" w:space="0" w:color="FF373E" w:themeColor="accent1" w:themeTint="BF"/>
      </w:tblBorders>
    </w:tblPr>
    <w:tblStylePr w:type="firstRow">
      <w:pPr>
        <w:spacing w:before="0" w:after="0" w:line="240" w:lineRule="auto"/>
      </w:pPr>
      <w:rPr>
        <w:b/>
        <w:bCs/>
        <w:color w:val="FFFFFF" w:themeColor="background1"/>
      </w:rPr>
      <w:tblPr/>
      <w:tcPr>
        <w:tcBorders>
          <w:top w:val="single" w:sz="8" w:space="0" w:color="FF373E" w:themeColor="accent1" w:themeTint="BF"/>
          <w:left w:val="single" w:sz="8" w:space="0" w:color="FF373E" w:themeColor="accent1" w:themeTint="BF"/>
          <w:bottom w:val="single" w:sz="8" w:space="0" w:color="FF373E" w:themeColor="accent1" w:themeTint="BF"/>
          <w:right w:val="single" w:sz="8" w:space="0" w:color="FF373E" w:themeColor="accent1" w:themeTint="BF"/>
          <w:insideH w:val="nil"/>
          <w:insideV w:val="nil"/>
        </w:tcBorders>
        <w:shd w:val="clear" w:color="auto" w:fill="F40009" w:themeFill="accent1"/>
      </w:tcPr>
    </w:tblStylePr>
    <w:tblStylePr w:type="lastRow">
      <w:pPr>
        <w:spacing w:before="0" w:after="0" w:line="240" w:lineRule="auto"/>
      </w:pPr>
      <w:rPr>
        <w:b/>
        <w:bCs/>
      </w:rPr>
      <w:tblPr/>
      <w:tcPr>
        <w:tcBorders>
          <w:top w:val="double" w:sz="6" w:space="0" w:color="FF373E" w:themeColor="accent1" w:themeTint="BF"/>
          <w:left w:val="single" w:sz="8" w:space="0" w:color="FF373E" w:themeColor="accent1" w:themeTint="BF"/>
          <w:bottom w:val="single" w:sz="8" w:space="0" w:color="FF373E" w:themeColor="accent1" w:themeTint="BF"/>
          <w:right w:val="single" w:sz="8" w:space="0" w:color="FF373E"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BDBF" w:themeFill="accent1" w:themeFillTint="3F"/>
      </w:tcPr>
    </w:tblStylePr>
    <w:tblStylePr w:type="band1Horz">
      <w:tblPr/>
      <w:tcPr>
        <w:tcBorders>
          <w:insideH w:val="nil"/>
          <w:insideV w:val="nil"/>
        </w:tcBorders>
        <w:shd w:val="clear" w:color="auto" w:fill="FFBDB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9FA1A3" w:themeColor="accent2" w:themeTint="BF"/>
        <w:left w:val="single" w:sz="8" w:space="0" w:color="9FA1A3" w:themeColor="accent2" w:themeTint="BF"/>
        <w:bottom w:val="single" w:sz="8" w:space="0" w:color="9FA1A3" w:themeColor="accent2" w:themeTint="BF"/>
        <w:right w:val="single" w:sz="8" w:space="0" w:color="9FA1A3" w:themeColor="accent2" w:themeTint="BF"/>
        <w:insideH w:val="single" w:sz="8" w:space="0" w:color="9FA1A3" w:themeColor="accent2" w:themeTint="BF"/>
      </w:tblBorders>
    </w:tblPr>
    <w:tblStylePr w:type="firstRow">
      <w:pPr>
        <w:spacing w:before="0" w:after="0" w:line="240" w:lineRule="auto"/>
      </w:pPr>
      <w:rPr>
        <w:b/>
        <w:bCs/>
        <w:color w:val="FFFFFF" w:themeColor="background1"/>
      </w:rPr>
      <w:tblPr/>
      <w:tcPr>
        <w:tcBorders>
          <w:top w:val="single" w:sz="8" w:space="0" w:color="9FA1A3" w:themeColor="accent2" w:themeTint="BF"/>
          <w:left w:val="single" w:sz="8" w:space="0" w:color="9FA1A3" w:themeColor="accent2" w:themeTint="BF"/>
          <w:bottom w:val="single" w:sz="8" w:space="0" w:color="9FA1A3" w:themeColor="accent2" w:themeTint="BF"/>
          <w:right w:val="single" w:sz="8" w:space="0" w:color="9FA1A3" w:themeColor="accent2" w:themeTint="BF"/>
          <w:insideH w:val="nil"/>
          <w:insideV w:val="nil"/>
        </w:tcBorders>
        <w:shd w:val="clear" w:color="auto" w:fill="808285" w:themeFill="accent2"/>
      </w:tcPr>
    </w:tblStylePr>
    <w:tblStylePr w:type="lastRow">
      <w:pPr>
        <w:spacing w:before="0" w:after="0" w:line="240" w:lineRule="auto"/>
      </w:pPr>
      <w:rPr>
        <w:b/>
        <w:bCs/>
      </w:rPr>
      <w:tblPr/>
      <w:tcPr>
        <w:tcBorders>
          <w:top w:val="double" w:sz="6" w:space="0" w:color="9FA1A3" w:themeColor="accent2" w:themeTint="BF"/>
          <w:left w:val="single" w:sz="8" w:space="0" w:color="9FA1A3" w:themeColor="accent2" w:themeTint="BF"/>
          <w:bottom w:val="single" w:sz="8" w:space="0" w:color="9FA1A3" w:themeColor="accent2" w:themeTint="BF"/>
          <w:right w:val="single" w:sz="8" w:space="0" w:color="9FA1A3" w:themeColor="accent2" w:themeTint="BF"/>
          <w:insideH w:val="nil"/>
          <w:insideV w:val="nil"/>
        </w:tcBorders>
      </w:tcPr>
    </w:tblStylePr>
    <w:tblStylePr w:type="firstCol">
      <w:rPr>
        <w:b/>
        <w:bCs/>
      </w:rPr>
    </w:tblStylePr>
    <w:tblStylePr w:type="lastCol">
      <w:rPr>
        <w:b/>
        <w:bCs/>
      </w:rPr>
    </w:tblStylePr>
    <w:tblStylePr w:type="band1Vert">
      <w:tblPr/>
      <w:tcPr>
        <w:shd w:val="clear" w:color="auto" w:fill="DFE0E0" w:themeFill="accent2" w:themeFillTint="3F"/>
      </w:tcPr>
    </w:tblStylePr>
    <w:tblStylePr w:type="band1Horz">
      <w:tblPr/>
      <w:tcPr>
        <w:tcBorders>
          <w:insideH w:val="nil"/>
          <w:insideV w:val="nil"/>
        </w:tcBorders>
        <w:shd w:val="clear" w:color="auto" w:fill="DFE0E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FF373E" w:themeColor="accent3" w:themeTint="BF"/>
        <w:left w:val="single" w:sz="8" w:space="0" w:color="FF373E" w:themeColor="accent3" w:themeTint="BF"/>
        <w:bottom w:val="single" w:sz="8" w:space="0" w:color="FF373E" w:themeColor="accent3" w:themeTint="BF"/>
        <w:right w:val="single" w:sz="8" w:space="0" w:color="FF373E" w:themeColor="accent3" w:themeTint="BF"/>
        <w:insideH w:val="single" w:sz="8" w:space="0" w:color="FF373E" w:themeColor="accent3" w:themeTint="BF"/>
      </w:tblBorders>
    </w:tblPr>
    <w:tblStylePr w:type="firstRow">
      <w:pPr>
        <w:spacing w:before="0" w:after="0" w:line="240" w:lineRule="auto"/>
      </w:pPr>
      <w:rPr>
        <w:b/>
        <w:bCs/>
        <w:color w:val="FFFFFF" w:themeColor="background1"/>
      </w:rPr>
      <w:tblPr/>
      <w:tcPr>
        <w:tcBorders>
          <w:top w:val="single" w:sz="8" w:space="0" w:color="FF373E" w:themeColor="accent3" w:themeTint="BF"/>
          <w:left w:val="single" w:sz="8" w:space="0" w:color="FF373E" w:themeColor="accent3" w:themeTint="BF"/>
          <w:bottom w:val="single" w:sz="8" w:space="0" w:color="FF373E" w:themeColor="accent3" w:themeTint="BF"/>
          <w:right w:val="single" w:sz="8" w:space="0" w:color="FF373E" w:themeColor="accent3" w:themeTint="BF"/>
          <w:insideH w:val="nil"/>
          <w:insideV w:val="nil"/>
        </w:tcBorders>
        <w:shd w:val="clear" w:color="auto" w:fill="F40009" w:themeFill="accent3"/>
      </w:tcPr>
    </w:tblStylePr>
    <w:tblStylePr w:type="lastRow">
      <w:pPr>
        <w:spacing w:before="0" w:after="0" w:line="240" w:lineRule="auto"/>
      </w:pPr>
      <w:rPr>
        <w:b/>
        <w:bCs/>
      </w:rPr>
      <w:tblPr/>
      <w:tcPr>
        <w:tcBorders>
          <w:top w:val="double" w:sz="6" w:space="0" w:color="FF373E" w:themeColor="accent3" w:themeTint="BF"/>
          <w:left w:val="single" w:sz="8" w:space="0" w:color="FF373E" w:themeColor="accent3" w:themeTint="BF"/>
          <w:bottom w:val="single" w:sz="8" w:space="0" w:color="FF373E" w:themeColor="accent3" w:themeTint="BF"/>
          <w:right w:val="single" w:sz="8" w:space="0" w:color="FF373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BDBF" w:themeFill="accent3" w:themeFillTint="3F"/>
      </w:tcPr>
    </w:tblStylePr>
    <w:tblStylePr w:type="band1Horz">
      <w:tblPr/>
      <w:tcPr>
        <w:tcBorders>
          <w:insideH w:val="nil"/>
          <w:insideV w:val="nil"/>
        </w:tcBorders>
        <w:shd w:val="clear" w:color="auto" w:fill="FFBDB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373E" w:themeColor="accent4" w:themeTint="BF"/>
        <w:left w:val="single" w:sz="8" w:space="0" w:color="FF373E" w:themeColor="accent4" w:themeTint="BF"/>
        <w:bottom w:val="single" w:sz="8" w:space="0" w:color="FF373E" w:themeColor="accent4" w:themeTint="BF"/>
        <w:right w:val="single" w:sz="8" w:space="0" w:color="FF373E" w:themeColor="accent4" w:themeTint="BF"/>
        <w:insideH w:val="single" w:sz="8" w:space="0" w:color="FF373E" w:themeColor="accent4" w:themeTint="BF"/>
      </w:tblBorders>
    </w:tblPr>
    <w:tblStylePr w:type="firstRow">
      <w:pPr>
        <w:spacing w:before="0" w:after="0" w:line="240" w:lineRule="auto"/>
      </w:pPr>
      <w:rPr>
        <w:b/>
        <w:bCs/>
        <w:color w:val="FFFFFF" w:themeColor="background1"/>
      </w:rPr>
      <w:tblPr/>
      <w:tcPr>
        <w:tcBorders>
          <w:top w:val="single" w:sz="8" w:space="0" w:color="FF373E" w:themeColor="accent4" w:themeTint="BF"/>
          <w:left w:val="single" w:sz="8" w:space="0" w:color="FF373E" w:themeColor="accent4" w:themeTint="BF"/>
          <w:bottom w:val="single" w:sz="8" w:space="0" w:color="FF373E" w:themeColor="accent4" w:themeTint="BF"/>
          <w:right w:val="single" w:sz="8" w:space="0" w:color="FF373E" w:themeColor="accent4" w:themeTint="BF"/>
          <w:insideH w:val="nil"/>
          <w:insideV w:val="nil"/>
        </w:tcBorders>
        <w:shd w:val="clear" w:color="auto" w:fill="F40009" w:themeFill="accent4"/>
      </w:tcPr>
    </w:tblStylePr>
    <w:tblStylePr w:type="lastRow">
      <w:pPr>
        <w:spacing w:before="0" w:after="0" w:line="240" w:lineRule="auto"/>
      </w:pPr>
      <w:rPr>
        <w:b/>
        <w:bCs/>
      </w:rPr>
      <w:tblPr/>
      <w:tcPr>
        <w:tcBorders>
          <w:top w:val="double" w:sz="6" w:space="0" w:color="FF373E" w:themeColor="accent4" w:themeTint="BF"/>
          <w:left w:val="single" w:sz="8" w:space="0" w:color="FF373E" w:themeColor="accent4" w:themeTint="BF"/>
          <w:bottom w:val="single" w:sz="8" w:space="0" w:color="FF373E" w:themeColor="accent4" w:themeTint="BF"/>
          <w:right w:val="single" w:sz="8" w:space="0" w:color="FF373E"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DBF" w:themeFill="accent4" w:themeFillTint="3F"/>
      </w:tcPr>
    </w:tblStylePr>
    <w:tblStylePr w:type="band1Horz">
      <w:tblPr/>
      <w:tcPr>
        <w:tcBorders>
          <w:insideH w:val="nil"/>
          <w:insideV w:val="nil"/>
        </w:tcBorders>
        <w:shd w:val="clear" w:color="auto" w:fill="FFBDB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FF373E" w:themeColor="accent5" w:themeTint="BF"/>
        <w:left w:val="single" w:sz="8" w:space="0" w:color="FF373E" w:themeColor="accent5" w:themeTint="BF"/>
        <w:bottom w:val="single" w:sz="8" w:space="0" w:color="FF373E" w:themeColor="accent5" w:themeTint="BF"/>
        <w:right w:val="single" w:sz="8" w:space="0" w:color="FF373E" w:themeColor="accent5" w:themeTint="BF"/>
        <w:insideH w:val="single" w:sz="8" w:space="0" w:color="FF373E" w:themeColor="accent5" w:themeTint="BF"/>
      </w:tblBorders>
    </w:tblPr>
    <w:tblStylePr w:type="firstRow">
      <w:pPr>
        <w:spacing w:before="0" w:after="0" w:line="240" w:lineRule="auto"/>
      </w:pPr>
      <w:rPr>
        <w:b/>
        <w:bCs/>
        <w:color w:val="FFFFFF" w:themeColor="background1"/>
      </w:rPr>
      <w:tblPr/>
      <w:tcPr>
        <w:tcBorders>
          <w:top w:val="single" w:sz="8" w:space="0" w:color="FF373E" w:themeColor="accent5" w:themeTint="BF"/>
          <w:left w:val="single" w:sz="8" w:space="0" w:color="FF373E" w:themeColor="accent5" w:themeTint="BF"/>
          <w:bottom w:val="single" w:sz="8" w:space="0" w:color="FF373E" w:themeColor="accent5" w:themeTint="BF"/>
          <w:right w:val="single" w:sz="8" w:space="0" w:color="FF373E" w:themeColor="accent5" w:themeTint="BF"/>
          <w:insideH w:val="nil"/>
          <w:insideV w:val="nil"/>
        </w:tcBorders>
        <w:shd w:val="clear" w:color="auto" w:fill="F40009" w:themeFill="accent5"/>
      </w:tcPr>
    </w:tblStylePr>
    <w:tblStylePr w:type="lastRow">
      <w:pPr>
        <w:spacing w:before="0" w:after="0" w:line="240" w:lineRule="auto"/>
      </w:pPr>
      <w:rPr>
        <w:b/>
        <w:bCs/>
      </w:rPr>
      <w:tblPr/>
      <w:tcPr>
        <w:tcBorders>
          <w:top w:val="double" w:sz="6" w:space="0" w:color="FF373E" w:themeColor="accent5" w:themeTint="BF"/>
          <w:left w:val="single" w:sz="8" w:space="0" w:color="FF373E" w:themeColor="accent5" w:themeTint="BF"/>
          <w:bottom w:val="single" w:sz="8" w:space="0" w:color="FF373E" w:themeColor="accent5" w:themeTint="BF"/>
          <w:right w:val="single" w:sz="8" w:space="0" w:color="FF373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BDBF" w:themeFill="accent5" w:themeFillTint="3F"/>
      </w:tcPr>
    </w:tblStylePr>
    <w:tblStylePr w:type="band1Horz">
      <w:tblPr/>
      <w:tcPr>
        <w:tcBorders>
          <w:insideH w:val="nil"/>
          <w:insideV w:val="nil"/>
        </w:tcBorders>
        <w:shd w:val="clear" w:color="auto" w:fill="FFBDB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F373E" w:themeColor="accent6" w:themeTint="BF"/>
        <w:left w:val="single" w:sz="8" w:space="0" w:color="FF373E" w:themeColor="accent6" w:themeTint="BF"/>
        <w:bottom w:val="single" w:sz="8" w:space="0" w:color="FF373E" w:themeColor="accent6" w:themeTint="BF"/>
        <w:right w:val="single" w:sz="8" w:space="0" w:color="FF373E" w:themeColor="accent6" w:themeTint="BF"/>
        <w:insideH w:val="single" w:sz="8" w:space="0" w:color="FF373E" w:themeColor="accent6" w:themeTint="BF"/>
      </w:tblBorders>
    </w:tblPr>
    <w:tblStylePr w:type="firstRow">
      <w:pPr>
        <w:spacing w:before="0" w:after="0" w:line="240" w:lineRule="auto"/>
      </w:pPr>
      <w:rPr>
        <w:b/>
        <w:bCs/>
        <w:color w:val="FFFFFF" w:themeColor="background1"/>
      </w:rPr>
      <w:tblPr/>
      <w:tcPr>
        <w:tcBorders>
          <w:top w:val="single" w:sz="8" w:space="0" w:color="FF373E" w:themeColor="accent6" w:themeTint="BF"/>
          <w:left w:val="single" w:sz="8" w:space="0" w:color="FF373E" w:themeColor="accent6" w:themeTint="BF"/>
          <w:bottom w:val="single" w:sz="8" w:space="0" w:color="FF373E" w:themeColor="accent6" w:themeTint="BF"/>
          <w:right w:val="single" w:sz="8" w:space="0" w:color="FF373E" w:themeColor="accent6" w:themeTint="BF"/>
          <w:insideH w:val="nil"/>
          <w:insideV w:val="nil"/>
        </w:tcBorders>
        <w:shd w:val="clear" w:color="auto" w:fill="F40009" w:themeFill="accent6"/>
      </w:tcPr>
    </w:tblStylePr>
    <w:tblStylePr w:type="lastRow">
      <w:pPr>
        <w:spacing w:before="0" w:after="0" w:line="240" w:lineRule="auto"/>
      </w:pPr>
      <w:rPr>
        <w:b/>
        <w:bCs/>
      </w:rPr>
      <w:tblPr/>
      <w:tcPr>
        <w:tcBorders>
          <w:top w:val="double" w:sz="6" w:space="0" w:color="FF373E" w:themeColor="accent6" w:themeTint="BF"/>
          <w:left w:val="single" w:sz="8" w:space="0" w:color="FF373E" w:themeColor="accent6" w:themeTint="BF"/>
          <w:bottom w:val="single" w:sz="8" w:space="0" w:color="FF373E" w:themeColor="accent6" w:themeTint="BF"/>
          <w:right w:val="single" w:sz="8" w:space="0" w:color="FF373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BDBF" w:themeFill="accent6" w:themeFillTint="3F"/>
      </w:tcPr>
    </w:tblStylePr>
    <w:tblStylePr w:type="band1Horz">
      <w:tblPr/>
      <w:tcPr>
        <w:tcBorders>
          <w:insideH w:val="nil"/>
          <w:insideV w:val="nil"/>
        </w:tcBorders>
        <w:shd w:val="clear" w:color="auto" w:fill="FFBDB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5556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55560" w:themeFill="text1"/>
      </w:tcPr>
    </w:tblStylePr>
    <w:tblStylePr w:type="lastCol">
      <w:rPr>
        <w:b/>
        <w:bCs/>
        <w:color w:val="FFFFFF" w:themeColor="background1"/>
      </w:rPr>
      <w:tblPr/>
      <w:tcPr>
        <w:tcBorders>
          <w:left w:val="nil"/>
          <w:right w:val="nil"/>
          <w:insideH w:val="nil"/>
          <w:insideV w:val="nil"/>
        </w:tcBorders>
        <w:shd w:val="clear" w:color="auto" w:fill="45556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40009"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40009" w:themeFill="accent1"/>
      </w:tcPr>
    </w:tblStylePr>
    <w:tblStylePr w:type="lastCol">
      <w:rPr>
        <w:b/>
        <w:bCs/>
        <w:color w:val="FFFFFF" w:themeColor="background1"/>
      </w:rPr>
      <w:tblPr/>
      <w:tcPr>
        <w:tcBorders>
          <w:left w:val="nil"/>
          <w:right w:val="nil"/>
          <w:insideH w:val="nil"/>
          <w:insideV w:val="nil"/>
        </w:tcBorders>
        <w:shd w:val="clear" w:color="auto" w:fill="F40009"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28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285" w:themeFill="accent2"/>
      </w:tcPr>
    </w:tblStylePr>
    <w:tblStylePr w:type="lastCol">
      <w:rPr>
        <w:b/>
        <w:bCs/>
        <w:color w:val="FFFFFF" w:themeColor="background1"/>
      </w:rPr>
      <w:tblPr/>
      <w:tcPr>
        <w:tcBorders>
          <w:left w:val="nil"/>
          <w:right w:val="nil"/>
          <w:insideH w:val="nil"/>
          <w:insideV w:val="nil"/>
        </w:tcBorders>
        <w:shd w:val="clear" w:color="auto" w:fill="80828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400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40009" w:themeFill="accent3"/>
      </w:tcPr>
    </w:tblStylePr>
    <w:tblStylePr w:type="lastCol">
      <w:rPr>
        <w:b/>
        <w:bCs/>
        <w:color w:val="FFFFFF" w:themeColor="background1"/>
      </w:rPr>
      <w:tblPr/>
      <w:tcPr>
        <w:tcBorders>
          <w:left w:val="nil"/>
          <w:right w:val="nil"/>
          <w:insideH w:val="nil"/>
          <w:insideV w:val="nil"/>
        </w:tcBorders>
        <w:shd w:val="clear" w:color="auto" w:fill="F400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4000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40009" w:themeFill="accent4"/>
      </w:tcPr>
    </w:tblStylePr>
    <w:tblStylePr w:type="lastCol">
      <w:rPr>
        <w:b/>
        <w:bCs/>
        <w:color w:val="FFFFFF" w:themeColor="background1"/>
      </w:rPr>
      <w:tblPr/>
      <w:tcPr>
        <w:tcBorders>
          <w:left w:val="nil"/>
          <w:right w:val="nil"/>
          <w:insideH w:val="nil"/>
          <w:insideV w:val="nil"/>
        </w:tcBorders>
        <w:shd w:val="clear" w:color="auto" w:fill="F4000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4000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40009" w:themeFill="accent5"/>
      </w:tcPr>
    </w:tblStylePr>
    <w:tblStylePr w:type="lastCol">
      <w:rPr>
        <w:b/>
        <w:bCs/>
        <w:color w:val="FFFFFF" w:themeColor="background1"/>
      </w:rPr>
      <w:tblPr/>
      <w:tcPr>
        <w:tcBorders>
          <w:left w:val="nil"/>
          <w:right w:val="nil"/>
          <w:insideH w:val="nil"/>
          <w:insideV w:val="nil"/>
        </w:tcBorders>
        <w:shd w:val="clear" w:color="auto" w:fill="F4000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4000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40009" w:themeFill="accent6"/>
      </w:tcPr>
    </w:tblStylePr>
    <w:tblStylePr w:type="lastCol">
      <w:rPr>
        <w:b/>
        <w:bCs/>
        <w:color w:val="FFFFFF" w:themeColor="background1"/>
      </w:rPr>
      <w:tblPr/>
      <w:tcPr>
        <w:tcBorders>
          <w:left w:val="nil"/>
          <w:right w:val="nil"/>
          <w:insideH w:val="nil"/>
          <w:insideV w:val="nil"/>
        </w:tcBorders>
        <w:shd w:val="clear" w:color="auto" w:fill="F4000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455560" w:themeColor="text1"/>
    </w:rPr>
    <w:tblPr>
      <w:tblStyleRowBandSize w:val="1"/>
      <w:tblStyleColBandSize w:val="1"/>
      <w:tblBorders>
        <w:top w:val="single" w:sz="8" w:space="0" w:color="455560" w:themeColor="text1"/>
        <w:bottom w:val="single" w:sz="8" w:space="0" w:color="455560" w:themeColor="text1"/>
      </w:tblBorders>
    </w:tblPr>
    <w:tblStylePr w:type="firstRow">
      <w:rPr>
        <w:rFonts w:asciiTheme="majorHAnsi" w:eastAsiaTheme="majorEastAsia" w:hAnsiTheme="majorHAnsi" w:cstheme="majorBidi"/>
      </w:rPr>
      <w:tblPr/>
      <w:tcPr>
        <w:tcBorders>
          <w:top w:val="nil"/>
          <w:bottom w:val="single" w:sz="8" w:space="0" w:color="455560" w:themeColor="text1"/>
        </w:tcBorders>
      </w:tcPr>
    </w:tblStylePr>
    <w:tblStylePr w:type="lastRow">
      <w:rPr>
        <w:b/>
        <w:bCs/>
        <w:color w:val="F40009" w:themeColor="text2"/>
      </w:rPr>
      <w:tblPr/>
      <w:tcPr>
        <w:tcBorders>
          <w:top w:val="single" w:sz="8" w:space="0" w:color="455560" w:themeColor="text1"/>
          <w:bottom w:val="single" w:sz="8" w:space="0" w:color="455560" w:themeColor="text1"/>
        </w:tcBorders>
      </w:tcPr>
    </w:tblStylePr>
    <w:tblStylePr w:type="firstCol">
      <w:rPr>
        <w:b/>
        <w:bCs/>
      </w:rPr>
    </w:tblStylePr>
    <w:tblStylePr w:type="lastCol">
      <w:rPr>
        <w:b/>
        <w:bCs/>
      </w:rPr>
      <w:tblPr/>
      <w:tcPr>
        <w:tcBorders>
          <w:top w:val="single" w:sz="8" w:space="0" w:color="455560" w:themeColor="text1"/>
          <w:bottom w:val="single" w:sz="8" w:space="0" w:color="455560" w:themeColor="text1"/>
        </w:tcBorders>
      </w:tcPr>
    </w:tblStylePr>
    <w:tblStylePr w:type="band1Vert">
      <w:tblPr/>
      <w:tcPr>
        <w:shd w:val="clear" w:color="auto" w:fill="CDD5DB" w:themeFill="text1" w:themeFillTint="3F"/>
      </w:tcPr>
    </w:tblStylePr>
    <w:tblStylePr w:type="band1Horz">
      <w:tblPr/>
      <w:tcPr>
        <w:shd w:val="clear" w:color="auto" w:fill="CDD5DB" w:themeFill="text1" w:themeFillTint="3F"/>
      </w:tcPr>
    </w:tblStylePr>
  </w:style>
  <w:style w:type="table" w:styleId="MediumList1-Accent1">
    <w:name w:val="Medium List 1 Accent 1"/>
    <w:basedOn w:val="TableNormal"/>
    <w:uiPriority w:val="65"/>
    <w:rsid w:val="00CB0664"/>
    <w:pPr>
      <w:spacing w:after="0" w:line="240" w:lineRule="auto"/>
    </w:pPr>
    <w:rPr>
      <w:color w:val="455560" w:themeColor="text1"/>
    </w:rPr>
    <w:tblPr>
      <w:tblStyleRowBandSize w:val="1"/>
      <w:tblStyleColBandSize w:val="1"/>
      <w:tblBorders>
        <w:top w:val="single" w:sz="8" w:space="0" w:color="F40009" w:themeColor="accent1"/>
        <w:bottom w:val="single" w:sz="8" w:space="0" w:color="F40009" w:themeColor="accent1"/>
      </w:tblBorders>
    </w:tblPr>
    <w:tblStylePr w:type="firstRow">
      <w:rPr>
        <w:rFonts w:asciiTheme="majorHAnsi" w:eastAsiaTheme="majorEastAsia" w:hAnsiTheme="majorHAnsi" w:cstheme="majorBidi"/>
      </w:rPr>
      <w:tblPr/>
      <w:tcPr>
        <w:tcBorders>
          <w:top w:val="nil"/>
          <w:bottom w:val="single" w:sz="8" w:space="0" w:color="F40009" w:themeColor="accent1"/>
        </w:tcBorders>
      </w:tcPr>
    </w:tblStylePr>
    <w:tblStylePr w:type="lastRow">
      <w:rPr>
        <w:b/>
        <w:bCs/>
        <w:color w:val="F40009" w:themeColor="text2"/>
      </w:rPr>
      <w:tblPr/>
      <w:tcPr>
        <w:tcBorders>
          <w:top w:val="single" w:sz="8" w:space="0" w:color="F40009" w:themeColor="accent1"/>
          <w:bottom w:val="single" w:sz="8" w:space="0" w:color="F40009" w:themeColor="accent1"/>
        </w:tcBorders>
      </w:tcPr>
    </w:tblStylePr>
    <w:tblStylePr w:type="firstCol">
      <w:rPr>
        <w:b/>
        <w:bCs/>
      </w:rPr>
    </w:tblStylePr>
    <w:tblStylePr w:type="lastCol">
      <w:rPr>
        <w:b/>
        <w:bCs/>
      </w:rPr>
      <w:tblPr/>
      <w:tcPr>
        <w:tcBorders>
          <w:top w:val="single" w:sz="8" w:space="0" w:color="F40009" w:themeColor="accent1"/>
          <w:bottom w:val="single" w:sz="8" w:space="0" w:color="F40009" w:themeColor="accent1"/>
        </w:tcBorders>
      </w:tcPr>
    </w:tblStylePr>
    <w:tblStylePr w:type="band1Vert">
      <w:tblPr/>
      <w:tcPr>
        <w:shd w:val="clear" w:color="auto" w:fill="FFBDBF" w:themeFill="accent1" w:themeFillTint="3F"/>
      </w:tcPr>
    </w:tblStylePr>
    <w:tblStylePr w:type="band1Horz">
      <w:tblPr/>
      <w:tcPr>
        <w:shd w:val="clear" w:color="auto" w:fill="FFBDBF" w:themeFill="accent1" w:themeFillTint="3F"/>
      </w:tcPr>
    </w:tblStylePr>
  </w:style>
  <w:style w:type="table" w:styleId="MediumList1-Accent2">
    <w:name w:val="Medium List 1 Accent 2"/>
    <w:basedOn w:val="TableNormal"/>
    <w:uiPriority w:val="65"/>
    <w:rsid w:val="00CB0664"/>
    <w:pPr>
      <w:spacing w:after="0" w:line="240" w:lineRule="auto"/>
    </w:pPr>
    <w:rPr>
      <w:color w:val="455560" w:themeColor="text1"/>
    </w:rPr>
    <w:tblPr>
      <w:tblStyleRowBandSize w:val="1"/>
      <w:tblStyleColBandSize w:val="1"/>
      <w:tblBorders>
        <w:top w:val="single" w:sz="8" w:space="0" w:color="808285" w:themeColor="accent2"/>
        <w:bottom w:val="single" w:sz="8" w:space="0" w:color="808285" w:themeColor="accent2"/>
      </w:tblBorders>
    </w:tblPr>
    <w:tblStylePr w:type="firstRow">
      <w:rPr>
        <w:rFonts w:asciiTheme="majorHAnsi" w:eastAsiaTheme="majorEastAsia" w:hAnsiTheme="majorHAnsi" w:cstheme="majorBidi"/>
      </w:rPr>
      <w:tblPr/>
      <w:tcPr>
        <w:tcBorders>
          <w:top w:val="nil"/>
          <w:bottom w:val="single" w:sz="8" w:space="0" w:color="808285" w:themeColor="accent2"/>
        </w:tcBorders>
      </w:tcPr>
    </w:tblStylePr>
    <w:tblStylePr w:type="lastRow">
      <w:rPr>
        <w:b/>
        <w:bCs/>
        <w:color w:val="F40009" w:themeColor="text2"/>
      </w:rPr>
      <w:tblPr/>
      <w:tcPr>
        <w:tcBorders>
          <w:top w:val="single" w:sz="8" w:space="0" w:color="808285" w:themeColor="accent2"/>
          <w:bottom w:val="single" w:sz="8" w:space="0" w:color="808285" w:themeColor="accent2"/>
        </w:tcBorders>
      </w:tcPr>
    </w:tblStylePr>
    <w:tblStylePr w:type="firstCol">
      <w:rPr>
        <w:b/>
        <w:bCs/>
      </w:rPr>
    </w:tblStylePr>
    <w:tblStylePr w:type="lastCol">
      <w:rPr>
        <w:b/>
        <w:bCs/>
      </w:rPr>
      <w:tblPr/>
      <w:tcPr>
        <w:tcBorders>
          <w:top w:val="single" w:sz="8" w:space="0" w:color="808285" w:themeColor="accent2"/>
          <w:bottom w:val="single" w:sz="8" w:space="0" w:color="808285" w:themeColor="accent2"/>
        </w:tcBorders>
      </w:tcPr>
    </w:tblStylePr>
    <w:tblStylePr w:type="band1Vert">
      <w:tblPr/>
      <w:tcPr>
        <w:shd w:val="clear" w:color="auto" w:fill="DFE0E0" w:themeFill="accent2" w:themeFillTint="3F"/>
      </w:tcPr>
    </w:tblStylePr>
    <w:tblStylePr w:type="band1Horz">
      <w:tblPr/>
      <w:tcPr>
        <w:shd w:val="clear" w:color="auto" w:fill="DFE0E0" w:themeFill="accent2" w:themeFillTint="3F"/>
      </w:tcPr>
    </w:tblStylePr>
  </w:style>
  <w:style w:type="table" w:styleId="MediumList1-Accent3">
    <w:name w:val="Medium List 1 Accent 3"/>
    <w:basedOn w:val="TableNormal"/>
    <w:uiPriority w:val="65"/>
    <w:rsid w:val="00CB0664"/>
    <w:pPr>
      <w:spacing w:after="0" w:line="240" w:lineRule="auto"/>
    </w:pPr>
    <w:rPr>
      <w:color w:val="455560" w:themeColor="text1"/>
    </w:rPr>
    <w:tblPr>
      <w:tblStyleRowBandSize w:val="1"/>
      <w:tblStyleColBandSize w:val="1"/>
      <w:tblBorders>
        <w:top w:val="single" w:sz="8" w:space="0" w:color="F40009" w:themeColor="accent3"/>
        <w:bottom w:val="single" w:sz="8" w:space="0" w:color="F40009" w:themeColor="accent3"/>
      </w:tblBorders>
    </w:tblPr>
    <w:tblStylePr w:type="firstRow">
      <w:rPr>
        <w:rFonts w:asciiTheme="majorHAnsi" w:eastAsiaTheme="majorEastAsia" w:hAnsiTheme="majorHAnsi" w:cstheme="majorBidi"/>
      </w:rPr>
      <w:tblPr/>
      <w:tcPr>
        <w:tcBorders>
          <w:top w:val="nil"/>
          <w:bottom w:val="single" w:sz="8" w:space="0" w:color="F40009" w:themeColor="accent3"/>
        </w:tcBorders>
      </w:tcPr>
    </w:tblStylePr>
    <w:tblStylePr w:type="lastRow">
      <w:rPr>
        <w:b/>
        <w:bCs/>
        <w:color w:val="F40009" w:themeColor="text2"/>
      </w:rPr>
      <w:tblPr/>
      <w:tcPr>
        <w:tcBorders>
          <w:top w:val="single" w:sz="8" w:space="0" w:color="F40009" w:themeColor="accent3"/>
          <w:bottom w:val="single" w:sz="8" w:space="0" w:color="F40009" w:themeColor="accent3"/>
        </w:tcBorders>
      </w:tcPr>
    </w:tblStylePr>
    <w:tblStylePr w:type="firstCol">
      <w:rPr>
        <w:b/>
        <w:bCs/>
      </w:rPr>
    </w:tblStylePr>
    <w:tblStylePr w:type="lastCol">
      <w:rPr>
        <w:b/>
        <w:bCs/>
      </w:rPr>
      <w:tblPr/>
      <w:tcPr>
        <w:tcBorders>
          <w:top w:val="single" w:sz="8" w:space="0" w:color="F40009" w:themeColor="accent3"/>
          <w:bottom w:val="single" w:sz="8" w:space="0" w:color="F40009" w:themeColor="accent3"/>
        </w:tcBorders>
      </w:tcPr>
    </w:tblStylePr>
    <w:tblStylePr w:type="band1Vert">
      <w:tblPr/>
      <w:tcPr>
        <w:shd w:val="clear" w:color="auto" w:fill="FFBDBF" w:themeFill="accent3" w:themeFillTint="3F"/>
      </w:tcPr>
    </w:tblStylePr>
    <w:tblStylePr w:type="band1Horz">
      <w:tblPr/>
      <w:tcPr>
        <w:shd w:val="clear" w:color="auto" w:fill="FFBDBF" w:themeFill="accent3" w:themeFillTint="3F"/>
      </w:tcPr>
    </w:tblStylePr>
  </w:style>
  <w:style w:type="table" w:styleId="MediumList1-Accent4">
    <w:name w:val="Medium List 1 Accent 4"/>
    <w:basedOn w:val="TableNormal"/>
    <w:uiPriority w:val="65"/>
    <w:rsid w:val="00CB0664"/>
    <w:pPr>
      <w:spacing w:after="0" w:line="240" w:lineRule="auto"/>
    </w:pPr>
    <w:rPr>
      <w:color w:val="455560" w:themeColor="text1"/>
    </w:rPr>
    <w:tblPr>
      <w:tblStyleRowBandSize w:val="1"/>
      <w:tblStyleColBandSize w:val="1"/>
      <w:tblBorders>
        <w:top w:val="single" w:sz="8" w:space="0" w:color="F40009" w:themeColor="accent4"/>
        <w:bottom w:val="single" w:sz="8" w:space="0" w:color="F40009" w:themeColor="accent4"/>
      </w:tblBorders>
    </w:tblPr>
    <w:tblStylePr w:type="firstRow">
      <w:rPr>
        <w:rFonts w:asciiTheme="majorHAnsi" w:eastAsiaTheme="majorEastAsia" w:hAnsiTheme="majorHAnsi" w:cstheme="majorBidi"/>
      </w:rPr>
      <w:tblPr/>
      <w:tcPr>
        <w:tcBorders>
          <w:top w:val="nil"/>
          <w:bottom w:val="single" w:sz="8" w:space="0" w:color="F40009" w:themeColor="accent4"/>
        </w:tcBorders>
      </w:tcPr>
    </w:tblStylePr>
    <w:tblStylePr w:type="lastRow">
      <w:rPr>
        <w:b/>
        <w:bCs/>
        <w:color w:val="F40009" w:themeColor="text2"/>
      </w:rPr>
      <w:tblPr/>
      <w:tcPr>
        <w:tcBorders>
          <w:top w:val="single" w:sz="8" w:space="0" w:color="F40009" w:themeColor="accent4"/>
          <w:bottom w:val="single" w:sz="8" w:space="0" w:color="F40009" w:themeColor="accent4"/>
        </w:tcBorders>
      </w:tcPr>
    </w:tblStylePr>
    <w:tblStylePr w:type="firstCol">
      <w:rPr>
        <w:b/>
        <w:bCs/>
      </w:rPr>
    </w:tblStylePr>
    <w:tblStylePr w:type="lastCol">
      <w:rPr>
        <w:b/>
        <w:bCs/>
      </w:rPr>
      <w:tblPr/>
      <w:tcPr>
        <w:tcBorders>
          <w:top w:val="single" w:sz="8" w:space="0" w:color="F40009" w:themeColor="accent4"/>
          <w:bottom w:val="single" w:sz="8" w:space="0" w:color="F40009" w:themeColor="accent4"/>
        </w:tcBorders>
      </w:tcPr>
    </w:tblStylePr>
    <w:tblStylePr w:type="band1Vert">
      <w:tblPr/>
      <w:tcPr>
        <w:shd w:val="clear" w:color="auto" w:fill="FFBDBF" w:themeFill="accent4" w:themeFillTint="3F"/>
      </w:tcPr>
    </w:tblStylePr>
    <w:tblStylePr w:type="band1Horz">
      <w:tblPr/>
      <w:tcPr>
        <w:shd w:val="clear" w:color="auto" w:fill="FFBDBF" w:themeFill="accent4" w:themeFillTint="3F"/>
      </w:tcPr>
    </w:tblStylePr>
  </w:style>
  <w:style w:type="table" w:styleId="MediumList1-Accent5">
    <w:name w:val="Medium List 1 Accent 5"/>
    <w:basedOn w:val="TableNormal"/>
    <w:uiPriority w:val="65"/>
    <w:rsid w:val="00CB0664"/>
    <w:pPr>
      <w:spacing w:after="0" w:line="240" w:lineRule="auto"/>
    </w:pPr>
    <w:rPr>
      <w:color w:val="455560" w:themeColor="text1"/>
    </w:rPr>
    <w:tblPr>
      <w:tblStyleRowBandSize w:val="1"/>
      <w:tblStyleColBandSize w:val="1"/>
      <w:tblBorders>
        <w:top w:val="single" w:sz="8" w:space="0" w:color="F40009" w:themeColor="accent5"/>
        <w:bottom w:val="single" w:sz="8" w:space="0" w:color="F40009" w:themeColor="accent5"/>
      </w:tblBorders>
    </w:tblPr>
    <w:tblStylePr w:type="firstRow">
      <w:rPr>
        <w:rFonts w:asciiTheme="majorHAnsi" w:eastAsiaTheme="majorEastAsia" w:hAnsiTheme="majorHAnsi" w:cstheme="majorBidi"/>
      </w:rPr>
      <w:tblPr/>
      <w:tcPr>
        <w:tcBorders>
          <w:top w:val="nil"/>
          <w:bottom w:val="single" w:sz="8" w:space="0" w:color="F40009" w:themeColor="accent5"/>
        </w:tcBorders>
      </w:tcPr>
    </w:tblStylePr>
    <w:tblStylePr w:type="lastRow">
      <w:rPr>
        <w:b/>
        <w:bCs/>
        <w:color w:val="F40009" w:themeColor="text2"/>
      </w:rPr>
      <w:tblPr/>
      <w:tcPr>
        <w:tcBorders>
          <w:top w:val="single" w:sz="8" w:space="0" w:color="F40009" w:themeColor="accent5"/>
          <w:bottom w:val="single" w:sz="8" w:space="0" w:color="F40009" w:themeColor="accent5"/>
        </w:tcBorders>
      </w:tcPr>
    </w:tblStylePr>
    <w:tblStylePr w:type="firstCol">
      <w:rPr>
        <w:b/>
        <w:bCs/>
      </w:rPr>
    </w:tblStylePr>
    <w:tblStylePr w:type="lastCol">
      <w:rPr>
        <w:b/>
        <w:bCs/>
      </w:rPr>
      <w:tblPr/>
      <w:tcPr>
        <w:tcBorders>
          <w:top w:val="single" w:sz="8" w:space="0" w:color="F40009" w:themeColor="accent5"/>
          <w:bottom w:val="single" w:sz="8" w:space="0" w:color="F40009" w:themeColor="accent5"/>
        </w:tcBorders>
      </w:tcPr>
    </w:tblStylePr>
    <w:tblStylePr w:type="band1Vert">
      <w:tblPr/>
      <w:tcPr>
        <w:shd w:val="clear" w:color="auto" w:fill="FFBDBF" w:themeFill="accent5" w:themeFillTint="3F"/>
      </w:tcPr>
    </w:tblStylePr>
    <w:tblStylePr w:type="band1Horz">
      <w:tblPr/>
      <w:tcPr>
        <w:shd w:val="clear" w:color="auto" w:fill="FFBDBF" w:themeFill="accent5" w:themeFillTint="3F"/>
      </w:tcPr>
    </w:tblStylePr>
  </w:style>
  <w:style w:type="table" w:styleId="MediumList1-Accent6">
    <w:name w:val="Medium List 1 Accent 6"/>
    <w:basedOn w:val="TableNormal"/>
    <w:uiPriority w:val="65"/>
    <w:rsid w:val="00CB0664"/>
    <w:pPr>
      <w:spacing w:after="0" w:line="240" w:lineRule="auto"/>
    </w:pPr>
    <w:rPr>
      <w:color w:val="455560" w:themeColor="text1"/>
    </w:rPr>
    <w:tblPr>
      <w:tblStyleRowBandSize w:val="1"/>
      <w:tblStyleColBandSize w:val="1"/>
      <w:tblBorders>
        <w:top w:val="single" w:sz="8" w:space="0" w:color="F40009" w:themeColor="accent6"/>
        <w:bottom w:val="single" w:sz="8" w:space="0" w:color="F40009" w:themeColor="accent6"/>
      </w:tblBorders>
    </w:tblPr>
    <w:tblStylePr w:type="firstRow">
      <w:rPr>
        <w:rFonts w:asciiTheme="majorHAnsi" w:eastAsiaTheme="majorEastAsia" w:hAnsiTheme="majorHAnsi" w:cstheme="majorBidi"/>
      </w:rPr>
      <w:tblPr/>
      <w:tcPr>
        <w:tcBorders>
          <w:top w:val="nil"/>
          <w:bottom w:val="single" w:sz="8" w:space="0" w:color="F40009" w:themeColor="accent6"/>
        </w:tcBorders>
      </w:tcPr>
    </w:tblStylePr>
    <w:tblStylePr w:type="lastRow">
      <w:rPr>
        <w:b/>
        <w:bCs/>
        <w:color w:val="F40009" w:themeColor="text2"/>
      </w:rPr>
      <w:tblPr/>
      <w:tcPr>
        <w:tcBorders>
          <w:top w:val="single" w:sz="8" w:space="0" w:color="F40009" w:themeColor="accent6"/>
          <w:bottom w:val="single" w:sz="8" w:space="0" w:color="F40009" w:themeColor="accent6"/>
        </w:tcBorders>
      </w:tcPr>
    </w:tblStylePr>
    <w:tblStylePr w:type="firstCol">
      <w:rPr>
        <w:b/>
        <w:bCs/>
      </w:rPr>
    </w:tblStylePr>
    <w:tblStylePr w:type="lastCol">
      <w:rPr>
        <w:b/>
        <w:bCs/>
      </w:rPr>
      <w:tblPr/>
      <w:tcPr>
        <w:tcBorders>
          <w:top w:val="single" w:sz="8" w:space="0" w:color="F40009" w:themeColor="accent6"/>
          <w:bottom w:val="single" w:sz="8" w:space="0" w:color="F40009" w:themeColor="accent6"/>
        </w:tcBorders>
      </w:tcPr>
    </w:tblStylePr>
    <w:tblStylePr w:type="band1Vert">
      <w:tblPr/>
      <w:tcPr>
        <w:shd w:val="clear" w:color="auto" w:fill="FFBDBF" w:themeFill="accent6" w:themeFillTint="3F"/>
      </w:tcPr>
    </w:tblStylePr>
    <w:tblStylePr w:type="band1Horz">
      <w:tblPr/>
      <w:tcPr>
        <w:shd w:val="clear" w:color="auto" w:fill="FFBDBF"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455560" w:themeColor="text1"/>
    </w:rPr>
    <w:tblPr>
      <w:tblStyleRowBandSize w:val="1"/>
      <w:tblStyleColBandSize w:val="1"/>
      <w:tblBorders>
        <w:top w:val="single" w:sz="8" w:space="0" w:color="455560" w:themeColor="text1"/>
        <w:left w:val="single" w:sz="8" w:space="0" w:color="455560" w:themeColor="text1"/>
        <w:bottom w:val="single" w:sz="8" w:space="0" w:color="455560" w:themeColor="text1"/>
        <w:right w:val="single" w:sz="8" w:space="0" w:color="455560" w:themeColor="text1"/>
      </w:tblBorders>
    </w:tblPr>
    <w:tblStylePr w:type="firstRow">
      <w:rPr>
        <w:sz w:val="24"/>
        <w:szCs w:val="24"/>
      </w:rPr>
      <w:tblPr/>
      <w:tcPr>
        <w:tcBorders>
          <w:top w:val="nil"/>
          <w:left w:val="nil"/>
          <w:bottom w:val="single" w:sz="24" w:space="0" w:color="455560" w:themeColor="text1"/>
          <w:right w:val="nil"/>
          <w:insideH w:val="nil"/>
          <w:insideV w:val="nil"/>
        </w:tcBorders>
        <w:shd w:val="clear" w:color="auto" w:fill="FFFFFF" w:themeFill="background1"/>
      </w:tcPr>
    </w:tblStylePr>
    <w:tblStylePr w:type="lastRow">
      <w:tblPr/>
      <w:tcPr>
        <w:tcBorders>
          <w:top w:val="single" w:sz="8" w:space="0" w:color="45556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55560" w:themeColor="text1"/>
          <w:insideH w:val="nil"/>
          <w:insideV w:val="nil"/>
        </w:tcBorders>
        <w:shd w:val="clear" w:color="auto" w:fill="FFFFFF" w:themeFill="background1"/>
      </w:tcPr>
    </w:tblStylePr>
    <w:tblStylePr w:type="lastCol">
      <w:tblPr/>
      <w:tcPr>
        <w:tcBorders>
          <w:top w:val="nil"/>
          <w:left w:val="single" w:sz="8" w:space="0" w:color="45556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DD5DB" w:themeFill="text1" w:themeFillTint="3F"/>
      </w:tcPr>
    </w:tblStylePr>
    <w:tblStylePr w:type="band1Horz">
      <w:tblPr/>
      <w:tcPr>
        <w:tcBorders>
          <w:top w:val="nil"/>
          <w:bottom w:val="nil"/>
          <w:insideH w:val="nil"/>
          <w:insideV w:val="nil"/>
        </w:tcBorders>
        <w:shd w:val="clear" w:color="auto" w:fill="CDD5D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455560" w:themeColor="text1"/>
    </w:rPr>
    <w:tblPr>
      <w:tblStyleRowBandSize w:val="1"/>
      <w:tblStyleColBandSize w:val="1"/>
      <w:tblBorders>
        <w:top w:val="single" w:sz="8" w:space="0" w:color="F40009" w:themeColor="accent1"/>
        <w:left w:val="single" w:sz="8" w:space="0" w:color="F40009" w:themeColor="accent1"/>
        <w:bottom w:val="single" w:sz="8" w:space="0" w:color="F40009" w:themeColor="accent1"/>
        <w:right w:val="single" w:sz="8" w:space="0" w:color="F40009" w:themeColor="accent1"/>
      </w:tblBorders>
    </w:tblPr>
    <w:tblStylePr w:type="firstRow">
      <w:rPr>
        <w:sz w:val="24"/>
        <w:szCs w:val="24"/>
      </w:rPr>
      <w:tblPr/>
      <w:tcPr>
        <w:tcBorders>
          <w:top w:val="nil"/>
          <w:left w:val="nil"/>
          <w:bottom w:val="single" w:sz="24" w:space="0" w:color="F40009" w:themeColor="accent1"/>
          <w:right w:val="nil"/>
          <w:insideH w:val="nil"/>
          <w:insideV w:val="nil"/>
        </w:tcBorders>
        <w:shd w:val="clear" w:color="auto" w:fill="FFFFFF" w:themeFill="background1"/>
      </w:tcPr>
    </w:tblStylePr>
    <w:tblStylePr w:type="lastRow">
      <w:tblPr/>
      <w:tcPr>
        <w:tcBorders>
          <w:top w:val="single" w:sz="8" w:space="0" w:color="F4000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40009" w:themeColor="accent1"/>
          <w:insideH w:val="nil"/>
          <w:insideV w:val="nil"/>
        </w:tcBorders>
        <w:shd w:val="clear" w:color="auto" w:fill="FFFFFF" w:themeFill="background1"/>
      </w:tcPr>
    </w:tblStylePr>
    <w:tblStylePr w:type="lastCol">
      <w:tblPr/>
      <w:tcPr>
        <w:tcBorders>
          <w:top w:val="nil"/>
          <w:left w:val="single" w:sz="8" w:space="0" w:color="F4000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DBF" w:themeFill="accent1" w:themeFillTint="3F"/>
      </w:tcPr>
    </w:tblStylePr>
    <w:tblStylePr w:type="band1Horz">
      <w:tblPr/>
      <w:tcPr>
        <w:tcBorders>
          <w:top w:val="nil"/>
          <w:bottom w:val="nil"/>
          <w:insideH w:val="nil"/>
          <w:insideV w:val="nil"/>
        </w:tcBorders>
        <w:shd w:val="clear" w:color="auto" w:fill="FFBDB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455560" w:themeColor="text1"/>
    </w:rPr>
    <w:tblPr>
      <w:tblStyleRowBandSize w:val="1"/>
      <w:tblStyleColBandSize w:val="1"/>
      <w:tblBorders>
        <w:top w:val="single" w:sz="8" w:space="0" w:color="808285" w:themeColor="accent2"/>
        <w:left w:val="single" w:sz="8" w:space="0" w:color="808285" w:themeColor="accent2"/>
        <w:bottom w:val="single" w:sz="8" w:space="0" w:color="808285" w:themeColor="accent2"/>
        <w:right w:val="single" w:sz="8" w:space="0" w:color="808285" w:themeColor="accent2"/>
      </w:tblBorders>
    </w:tblPr>
    <w:tblStylePr w:type="firstRow">
      <w:rPr>
        <w:sz w:val="24"/>
        <w:szCs w:val="24"/>
      </w:rPr>
      <w:tblPr/>
      <w:tcPr>
        <w:tcBorders>
          <w:top w:val="nil"/>
          <w:left w:val="nil"/>
          <w:bottom w:val="single" w:sz="24" w:space="0" w:color="808285" w:themeColor="accent2"/>
          <w:right w:val="nil"/>
          <w:insideH w:val="nil"/>
          <w:insideV w:val="nil"/>
        </w:tcBorders>
        <w:shd w:val="clear" w:color="auto" w:fill="FFFFFF" w:themeFill="background1"/>
      </w:tcPr>
    </w:tblStylePr>
    <w:tblStylePr w:type="lastRow">
      <w:tblPr/>
      <w:tcPr>
        <w:tcBorders>
          <w:top w:val="single" w:sz="8" w:space="0" w:color="808285"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285" w:themeColor="accent2"/>
          <w:insideH w:val="nil"/>
          <w:insideV w:val="nil"/>
        </w:tcBorders>
        <w:shd w:val="clear" w:color="auto" w:fill="FFFFFF" w:themeFill="background1"/>
      </w:tcPr>
    </w:tblStylePr>
    <w:tblStylePr w:type="lastCol">
      <w:tblPr/>
      <w:tcPr>
        <w:tcBorders>
          <w:top w:val="nil"/>
          <w:left w:val="single" w:sz="8" w:space="0" w:color="80828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0E0" w:themeFill="accent2" w:themeFillTint="3F"/>
      </w:tcPr>
    </w:tblStylePr>
    <w:tblStylePr w:type="band1Horz">
      <w:tblPr/>
      <w:tcPr>
        <w:tcBorders>
          <w:top w:val="nil"/>
          <w:bottom w:val="nil"/>
          <w:insideH w:val="nil"/>
          <w:insideV w:val="nil"/>
        </w:tcBorders>
        <w:shd w:val="clear" w:color="auto" w:fill="DFE0E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455560" w:themeColor="text1"/>
    </w:rPr>
    <w:tblPr>
      <w:tblStyleRowBandSize w:val="1"/>
      <w:tblStyleColBandSize w:val="1"/>
      <w:tblBorders>
        <w:top w:val="single" w:sz="8" w:space="0" w:color="F40009" w:themeColor="accent3"/>
        <w:left w:val="single" w:sz="8" w:space="0" w:color="F40009" w:themeColor="accent3"/>
        <w:bottom w:val="single" w:sz="8" w:space="0" w:color="F40009" w:themeColor="accent3"/>
        <w:right w:val="single" w:sz="8" w:space="0" w:color="F40009" w:themeColor="accent3"/>
      </w:tblBorders>
    </w:tblPr>
    <w:tblStylePr w:type="firstRow">
      <w:rPr>
        <w:sz w:val="24"/>
        <w:szCs w:val="24"/>
      </w:rPr>
      <w:tblPr/>
      <w:tcPr>
        <w:tcBorders>
          <w:top w:val="nil"/>
          <w:left w:val="nil"/>
          <w:bottom w:val="single" w:sz="24" w:space="0" w:color="F40009" w:themeColor="accent3"/>
          <w:right w:val="nil"/>
          <w:insideH w:val="nil"/>
          <w:insideV w:val="nil"/>
        </w:tcBorders>
        <w:shd w:val="clear" w:color="auto" w:fill="FFFFFF" w:themeFill="background1"/>
      </w:tcPr>
    </w:tblStylePr>
    <w:tblStylePr w:type="lastRow">
      <w:tblPr/>
      <w:tcPr>
        <w:tcBorders>
          <w:top w:val="single" w:sz="8" w:space="0" w:color="F4000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40009" w:themeColor="accent3"/>
          <w:insideH w:val="nil"/>
          <w:insideV w:val="nil"/>
        </w:tcBorders>
        <w:shd w:val="clear" w:color="auto" w:fill="FFFFFF" w:themeFill="background1"/>
      </w:tcPr>
    </w:tblStylePr>
    <w:tblStylePr w:type="lastCol">
      <w:tblPr/>
      <w:tcPr>
        <w:tcBorders>
          <w:top w:val="nil"/>
          <w:left w:val="single" w:sz="8" w:space="0" w:color="F400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DBF" w:themeFill="accent3" w:themeFillTint="3F"/>
      </w:tcPr>
    </w:tblStylePr>
    <w:tblStylePr w:type="band1Horz">
      <w:tblPr/>
      <w:tcPr>
        <w:tcBorders>
          <w:top w:val="nil"/>
          <w:bottom w:val="nil"/>
          <w:insideH w:val="nil"/>
          <w:insideV w:val="nil"/>
        </w:tcBorders>
        <w:shd w:val="clear" w:color="auto" w:fill="FFBDB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455560" w:themeColor="text1"/>
    </w:rPr>
    <w:tblPr>
      <w:tblStyleRowBandSize w:val="1"/>
      <w:tblStyleColBandSize w:val="1"/>
      <w:tblBorders>
        <w:top w:val="single" w:sz="8" w:space="0" w:color="F40009" w:themeColor="accent4"/>
        <w:left w:val="single" w:sz="8" w:space="0" w:color="F40009" w:themeColor="accent4"/>
        <w:bottom w:val="single" w:sz="8" w:space="0" w:color="F40009" w:themeColor="accent4"/>
        <w:right w:val="single" w:sz="8" w:space="0" w:color="F40009" w:themeColor="accent4"/>
      </w:tblBorders>
    </w:tblPr>
    <w:tblStylePr w:type="firstRow">
      <w:rPr>
        <w:sz w:val="24"/>
        <w:szCs w:val="24"/>
      </w:rPr>
      <w:tblPr/>
      <w:tcPr>
        <w:tcBorders>
          <w:top w:val="nil"/>
          <w:left w:val="nil"/>
          <w:bottom w:val="single" w:sz="24" w:space="0" w:color="F40009" w:themeColor="accent4"/>
          <w:right w:val="nil"/>
          <w:insideH w:val="nil"/>
          <w:insideV w:val="nil"/>
        </w:tcBorders>
        <w:shd w:val="clear" w:color="auto" w:fill="FFFFFF" w:themeFill="background1"/>
      </w:tcPr>
    </w:tblStylePr>
    <w:tblStylePr w:type="lastRow">
      <w:tblPr/>
      <w:tcPr>
        <w:tcBorders>
          <w:top w:val="single" w:sz="8" w:space="0" w:color="F4000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40009" w:themeColor="accent4"/>
          <w:insideH w:val="nil"/>
          <w:insideV w:val="nil"/>
        </w:tcBorders>
        <w:shd w:val="clear" w:color="auto" w:fill="FFFFFF" w:themeFill="background1"/>
      </w:tcPr>
    </w:tblStylePr>
    <w:tblStylePr w:type="lastCol">
      <w:tblPr/>
      <w:tcPr>
        <w:tcBorders>
          <w:top w:val="nil"/>
          <w:left w:val="single" w:sz="8" w:space="0" w:color="F4000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DBF" w:themeFill="accent4" w:themeFillTint="3F"/>
      </w:tcPr>
    </w:tblStylePr>
    <w:tblStylePr w:type="band1Horz">
      <w:tblPr/>
      <w:tcPr>
        <w:tcBorders>
          <w:top w:val="nil"/>
          <w:bottom w:val="nil"/>
          <w:insideH w:val="nil"/>
          <w:insideV w:val="nil"/>
        </w:tcBorders>
        <w:shd w:val="clear" w:color="auto" w:fill="FFBD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455560" w:themeColor="text1"/>
    </w:rPr>
    <w:tblPr>
      <w:tblStyleRowBandSize w:val="1"/>
      <w:tblStyleColBandSize w:val="1"/>
      <w:tblBorders>
        <w:top w:val="single" w:sz="8" w:space="0" w:color="F40009" w:themeColor="accent5"/>
        <w:left w:val="single" w:sz="8" w:space="0" w:color="F40009" w:themeColor="accent5"/>
        <w:bottom w:val="single" w:sz="8" w:space="0" w:color="F40009" w:themeColor="accent5"/>
        <w:right w:val="single" w:sz="8" w:space="0" w:color="F40009" w:themeColor="accent5"/>
      </w:tblBorders>
    </w:tblPr>
    <w:tblStylePr w:type="firstRow">
      <w:rPr>
        <w:sz w:val="24"/>
        <w:szCs w:val="24"/>
      </w:rPr>
      <w:tblPr/>
      <w:tcPr>
        <w:tcBorders>
          <w:top w:val="nil"/>
          <w:left w:val="nil"/>
          <w:bottom w:val="single" w:sz="24" w:space="0" w:color="F40009" w:themeColor="accent5"/>
          <w:right w:val="nil"/>
          <w:insideH w:val="nil"/>
          <w:insideV w:val="nil"/>
        </w:tcBorders>
        <w:shd w:val="clear" w:color="auto" w:fill="FFFFFF" w:themeFill="background1"/>
      </w:tcPr>
    </w:tblStylePr>
    <w:tblStylePr w:type="lastRow">
      <w:tblPr/>
      <w:tcPr>
        <w:tcBorders>
          <w:top w:val="single" w:sz="8" w:space="0" w:color="F40009"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40009" w:themeColor="accent5"/>
          <w:insideH w:val="nil"/>
          <w:insideV w:val="nil"/>
        </w:tcBorders>
        <w:shd w:val="clear" w:color="auto" w:fill="FFFFFF" w:themeFill="background1"/>
      </w:tcPr>
    </w:tblStylePr>
    <w:tblStylePr w:type="lastCol">
      <w:tblPr/>
      <w:tcPr>
        <w:tcBorders>
          <w:top w:val="nil"/>
          <w:left w:val="single" w:sz="8" w:space="0" w:color="F4000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DBF" w:themeFill="accent5" w:themeFillTint="3F"/>
      </w:tcPr>
    </w:tblStylePr>
    <w:tblStylePr w:type="band1Horz">
      <w:tblPr/>
      <w:tcPr>
        <w:tcBorders>
          <w:top w:val="nil"/>
          <w:bottom w:val="nil"/>
          <w:insideH w:val="nil"/>
          <w:insideV w:val="nil"/>
        </w:tcBorders>
        <w:shd w:val="clear" w:color="auto" w:fill="FFBDB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455560" w:themeColor="text1"/>
    </w:rPr>
    <w:tblPr>
      <w:tblStyleRowBandSize w:val="1"/>
      <w:tblStyleColBandSize w:val="1"/>
      <w:tblBorders>
        <w:top w:val="single" w:sz="8" w:space="0" w:color="F40009" w:themeColor="accent6"/>
        <w:left w:val="single" w:sz="8" w:space="0" w:color="F40009" w:themeColor="accent6"/>
        <w:bottom w:val="single" w:sz="8" w:space="0" w:color="F40009" w:themeColor="accent6"/>
        <w:right w:val="single" w:sz="8" w:space="0" w:color="F40009" w:themeColor="accent6"/>
      </w:tblBorders>
    </w:tblPr>
    <w:tblStylePr w:type="firstRow">
      <w:rPr>
        <w:sz w:val="24"/>
        <w:szCs w:val="24"/>
      </w:rPr>
      <w:tblPr/>
      <w:tcPr>
        <w:tcBorders>
          <w:top w:val="nil"/>
          <w:left w:val="nil"/>
          <w:bottom w:val="single" w:sz="24" w:space="0" w:color="F40009" w:themeColor="accent6"/>
          <w:right w:val="nil"/>
          <w:insideH w:val="nil"/>
          <w:insideV w:val="nil"/>
        </w:tcBorders>
        <w:shd w:val="clear" w:color="auto" w:fill="FFFFFF" w:themeFill="background1"/>
      </w:tcPr>
    </w:tblStylePr>
    <w:tblStylePr w:type="lastRow">
      <w:tblPr/>
      <w:tcPr>
        <w:tcBorders>
          <w:top w:val="single" w:sz="8" w:space="0" w:color="F4000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40009" w:themeColor="accent6"/>
          <w:insideH w:val="nil"/>
          <w:insideV w:val="nil"/>
        </w:tcBorders>
        <w:shd w:val="clear" w:color="auto" w:fill="FFFFFF" w:themeFill="background1"/>
      </w:tcPr>
    </w:tblStylePr>
    <w:tblStylePr w:type="lastCol">
      <w:tblPr/>
      <w:tcPr>
        <w:tcBorders>
          <w:top w:val="nil"/>
          <w:left w:val="single" w:sz="8" w:space="0" w:color="F4000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DBF" w:themeFill="accent6" w:themeFillTint="3F"/>
      </w:tcPr>
    </w:tblStylePr>
    <w:tblStylePr w:type="band1Horz">
      <w:tblPr/>
      <w:tcPr>
        <w:tcBorders>
          <w:top w:val="nil"/>
          <w:bottom w:val="nil"/>
          <w:insideH w:val="nil"/>
          <w:insideV w:val="nil"/>
        </w:tcBorders>
        <w:shd w:val="clear" w:color="auto" w:fill="FFBDB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698192" w:themeColor="text1" w:themeTint="BF"/>
        <w:left w:val="single" w:sz="8" w:space="0" w:color="698192" w:themeColor="text1" w:themeTint="BF"/>
        <w:bottom w:val="single" w:sz="8" w:space="0" w:color="698192" w:themeColor="text1" w:themeTint="BF"/>
        <w:right w:val="single" w:sz="8" w:space="0" w:color="698192" w:themeColor="text1" w:themeTint="BF"/>
        <w:insideH w:val="single" w:sz="8" w:space="0" w:color="698192" w:themeColor="text1" w:themeTint="BF"/>
        <w:insideV w:val="single" w:sz="8" w:space="0" w:color="698192" w:themeColor="text1" w:themeTint="BF"/>
      </w:tblBorders>
    </w:tblPr>
    <w:tcPr>
      <w:shd w:val="clear" w:color="auto" w:fill="CDD5DB" w:themeFill="text1" w:themeFillTint="3F"/>
    </w:tcPr>
    <w:tblStylePr w:type="firstRow">
      <w:rPr>
        <w:b/>
        <w:bCs/>
      </w:rPr>
    </w:tblStylePr>
    <w:tblStylePr w:type="lastRow">
      <w:rPr>
        <w:b/>
        <w:bCs/>
      </w:rPr>
      <w:tblPr/>
      <w:tcPr>
        <w:tcBorders>
          <w:top w:val="single" w:sz="18" w:space="0" w:color="698192" w:themeColor="text1" w:themeTint="BF"/>
        </w:tcBorders>
      </w:tcPr>
    </w:tblStylePr>
    <w:tblStylePr w:type="firstCol">
      <w:rPr>
        <w:b/>
        <w:bCs/>
      </w:rPr>
    </w:tblStylePr>
    <w:tblStylePr w:type="lastCol">
      <w:rPr>
        <w:b/>
        <w:bCs/>
      </w:rPr>
    </w:tblStylePr>
    <w:tblStylePr w:type="band1Vert">
      <w:tblPr/>
      <w:tcPr>
        <w:shd w:val="clear" w:color="auto" w:fill="9AABB7" w:themeFill="text1" w:themeFillTint="7F"/>
      </w:tcPr>
    </w:tblStylePr>
    <w:tblStylePr w:type="band1Horz">
      <w:tblPr/>
      <w:tcPr>
        <w:shd w:val="clear" w:color="auto" w:fill="9AABB7"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F373E" w:themeColor="accent1" w:themeTint="BF"/>
        <w:left w:val="single" w:sz="8" w:space="0" w:color="FF373E" w:themeColor="accent1" w:themeTint="BF"/>
        <w:bottom w:val="single" w:sz="8" w:space="0" w:color="FF373E" w:themeColor="accent1" w:themeTint="BF"/>
        <w:right w:val="single" w:sz="8" w:space="0" w:color="FF373E" w:themeColor="accent1" w:themeTint="BF"/>
        <w:insideH w:val="single" w:sz="8" w:space="0" w:color="FF373E" w:themeColor="accent1" w:themeTint="BF"/>
        <w:insideV w:val="single" w:sz="8" w:space="0" w:color="FF373E" w:themeColor="accent1" w:themeTint="BF"/>
      </w:tblBorders>
    </w:tblPr>
    <w:tcPr>
      <w:shd w:val="clear" w:color="auto" w:fill="FFBDBF" w:themeFill="accent1" w:themeFillTint="3F"/>
    </w:tcPr>
    <w:tblStylePr w:type="firstRow">
      <w:rPr>
        <w:b/>
        <w:bCs/>
      </w:rPr>
    </w:tblStylePr>
    <w:tblStylePr w:type="lastRow">
      <w:rPr>
        <w:b/>
        <w:bCs/>
      </w:rPr>
      <w:tblPr/>
      <w:tcPr>
        <w:tcBorders>
          <w:top w:val="single" w:sz="18" w:space="0" w:color="FF373E" w:themeColor="accent1" w:themeTint="BF"/>
        </w:tcBorders>
      </w:tcPr>
    </w:tblStylePr>
    <w:tblStylePr w:type="firstCol">
      <w:rPr>
        <w:b/>
        <w:bCs/>
      </w:rPr>
    </w:tblStylePr>
    <w:tblStylePr w:type="lastCol">
      <w:rPr>
        <w:b/>
        <w:bCs/>
      </w:rPr>
    </w:tblStylePr>
    <w:tblStylePr w:type="band1Vert">
      <w:tblPr/>
      <w:tcPr>
        <w:shd w:val="clear" w:color="auto" w:fill="FF7A7F" w:themeFill="accent1" w:themeFillTint="7F"/>
      </w:tcPr>
    </w:tblStylePr>
    <w:tblStylePr w:type="band1Horz">
      <w:tblPr/>
      <w:tcPr>
        <w:shd w:val="clear" w:color="auto" w:fill="FF7A7F"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9FA1A3" w:themeColor="accent2" w:themeTint="BF"/>
        <w:left w:val="single" w:sz="8" w:space="0" w:color="9FA1A3" w:themeColor="accent2" w:themeTint="BF"/>
        <w:bottom w:val="single" w:sz="8" w:space="0" w:color="9FA1A3" w:themeColor="accent2" w:themeTint="BF"/>
        <w:right w:val="single" w:sz="8" w:space="0" w:color="9FA1A3" w:themeColor="accent2" w:themeTint="BF"/>
        <w:insideH w:val="single" w:sz="8" w:space="0" w:color="9FA1A3" w:themeColor="accent2" w:themeTint="BF"/>
        <w:insideV w:val="single" w:sz="8" w:space="0" w:color="9FA1A3" w:themeColor="accent2" w:themeTint="BF"/>
      </w:tblBorders>
    </w:tblPr>
    <w:tcPr>
      <w:shd w:val="clear" w:color="auto" w:fill="DFE0E0" w:themeFill="accent2" w:themeFillTint="3F"/>
    </w:tcPr>
    <w:tblStylePr w:type="firstRow">
      <w:rPr>
        <w:b/>
        <w:bCs/>
      </w:rPr>
    </w:tblStylePr>
    <w:tblStylePr w:type="lastRow">
      <w:rPr>
        <w:b/>
        <w:bCs/>
      </w:rPr>
      <w:tblPr/>
      <w:tcPr>
        <w:tcBorders>
          <w:top w:val="single" w:sz="18" w:space="0" w:color="9FA1A3" w:themeColor="accent2" w:themeTint="BF"/>
        </w:tcBorders>
      </w:tcPr>
    </w:tblStylePr>
    <w:tblStylePr w:type="firstCol">
      <w:rPr>
        <w:b/>
        <w:bCs/>
      </w:rPr>
    </w:tblStylePr>
    <w:tblStylePr w:type="lastCol">
      <w:rPr>
        <w:b/>
        <w:bCs/>
      </w:rPr>
    </w:tblStylePr>
    <w:tblStylePr w:type="band1Vert">
      <w:tblPr/>
      <w:tcPr>
        <w:shd w:val="clear" w:color="auto" w:fill="BFC0C2" w:themeFill="accent2" w:themeFillTint="7F"/>
      </w:tcPr>
    </w:tblStylePr>
    <w:tblStylePr w:type="band1Horz">
      <w:tblPr/>
      <w:tcPr>
        <w:shd w:val="clear" w:color="auto" w:fill="BFC0C2"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FF373E" w:themeColor="accent3" w:themeTint="BF"/>
        <w:left w:val="single" w:sz="8" w:space="0" w:color="FF373E" w:themeColor="accent3" w:themeTint="BF"/>
        <w:bottom w:val="single" w:sz="8" w:space="0" w:color="FF373E" w:themeColor="accent3" w:themeTint="BF"/>
        <w:right w:val="single" w:sz="8" w:space="0" w:color="FF373E" w:themeColor="accent3" w:themeTint="BF"/>
        <w:insideH w:val="single" w:sz="8" w:space="0" w:color="FF373E" w:themeColor="accent3" w:themeTint="BF"/>
        <w:insideV w:val="single" w:sz="8" w:space="0" w:color="FF373E" w:themeColor="accent3" w:themeTint="BF"/>
      </w:tblBorders>
    </w:tblPr>
    <w:tcPr>
      <w:shd w:val="clear" w:color="auto" w:fill="FFBDBF" w:themeFill="accent3" w:themeFillTint="3F"/>
    </w:tcPr>
    <w:tblStylePr w:type="firstRow">
      <w:rPr>
        <w:b/>
        <w:bCs/>
      </w:rPr>
    </w:tblStylePr>
    <w:tblStylePr w:type="lastRow">
      <w:rPr>
        <w:b/>
        <w:bCs/>
      </w:rPr>
      <w:tblPr/>
      <w:tcPr>
        <w:tcBorders>
          <w:top w:val="single" w:sz="18" w:space="0" w:color="FF373E" w:themeColor="accent3" w:themeTint="BF"/>
        </w:tcBorders>
      </w:tcPr>
    </w:tblStylePr>
    <w:tblStylePr w:type="firstCol">
      <w:rPr>
        <w:b/>
        <w:bCs/>
      </w:rPr>
    </w:tblStylePr>
    <w:tblStylePr w:type="lastCol">
      <w:rPr>
        <w:b/>
        <w:bCs/>
      </w:rPr>
    </w:tblStylePr>
    <w:tblStylePr w:type="band1Vert">
      <w:tblPr/>
      <w:tcPr>
        <w:shd w:val="clear" w:color="auto" w:fill="FF7A7F" w:themeFill="accent3" w:themeFillTint="7F"/>
      </w:tcPr>
    </w:tblStylePr>
    <w:tblStylePr w:type="band1Horz">
      <w:tblPr/>
      <w:tcPr>
        <w:shd w:val="clear" w:color="auto" w:fill="FF7A7F"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373E" w:themeColor="accent4" w:themeTint="BF"/>
        <w:left w:val="single" w:sz="8" w:space="0" w:color="FF373E" w:themeColor="accent4" w:themeTint="BF"/>
        <w:bottom w:val="single" w:sz="8" w:space="0" w:color="FF373E" w:themeColor="accent4" w:themeTint="BF"/>
        <w:right w:val="single" w:sz="8" w:space="0" w:color="FF373E" w:themeColor="accent4" w:themeTint="BF"/>
        <w:insideH w:val="single" w:sz="8" w:space="0" w:color="FF373E" w:themeColor="accent4" w:themeTint="BF"/>
        <w:insideV w:val="single" w:sz="8" w:space="0" w:color="FF373E" w:themeColor="accent4" w:themeTint="BF"/>
      </w:tblBorders>
    </w:tblPr>
    <w:tcPr>
      <w:shd w:val="clear" w:color="auto" w:fill="FFBDBF" w:themeFill="accent4" w:themeFillTint="3F"/>
    </w:tcPr>
    <w:tblStylePr w:type="firstRow">
      <w:rPr>
        <w:b/>
        <w:bCs/>
      </w:rPr>
    </w:tblStylePr>
    <w:tblStylePr w:type="lastRow">
      <w:rPr>
        <w:b/>
        <w:bCs/>
      </w:rPr>
      <w:tblPr/>
      <w:tcPr>
        <w:tcBorders>
          <w:top w:val="single" w:sz="18" w:space="0" w:color="FF373E" w:themeColor="accent4" w:themeTint="BF"/>
        </w:tcBorders>
      </w:tcPr>
    </w:tblStylePr>
    <w:tblStylePr w:type="firstCol">
      <w:rPr>
        <w:b/>
        <w:bCs/>
      </w:rPr>
    </w:tblStylePr>
    <w:tblStylePr w:type="lastCol">
      <w:rPr>
        <w:b/>
        <w:bCs/>
      </w:rPr>
    </w:tblStylePr>
    <w:tblStylePr w:type="band1Vert">
      <w:tblPr/>
      <w:tcPr>
        <w:shd w:val="clear" w:color="auto" w:fill="FF7A7F" w:themeFill="accent4" w:themeFillTint="7F"/>
      </w:tcPr>
    </w:tblStylePr>
    <w:tblStylePr w:type="band1Horz">
      <w:tblPr/>
      <w:tcPr>
        <w:shd w:val="clear" w:color="auto" w:fill="FF7A7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FF373E" w:themeColor="accent5" w:themeTint="BF"/>
        <w:left w:val="single" w:sz="8" w:space="0" w:color="FF373E" w:themeColor="accent5" w:themeTint="BF"/>
        <w:bottom w:val="single" w:sz="8" w:space="0" w:color="FF373E" w:themeColor="accent5" w:themeTint="BF"/>
        <w:right w:val="single" w:sz="8" w:space="0" w:color="FF373E" w:themeColor="accent5" w:themeTint="BF"/>
        <w:insideH w:val="single" w:sz="8" w:space="0" w:color="FF373E" w:themeColor="accent5" w:themeTint="BF"/>
        <w:insideV w:val="single" w:sz="8" w:space="0" w:color="FF373E" w:themeColor="accent5" w:themeTint="BF"/>
      </w:tblBorders>
    </w:tblPr>
    <w:tcPr>
      <w:shd w:val="clear" w:color="auto" w:fill="FFBDBF" w:themeFill="accent5" w:themeFillTint="3F"/>
    </w:tcPr>
    <w:tblStylePr w:type="firstRow">
      <w:rPr>
        <w:b/>
        <w:bCs/>
      </w:rPr>
    </w:tblStylePr>
    <w:tblStylePr w:type="lastRow">
      <w:rPr>
        <w:b/>
        <w:bCs/>
      </w:rPr>
      <w:tblPr/>
      <w:tcPr>
        <w:tcBorders>
          <w:top w:val="single" w:sz="18" w:space="0" w:color="FF373E" w:themeColor="accent5" w:themeTint="BF"/>
        </w:tcBorders>
      </w:tcPr>
    </w:tblStylePr>
    <w:tblStylePr w:type="firstCol">
      <w:rPr>
        <w:b/>
        <w:bCs/>
      </w:rPr>
    </w:tblStylePr>
    <w:tblStylePr w:type="lastCol">
      <w:rPr>
        <w:b/>
        <w:bCs/>
      </w:rPr>
    </w:tblStylePr>
    <w:tblStylePr w:type="band1Vert">
      <w:tblPr/>
      <w:tcPr>
        <w:shd w:val="clear" w:color="auto" w:fill="FF7A7F" w:themeFill="accent5" w:themeFillTint="7F"/>
      </w:tcPr>
    </w:tblStylePr>
    <w:tblStylePr w:type="band1Horz">
      <w:tblPr/>
      <w:tcPr>
        <w:shd w:val="clear" w:color="auto" w:fill="FF7A7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F373E" w:themeColor="accent6" w:themeTint="BF"/>
        <w:left w:val="single" w:sz="8" w:space="0" w:color="FF373E" w:themeColor="accent6" w:themeTint="BF"/>
        <w:bottom w:val="single" w:sz="8" w:space="0" w:color="FF373E" w:themeColor="accent6" w:themeTint="BF"/>
        <w:right w:val="single" w:sz="8" w:space="0" w:color="FF373E" w:themeColor="accent6" w:themeTint="BF"/>
        <w:insideH w:val="single" w:sz="8" w:space="0" w:color="FF373E" w:themeColor="accent6" w:themeTint="BF"/>
        <w:insideV w:val="single" w:sz="8" w:space="0" w:color="FF373E" w:themeColor="accent6" w:themeTint="BF"/>
      </w:tblBorders>
    </w:tblPr>
    <w:tcPr>
      <w:shd w:val="clear" w:color="auto" w:fill="FFBDBF" w:themeFill="accent6" w:themeFillTint="3F"/>
    </w:tcPr>
    <w:tblStylePr w:type="firstRow">
      <w:rPr>
        <w:b/>
        <w:bCs/>
      </w:rPr>
    </w:tblStylePr>
    <w:tblStylePr w:type="lastRow">
      <w:rPr>
        <w:b/>
        <w:bCs/>
      </w:rPr>
      <w:tblPr/>
      <w:tcPr>
        <w:tcBorders>
          <w:top w:val="single" w:sz="18" w:space="0" w:color="FF373E" w:themeColor="accent6" w:themeTint="BF"/>
        </w:tcBorders>
      </w:tcPr>
    </w:tblStylePr>
    <w:tblStylePr w:type="firstCol">
      <w:rPr>
        <w:b/>
        <w:bCs/>
      </w:rPr>
    </w:tblStylePr>
    <w:tblStylePr w:type="lastCol">
      <w:rPr>
        <w:b/>
        <w:bCs/>
      </w:rPr>
    </w:tblStylePr>
    <w:tblStylePr w:type="band1Vert">
      <w:tblPr/>
      <w:tcPr>
        <w:shd w:val="clear" w:color="auto" w:fill="FF7A7F" w:themeFill="accent6" w:themeFillTint="7F"/>
      </w:tcPr>
    </w:tblStylePr>
    <w:tblStylePr w:type="band1Horz">
      <w:tblPr/>
      <w:tcPr>
        <w:shd w:val="clear" w:color="auto" w:fill="FF7A7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455560" w:themeColor="text1"/>
    </w:rPr>
    <w:tblPr>
      <w:tblStyleRowBandSize w:val="1"/>
      <w:tblStyleColBandSize w:val="1"/>
      <w:tblBorders>
        <w:top w:val="single" w:sz="8" w:space="0" w:color="455560" w:themeColor="text1"/>
        <w:left w:val="single" w:sz="8" w:space="0" w:color="455560" w:themeColor="text1"/>
        <w:bottom w:val="single" w:sz="8" w:space="0" w:color="455560" w:themeColor="text1"/>
        <w:right w:val="single" w:sz="8" w:space="0" w:color="455560" w:themeColor="text1"/>
        <w:insideH w:val="single" w:sz="8" w:space="0" w:color="455560" w:themeColor="text1"/>
        <w:insideV w:val="single" w:sz="8" w:space="0" w:color="455560" w:themeColor="text1"/>
      </w:tblBorders>
    </w:tblPr>
    <w:tcPr>
      <w:shd w:val="clear" w:color="auto" w:fill="CDD5DB" w:themeFill="text1" w:themeFillTint="3F"/>
    </w:tcPr>
    <w:tblStylePr w:type="firstRow">
      <w:rPr>
        <w:b/>
        <w:bCs/>
        <w:color w:val="455560" w:themeColor="text1"/>
      </w:rPr>
      <w:tblPr/>
      <w:tcPr>
        <w:shd w:val="clear" w:color="auto" w:fill="EBEEF0" w:themeFill="text1" w:themeFillTint="19"/>
      </w:tcPr>
    </w:tblStylePr>
    <w:tblStylePr w:type="lastRow">
      <w:rPr>
        <w:b/>
        <w:bCs/>
        <w:color w:val="455560" w:themeColor="text1"/>
      </w:rPr>
      <w:tblPr/>
      <w:tcPr>
        <w:tcBorders>
          <w:top w:val="single" w:sz="12" w:space="0" w:color="455560" w:themeColor="text1"/>
          <w:left w:val="nil"/>
          <w:bottom w:val="nil"/>
          <w:right w:val="nil"/>
          <w:insideH w:val="nil"/>
          <w:insideV w:val="nil"/>
        </w:tcBorders>
        <w:shd w:val="clear" w:color="auto" w:fill="FFFFFF" w:themeFill="background1"/>
      </w:tcPr>
    </w:tblStylePr>
    <w:tblStylePr w:type="firstCol">
      <w:rPr>
        <w:b/>
        <w:bCs/>
        <w:color w:val="45556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455560" w:themeColor="text1"/>
      </w:rPr>
      <w:tblPr/>
      <w:tcPr>
        <w:tcBorders>
          <w:top w:val="nil"/>
          <w:left w:val="nil"/>
          <w:bottom w:val="nil"/>
          <w:right w:val="nil"/>
          <w:insideH w:val="nil"/>
          <w:insideV w:val="nil"/>
        </w:tcBorders>
        <w:shd w:val="clear" w:color="auto" w:fill="D6DDE2" w:themeFill="text1" w:themeFillTint="33"/>
      </w:tcPr>
    </w:tblStylePr>
    <w:tblStylePr w:type="band1Vert">
      <w:tblPr/>
      <w:tcPr>
        <w:shd w:val="clear" w:color="auto" w:fill="9AABB7" w:themeFill="text1" w:themeFillTint="7F"/>
      </w:tcPr>
    </w:tblStylePr>
    <w:tblStylePr w:type="band1Horz">
      <w:tblPr/>
      <w:tcPr>
        <w:tcBorders>
          <w:insideH w:val="single" w:sz="6" w:space="0" w:color="455560" w:themeColor="text1"/>
          <w:insideV w:val="single" w:sz="6" w:space="0" w:color="455560" w:themeColor="text1"/>
        </w:tcBorders>
        <w:shd w:val="clear" w:color="auto" w:fill="9AABB7"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455560" w:themeColor="text1"/>
    </w:rPr>
    <w:tblPr>
      <w:tblStyleRowBandSize w:val="1"/>
      <w:tblStyleColBandSize w:val="1"/>
      <w:tblBorders>
        <w:top w:val="single" w:sz="8" w:space="0" w:color="F40009" w:themeColor="accent1"/>
        <w:left w:val="single" w:sz="8" w:space="0" w:color="F40009" w:themeColor="accent1"/>
        <w:bottom w:val="single" w:sz="8" w:space="0" w:color="F40009" w:themeColor="accent1"/>
        <w:right w:val="single" w:sz="8" w:space="0" w:color="F40009" w:themeColor="accent1"/>
        <w:insideH w:val="single" w:sz="8" w:space="0" w:color="F40009" w:themeColor="accent1"/>
        <w:insideV w:val="single" w:sz="8" w:space="0" w:color="F40009" w:themeColor="accent1"/>
      </w:tblBorders>
    </w:tblPr>
    <w:tcPr>
      <w:shd w:val="clear" w:color="auto" w:fill="FFBDBF" w:themeFill="accent1" w:themeFillTint="3F"/>
    </w:tcPr>
    <w:tblStylePr w:type="firstRow">
      <w:rPr>
        <w:b/>
        <w:bCs/>
        <w:color w:val="455560" w:themeColor="text1"/>
      </w:rPr>
      <w:tblPr/>
      <w:tcPr>
        <w:shd w:val="clear" w:color="auto" w:fill="FFE4E5" w:themeFill="accent1" w:themeFillTint="19"/>
      </w:tcPr>
    </w:tblStylePr>
    <w:tblStylePr w:type="lastRow">
      <w:rPr>
        <w:b/>
        <w:bCs/>
        <w:color w:val="455560" w:themeColor="text1"/>
      </w:rPr>
      <w:tblPr/>
      <w:tcPr>
        <w:tcBorders>
          <w:top w:val="single" w:sz="12" w:space="0" w:color="455560" w:themeColor="text1"/>
          <w:left w:val="nil"/>
          <w:bottom w:val="nil"/>
          <w:right w:val="nil"/>
          <w:insideH w:val="nil"/>
          <w:insideV w:val="nil"/>
        </w:tcBorders>
        <w:shd w:val="clear" w:color="auto" w:fill="FFFFFF" w:themeFill="background1"/>
      </w:tcPr>
    </w:tblStylePr>
    <w:tblStylePr w:type="firstCol">
      <w:rPr>
        <w:b/>
        <w:bCs/>
        <w:color w:val="45556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455560" w:themeColor="text1"/>
      </w:rPr>
      <w:tblPr/>
      <w:tcPr>
        <w:tcBorders>
          <w:top w:val="nil"/>
          <w:left w:val="nil"/>
          <w:bottom w:val="nil"/>
          <w:right w:val="nil"/>
          <w:insideH w:val="nil"/>
          <w:insideV w:val="nil"/>
        </w:tcBorders>
        <w:shd w:val="clear" w:color="auto" w:fill="FFC9CB" w:themeFill="accent1" w:themeFillTint="33"/>
      </w:tcPr>
    </w:tblStylePr>
    <w:tblStylePr w:type="band1Vert">
      <w:tblPr/>
      <w:tcPr>
        <w:shd w:val="clear" w:color="auto" w:fill="FF7A7F" w:themeFill="accent1" w:themeFillTint="7F"/>
      </w:tcPr>
    </w:tblStylePr>
    <w:tblStylePr w:type="band1Horz">
      <w:tblPr/>
      <w:tcPr>
        <w:tcBorders>
          <w:insideH w:val="single" w:sz="6" w:space="0" w:color="F40009" w:themeColor="accent1"/>
          <w:insideV w:val="single" w:sz="6" w:space="0" w:color="F40009" w:themeColor="accent1"/>
        </w:tcBorders>
        <w:shd w:val="clear" w:color="auto" w:fill="FF7A7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455560" w:themeColor="text1"/>
    </w:rPr>
    <w:tblPr>
      <w:tblStyleRowBandSize w:val="1"/>
      <w:tblStyleColBandSize w:val="1"/>
      <w:tblBorders>
        <w:top w:val="single" w:sz="8" w:space="0" w:color="808285" w:themeColor="accent2"/>
        <w:left w:val="single" w:sz="8" w:space="0" w:color="808285" w:themeColor="accent2"/>
        <w:bottom w:val="single" w:sz="8" w:space="0" w:color="808285" w:themeColor="accent2"/>
        <w:right w:val="single" w:sz="8" w:space="0" w:color="808285" w:themeColor="accent2"/>
        <w:insideH w:val="single" w:sz="8" w:space="0" w:color="808285" w:themeColor="accent2"/>
        <w:insideV w:val="single" w:sz="8" w:space="0" w:color="808285" w:themeColor="accent2"/>
      </w:tblBorders>
    </w:tblPr>
    <w:tcPr>
      <w:shd w:val="clear" w:color="auto" w:fill="DFE0E0" w:themeFill="accent2" w:themeFillTint="3F"/>
    </w:tcPr>
    <w:tblStylePr w:type="firstRow">
      <w:rPr>
        <w:b/>
        <w:bCs/>
        <w:color w:val="455560" w:themeColor="text1"/>
      </w:rPr>
      <w:tblPr/>
      <w:tcPr>
        <w:shd w:val="clear" w:color="auto" w:fill="F2F2F3" w:themeFill="accent2" w:themeFillTint="19"/>
      </w:tcPr>
    </w:tblStylePr>
    <w:tblStylePr w:type="lastRow">
      <w:rPr>
        <w:b/>
        <w:bCs/>
        <w:color w:val="455560" w:themeColor="text1"/>
      </w:rPr>
      <w:tblPr/>
      <w:tcPr>
        <w:tcBorders>
          <w:top w:val="single" w:sz="12" w:space="0" w:color="455560" w:themeColor="text1"/>
          <w:left w:val="nil"/>
          <w:bottom w:val="nil"/>
          <w:right w:val="nil"/>
          <w:insideH w:val="nil"/>
          <w:insideV w:val="nil"/>
        </w:tcBorders>
        <w:shd w:val="clear" w:color="auto" w:fill="FFFFFF" w:themeFill="background1"/>
      </w:tcPr>
    </w:tblStylePr>
    <w:tblStylePr w:type="firstCol">
      <w:rPr>
        <w:b/>
        <w:bCs/>
        <w:color w:val="45556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455560" w:themeColor="text1"/>
      </w:rPr>
      <w:tblPr/>
      <w:tcPr>
        <w:tcBorders>
          <w:top w:val="nil"/>
          <w:left w:val="nil"/>
          <w:bottom w:val="nil"/>
          <w:right w:val="nil"/>
          <w:insideH w:val="nil"/>
          <w:insideV w:val="nil"/>
        </w:tcBorders>
        <w:shd w:val="clear" w:color="auto" w:fill="E5E5E6" w:themeFill="accent2" w:themeFillTint="33"/>
      </w:tcPr>
    </w:tblStylePr>
    <w:tblStylePr w:type="band1Vert">
      <w:tblPr/>
      <w:tcPr>
        <w:shd w:val="clear" w:color="auto" w:fill="BFC0C2" w:themeFill="accent2" w:themeFillTint="7F"/>
      </w:tcPr>
    </w:tblStylePr>
    <w:tblStylePr w:type="band1Horz">
      <w:tblPr/>
      <w:tcPr>
        <w:tcBorders>
          <w:insideH w:val="single" w:sz="6" w:space="0" w:color="808285" w:themeColor="accent2"/>
          <w:insideV w:val="single" w:sz="6" w:space="0" w:color="808285" w:themeColor="accent2"/>
        </w:tcBorders>
        <w:shd w:val="clear" w:color="auto" w:fill="BFC0C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455560" w:themeColor="text1"/>
    </w:rPr>
    <w:tblPr>
      <w:tblStyleRowBandSize w:val="1"/>
      <w:tblStyleColBandSize w:val="1"/>
      <w:tblBorders>
        <w:top w:val="single" w:sz="8" w:space="0" w:color="F40009" w:themeColor="accent3"/>
        <w:left w:val="single" w:sz="8" w:space="0" w:color="F40009" w:themeColor="accent3"/>
        <w:bottom w:val="single" w:sz="8" w:space="0" w:color="F40009" w:themeColor="accent3"/>
        <w:right w:val="single" w:sz="8" w:space="0" w:color="F40009" w:themeColor="accent3"/>
        <w:insideH w:val="single" w:sz="8" w:space="0" w:color="F40009" w:themeColor="accent3"/>
        <w:insideV w:val="single" w:sz="8" w:space="0" w:color="F40009" w:themeColor="accent3"/>
      </w:tblBorders>
    </w:tblPr>
    <w:tcPr>
      <w:shd w:val="clear" w:color="auto" w:fill="FFBDBF" w:themeFill="accent3" w:themeFillTint="3F"/>
    </w:tcPr>
    <w:tblStylePr w:type="firstRow">
      <w:rPr>
        <w:b/>
        <w:bCs/>
        <w:color w:val="455560" w:themeColor="text1"/>
      </w:rPr>
      <w:tblPr/>
      <w:tcPr>
        <w:shd w:val="clear" w:color="auto" w:fill="FFE4E5" w:themeFill="accent3" w:themeFillTint="19"/>
      </w:tcPr>
    </w:tblStylePr>
    <w:tblStylePr w:type="lastRow">
      <w:rPr>
        <w:b/>
        <w:bCs/>
        <w:color w:val="455560" w:themeColor="text1"/>
      </w:rPr>
      <w:tblPr/>
      <w:tcPr>
        <w:tcBorders>
          <w:top w:val="single" w:sz="12" w:space="0" w:color="455560" w:themeColor="text1"/>
          <w:left w:val="nil"/>
          <w:bottom w:val="nil"/>
          <w:right w:val="nil"/>
          <w:insideH w:val="nil"/>
          <w:insideV w:val="nil"/>
        </w:tcBorders>
        <w:shd w:val="clear" w:color="auto" w:fill="FFFFFF" w:themeFill="background1"/>
      </w:tcPr>
    </w:tblStylePr>
    <w:tblStylePr w:type="firstCol">
      <w:rPr>
        <w:b/>
        <w:bCs/>
        <w:color w:val="45556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455560" w:themeColor="text1"/>
      </w:rPr>
      <w:tblPr/>
      <w:tcPr>
        <w:tcBorders>
          <w:top w:val="nil"/>
          <w:left w:val="nil"/>
          <w:bottom w:val="nil"/>
          <w:right w:val="nil"/>
          <w:insideH w:val="nil"/>
          <w:insideV w:val="nil"/>
        </w:tcBorders>
        <w:shd w:val="clear" w:color="auto" w:fill="FFC9CB" w:themeFill="accent3" w:themeFillTint="33"/>
      </w:tcPr>
    </w:tblStylePr>
    <w:tblStylePr w:type="band1Vert">
      <w:tblPr/>
      <w:tcPr>
        <w:shd w:val="clear" w:color="auto" w:fill="FF7A7F" w:themeFill="accent3" w:themeFillTint="7F"/>
      </w:tcPr>
    </w:tblStylePr>
    <w:tblStylePr w:type="band1Horz">
      <w:tblPr/>
      <w:tcPr>
        <w:tcBorders>
          <w:insideH w:val="single" w:sz="6" w:space="0" w:color="F40009" w:themeColor="accent3"/>
          <w:insideV w:val="single" w:sz="6" w:space="0" w:color="F40009" w:themeColor="accent3"/>
        </w:tcBorders>
        <w:shd w:val="clear" w:color="auto" w:fill="FF7A7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455560" w:themeColor="text1"/>
    </w:rPr>
    <w:tblPr>
      <w:tblStyleRowBandSize w:val="1"/>
      <w:tblStyleColBandSize w:val="1"/>
      <w:tblBorders>
        <w:top w:val="single" w:sz="8" w:space="0" w:color="F40009" w:themeColor="accent4"/>
        <w:left w:val="single" w:sz="8" w:space="0" w:color="F40009" w:themeColor="accent4"/>
        <w:bottom w:val="single" w:sz="8" w:space="0" w:color="F40009" w:themeColor="accent4"/>
        <w:right w:val="single" w:sz="8" w:space="0" w:color="F40009" w:themeColor="accent4"/>
        <w:insideH w:val="single" w:sz="8" w:space="0" w:color="F40009" w:themeColor="accent4"/>
        <w:insideV w:val="single" w:sz="8" w:space="0" w:color="F40009" w:themeColor="accent4"/>
      </w:tblBorders>
    </w:tblPr>
    <w:tcPr>
      <w:shd w:val="clear" w:color="auto" w:fill="FFBDBF" w:themeFill="accent4" w:themeFillTint="3F"/>
    </w:tcPr>
    <w:tblStylePr w:type="firstRow">
      <w:rPr>
        <w:b/>
        <w:bCs/>
        <w:color w:val="455560" w:themeColor="text1"/>
      </w:rPr>
      <w:tblPr/>
      <w:tcPr>
        <w:shd w:val="clear" w:color="auto" w:fill="FFE4E5" w:themeFill="accent4" w:themeFillTint="19"/>
      </w:tcPr>
    </w:tblStylePr>
    <w:tblStylePr w:type="lastRow">
      <w:rPr>
        <w:b/>
        <w:bCs/>
        <w:color w:val="455560" w:themeColor="text1"/>
      </w:rPr>
      <w:tblPr/>
      <w:tcPr>
        <w:tcBorders>
          <w:top w:val="single" w:sz="12" w:space="0" w:color="455560" w:themeColor="text1"/>
          <w:left w:val="nil"/>
          <w:bottom w:val="nil"/>
          <w:right w:val="nil"/>
          <w:insideH w:val="nil"/>
          <w:insideV w:val="nil"/>
        </w:tcBorders>
        <w:shd w:val="clear" w:color="auto" w:fill="FFFFFF" w:themeFill="background1"/>
      </w:tcPr>
    </w:tblStylePr>
    <w:tblStylePr w:type="firstCol">
      <w:rPr>
        <w:b/>
        <w:bCs/>
        <w:color w:val="45556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455560" w:themeColor="text1"/>
      </w:rPr>
      <w:tblPr/>
      <w:tcPr>
        <w:tcBorders>
          <w:top w:val="nil"/>
          <w:left w:val="nil"/>
          <w:bottom w:val="nil"/>
          <w:right w:val="nil"/>
          <w:insideH w:val="nil"/>
          <w:insideV w:val="nil"/>
        </w:tcBorders>
        <w:shd w:val="clear" w:color="auto" w:fill="FFC9CB" w:themeFill="accent4" w:themeFillTint="33"/>
      </w:tcPr>
    </w:tblStylePr>
    <w:tblStylePr w:type="band1Vert">
      <w:tblPr/>
      <w:tcPr>
        <w:shd w:val="clear" w:color="auto" w:fill="FF7A7F" w:themeFill="accent4" w:themeFillTint="7F"/>
      </w:tcPr>
    </w:tblStylePr>
    <w:tblStylePr w:type="band1Horz">
      <w:tblPr/>
      <w:tcPr>
        <w:tcBorders>
          <w:insideH w:val="single" w:sz="6" w:space="0" w:color="F40009" w:themeColor="accent4"/>
          <w:insideV w:val="single" w:sz="6" w:space="0" w:color="F40009" w:themeColor="accent4"/>
        </w:tcBorders>
        <w:shd w:val="clear" w:color="auto" w:fill="FF7A7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455560" w:themeColor="text1"/>
    </w:rPr>
    <w:tblPr>
      <w:tblStyleRowBandSize w:val="1"/>
      <w:tblStyleColBandSize w:val="1"/>
      <w:tblBorders>
        <w:top w:val="single" w:sz="8" w:space="0" w:color="F40009" w:themeColor="accent5"/>
        <w:left w:val="single" w:sz="8" w:space="0" w:color="F40009" w:themeColor="accent5"/>
        <w:bottom w:val="single" w:sz="8" w:space="0" w:color="F40009" w:themeColor="accent5"/>
        <w:right w:val="single" w:sz="8" w:space="0" w:color="F40009" w:themeColor="accent5"/>
        <w:insideH w:val="single" w:sz="8" w:space="0" w:color="F40009" w:themeColor="accent5"/>
        <w:insideV w:val="single" w:sz="8" w:space="0" w:color="F40009" w:themeColor="accent5"/>
      </w:tblBorders>
    </w:tblPr>
    <w:tcPr>
      <w:shd w:val="clear" w:color="auto" w:fill="FFBDBF" w:themeFill="accent5" w:themeFillTint="3F"/>
    </w:tcPr>
    <w:tblStylePr w:type="firstRow">
      <w:rPr>
        <w:b/>
        <w:bCs/>
        <w:color w:val="455560" w:themeColor="text1"/>
      </w:rPr>
      <w:tblPr/>
      <w:tcPr>
        <w:shd w:val="clear" w:color="auto" w:fill="FFE4E5" w:themeFill="accent5" w:themeFillTint="19"/>
      </w:tcPr>
    </w:tblStylePr>
    <w:tblStylePr w:type="lastRow">
      <w:rPr>
        <w:b/>
        <w:bCs/>
        <w:color w:val="455560" w:themeColor="text1"/>
      </w:rPr>
      <w:tblPr/>
      <w:tcPr>
        <w:tcBorders>
          <w:top w:val="single" w:sz="12" w:space="0" w:color="455560" w:themeColor="text1"/>
          <w:left w:val="nil"/>
          <w:bottom w:val="nil"/>
          <w:right w:val="nil"/>
          <w:insideH w:val="nil"/>
          <w:insideV w:val="nil"/>
        </w:tcBorders>
        <w:shd w:val="clear" w:color="auto" w:fill="FFFFFF" w:themeFill="background1"/>
      </w:tcPr>
    </w:tblStylePr>
    <w:tblStylePr w:type="firstCol">
      <w:rPr>
        <w:b/>
        <w:bCs/>
        <w:color w:val="45556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455560" w:themeColor="text1"/>
      </w:rPr>
      <w:tblPr/>
      <w:tcPr>
        <w:tcBorders>
          <w:top w:val="nil"/>
          <w:left w:val="nil"/>
          <w:bottom w:val="nil"/>
          <w:right w:val="nil"/>
          <w:insideH w:val="nil"/>
          <w:insideV w:val="nil"/>
        </w:tcBorders>
        <w:shd w:val="clear" w:color="auto" w:fill="FFC9CB" w:themeFill="accent5" w:themeFillTint="33"/>
      </w:tcPr>
    </w:tblStylePr>
    <w:tblStylePr w:type="band1Vert">
      <w:tblPr/>
      <w:tcPr>
        <w:shd w:val="clear" w:color="auto" w:fill="FF7A7F" w:themeFill="accent5" w:themeFillTint="7F"/>
      </w:tcPr>
    </w:tblStylePr>
    <w:tblStylePr w:type="band1Horz">
      <w:tblPr/>
      <w:tcPr>
        <w:tcBorders>
          <w:insideH w:val="single" w:sz="6" w:space="0" w:color="F40009" w:themeColor="accent5"/>
          <w:insideV w:val="single" w:sz="6" w:space="0" w:color="F40009" w:themeColor="accent5"/>
        </w:tcBorders>
        <w:shd w:val="clear" w:color="auto" w:fill="FF7A7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455560" w:themeColor="text1"/>
    </w:rPr>
    <w:tblPr>
      <w:tblStyleRowBandSize w:val="1"/>
      <w:tblStyleColBandSize w:val="1"/>
      <w:tblBorders>
        <w:top w:val="single" w:sz="8" w:space="0" w:color="F40009" w:themeColor="accent6"/>
        <w:left w:val="single" w:sz="8" w:space="0" w:color="F40009" w:themeColor="accent6"/>
        <w:bottom w:val="single" w:sz="8" w:space="0" w:color="F40009" w:themeColor="accent6"/>
        <w:right w:val="single" w:sz="8" w:space="0" w:color="F40009" w:themeColor="accent6"/>
        <w:insideH w:val="single" w:sz="8" w:space="0" w:color="F40009" w:themeColor="accent6"/>
        <w:insideV w:val="single" w:sz="8" w:space="0" w:color="F40009" w:themeColor="accent6"/>
      </w:tblBorders>
    </w:tblPr>
    <w:tcPr>
      <w:shd w:val="clear" w:color="auto" w:fill="FFBDBF" w:themeFill="accent6" w:themeFillTint="3F"/>
    </w:tcPr>
    <w:tblStylePr w:type="firstRow">
      <w:rPr>
        <w:b/>
        <w:bCs/>
        <w:color w:val="455560" w:themeColor="text1"/>
      </w:rPr>
      <w:tblPr/>
      <w:tcPr>
        <w:shd w:val="clear" w:color="auto" w:fill="FFE4E5" w:themeFill="accent6" w:themeFillTint="19"/>
      </w:tcPr>
    </w:tblStylePr>
    <w:tblStylePr w:type="lastRow">
      <w:rPr>
        <w:b/>
        <w:bCs/>
        <w:color w:val="455560" w:themeColor="text1"/>
      </w:rPr>
      <w:tblPr/>
      <w:tcPr>
        <w:tcBorders>
          <w:top w:val="single" w:sz="12" w:space="0" w:color="455560" w:themeColor="text1"/>
          <w:left w:val="nil"/>
          <w:bottom w:val="nil"/>
          <w:right w:val="nil"/>
          <w:insideH w:val="nil"/>
          <w:insideV w:val="nil"/>
        </w:tcBorders>
        <w:shd w:val="clear" w:color="auto" w:fill="FFFFFF" w:themeFill="background1"/>
      </w:tcPr>
    </w:tblStylePr>
    <w:tblStylePr w:type="firstCol">
      <w:rPr>
        <w:b/>
        <w:bCs/>
        <w:color w:val="45556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455560" w:themeColor="text1"/>
      </w:rPr>
      <w:tblPr/>
      <w:tcPr>
        <w:tcBorders>
          <w:top w:val="nil"/>
          <w:left w:val="nil"/>
          <w:bottom w:val="nil"/>
          <w:right w:val="nil"/>
          <w:insideH w:val="nil"/>
          <w:insideV w:val="nil"/>
        </w:tcBorders>
        <w:shd w:val="clear" w:color="auto" w:fill="FFC9CB" w:themeFill="accent6" w:themeFillTint="33"/>
      </w:tcPr>
    </w:tblStylePr>
    <w:tblStylePr w:type="band1Vert">
      <w:tblPr/>
      <w:tcPr>
        <w:shd w:val="clear" w:color="auto" w:fill="FF7A7F" w:themeFill="accent6" w:themeFillTint="7F"/>
      </w:tcPr>
    </w:tblStylePr>
    <w:tblStylePr w:type="band1Horz">
      <w:tblPr/>
      <w:tcPr>
        <w:tcBorders>
          <w:insideH w:val="single" w:sz="6" w:space="0" w:color="F40009" w:themeColor="accent6"/>
          <w:insideV w:val="single" w:sz="6" w:space="0" w:color="F40009" w:themeColor="accent6"/>
        </w:tcBorders>
        <w:shd w:val="clear" w:color="auto" w:fill="FF7A7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DD5D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5556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5556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5556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5556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AABB7"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AABB7"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DB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0009"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0009"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40009"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40009"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A7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A7F"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0E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28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28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28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28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0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0C2"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DB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00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00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400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400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A7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A7F"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DB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000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000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4000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4000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A7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A7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DB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000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000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4000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4000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A7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A7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DB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000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000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4000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4000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A7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A7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455560" w:themeFill="text1"/>
    </w:tcPr>
    <w:tblStylePr w:type="firstRow">
      <w:rPr>
        <w:b/>
        <w:bCs/>
      </w:rPr>
      <w:tblPr/>
      <w:tcPr>
        <w:tcBorders>
          <w:top w:val="nil"/>
          <w:left w:val="nil"/>
          <w:bottom w:val="single" w:sz="18" w:space="0" w:color="FFFFFF" w:themeColor="background1"/>
          <w:right w:val="nil"/>
          <w:insideH w:val="nil"/>
          <w:insideV w:val="nil"/>
        </w:tcBorders>
        <w:shd w:val="clear" w:color="auto" w:fill="455560" w:themeFill="text1"/>
      </w:tcPr>
    </w:tblStylePr>
    <w:tblStylePr w:type="lastRow">
      <w:tblPr/>
      <w:tcPr>
        <w:tcBorders>
          <w:top w:val="single" w:sz="18" w:space="0" w:color="FFFFFF" w:themeColor="background1"/>
          <w:left w:val="nil"/>
          <w:bottom w:val="nil"/>
          <w:right w:val="nil"/>
          <w:insideH w:val="nil"/>
          <w:insideV w:val="nil"/>
        </w:tcBorders>
        <w:shd w:val="clear" w:color="auto" w:fill="222A2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333F4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333F47" w:themeFill="text1" w:themeFillShade="BF"/>
      </w:tcPr>
    </w:tblStylePr>
    <w:tblStylePr w:type="band1Vert">
      <w:tblPr/>
      <w:tcPr>
        <w:tcBorders>
          <w:top w:val="nil"/>
          <w:left w:val="nil"/>
          <w:bottom w:val="nil"/>
          <w:right w:val="nil"/>
          <w:insideH w:val="nil"/>
          <w:insideV w:val="nil"/>
        </w:tcBorders>
        <w:shd w:val="clear" w:color="auto" w:fill="333F47" w:themeFill="text1" w:themeFillShade="BF"/>
      </w:tcPr>
    </w:tblStylePr>
    <w:tblStylePr w:type="band1Horz">
      <w:tblPr/>
      <w:tcPr>
        <w:tcBorders>
          <w:top w:val="nil"/>
          <w:left w:val="nil"/>
          <w:bottom w:val="nil"/>
          <w:right w:val="nil"/>
          <w:insideH w:val="nil"/>
          <w:insideV w:val="nil"/>
        </w:tcBorders>
        <w:shd w:val="clear" w:color="auto" w:fill="333F4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40009"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455560" w:themeFill="text1"/>
      </w:tcPr>
    </w:tblStylePr>
    <w:tblStylePr w:type="lastRow">
      <w:tblPr/>
      <w:tcPr>
        <w:tcBorders>
          <w:top w:val="single" w:sz="18" w:space="0" w:color="FFFFFF" w:themeColor="background1"/>
          <w:left w:val="nil"/>
          <w:bottom w:val="nil"/>
          <w:right w:val="nil"/>
          <w:insideH w:val="nil"/>
          <w:insideV w:val="nil"/>
        </w:tcBorders>
        <w:shd w:val="clear" w:color="auto" w:fill="79000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6000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60006" w:themeFill="accent1" w:themeFillShade="BF"/>
      </w:tcPr>
    </w:tblStylePr>
    <w:tblStylePr w:type="band1Vert">
      <w:tblPr/>
      <w:tcPr>
        <w:tcBorders>
          <w:top w:val="nil"/>
          <w:left w:val="nil"/>
          <w:bottom w:val="nil"/>
          <w:right w:val="nil"/>
          <w:insideH w:val="nil"/>
          <w:insideV w:val="nil"/>
        </w:tcBorders>
        <w:shd w:val="clear" w:color="auto" w:fill="B60006" w:themeFill="accent1" w:themeFillShade="BF"/>
      </w:tcPr>
    </w:tblStylePr>
    <w:tblStylePr w:type="band1Horz">
      <w:tblPr/>
      <w:tcPr>
        <w:tcBorders>
          <w:top w:val="nil"/>
          <w:left w:val="nil"/>
          <w:bottom w:val="nil"/>
          <w:right w:val="nil"/>
          <w:insideH w:val="nil"/>
          <w:insideV w:val="nil"/>
        </w:tcBorders>
        <w:shd w:val="clear" w:color="auto" w:fill="B6000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80828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455560" w:themeFill="text1"/>
      </w:tcPr>
    </w:tblStylePr>
    <w:tblStylePr w:type="lastRow">
      <w:tblPr/>
      <w:tcPr>
        <w:tcBorders>
          <w:top w:val="single" w:sz="18" w:space="0" w:color="FFFFFF" w:themeColor="background1"/>
          <w:left w:val="nil"/>
          <w:bottom w:val="nil"/>
          <w:right w:val="nil"/>
          <w:insideH w:val="nil"/>
          <w:insideV w:val="nil"/>
        </w:tcBorders>
        <w:shd w:val="clear" w:color="auto" w:fill="3F404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F616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F6163" w:themeFill="accent2" w:themeFillShade="BF"/>
      </w:tcPr>
    </w:tblStylePr>
    <w:tblStylePr w:type="band1Vert">
      <w:tblPr/>
      <w:tcPr>
        <w:tcBorders>
          <w:top w:val="nil"/>
          <w:left w:val="nil"/>
          <w:bottom w:val="nil"/>
          <w:right w:val="nil"/>
          <w:insideH w:val="nil"/>
          <w:insideV w:val="nil"/>
        </w:tcBorders>
        <w:shd w:val="clear" w:color="auto" w:fill="5F6163" w:themeFill="accent2" w:themeFillShade="BF"/>
      </w:tcPr>
    </w:tblStylePr>
    <w:tblStylePr w:type="band1Horz">
      <w:tblPr/>
      <w:tcPr>
        <w:tcBorders>
          <w:top w:val="nil"/>
          <w:left w:val="nil"/>
          <w:bottom w:val="nil"/>
          <w:right w:val="nil"/>
          <w:insideH w:val="nil"/>
          <w:insideV w:val="nil"/>
        </w:tcBorders>
        <w:shd w:val="clear" w:color="auto" w:fill="5F6163"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F400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455560" w:themeFill="text1"/>
      </w:tcPr>
    </w:tblStylePr>
    <w:tblStylePr w:type="lastRow">
      <w:tblPr/>
      <w:tcPr>
        <w:tcBorders>
          <w:top w:val="single" w:sz="18" w:space="0" w:color="FFFFFF" w:themeColor="background1"/>
          <w:left w:val="nil"/>
          <w:bottom w:val="nil"/>
          <w:right w:val="nil"/>
          <w:insideH w:val="nil"/>
          <w:insideV w:val="nil"/>
        </w:tcBorders>
        <w:shd w:val="clear" w:color="auto" w:fill="7900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600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60006" w:themeFill="accent3" w:themeFillShade="BF"/>
      </w:tcPr>
    </w:tblStylePr>
    <w:tblStylePr w:type="band1Vert">
      <w:tblPr/>
      <w:tcPr>
        <w:tcBorders>
          <w:top w:val="nil"/>
          <w:left w:val="nil"/>
          <w:bottom w:val="nil"/>
          <w:right w:val="nil"/>
          <w:insideH w:val="nil"/>
          <w:insideV w:val="nil"/>
        </w:tcBorders>
        <w:shd w:val="clear" w:color="auto" w:fill="B60006" w:themeFill="accent3" w:themeFillShade="BF"/>
      </w:tcPr>
    </w:tblStylePr>
    <w:tblStylePr w:type="band1Horz">
      <w:tblPr/>
      <w:tcPr>
        <w:tcBorders>
          <w:top w:val="nil"/>
          <w:left w:val="nil"/>
          <w:bottom w:val="nil"/>
          <w:right w:val="nil"/>
          <w:insideH w:val="nil"/>
          <w:insideV w:val="nil"/>
        </w:tcBorders>
        <w:shd w:val="clear" w:color="auto" w:fill="B60006"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4000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455560" w:themeFill="text1"/>
      </w:tcPr>
    </w:tblStylePr>
    <w:tblStylePr w:type="lastRow">
      <w:tblPr/>
      <w:tcPr>
        <w:tcBorders>
          <w:top w:val="single" w:sz="18" w:space="0" w:color="FFFFFF" w:themeColor="background1"/>
          <w:left w:val="nil"/>
          <w:bottom w:val="nil"/>
          <w:right w:val="nil"/>
          <w:insideH w:val="nil"/>
          <w:insideV w:val="nil"/>
        </w:tcBorders>
        <w:shd w:val="clear" w:color="auto" w:fill="79000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60006"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60006" w:themeFill="accent4" w:themeFillShade="BF"/>
      </w:tcPr>
    </w:tblStylePr>
    <w:tblStylePr w:type="band1Vert">
      <w:tblPr/>
      <w:tcPr>
        <w:tcBorders>
          <w:top w:val="nil"/>
          <w:left w:val="nil"/>
          <w:bottom w:val="nil"/>
          <w:right w:val="nil"/>
          <w:insideH w:val="nil"/>
          <w:insideV w:val="nil"/>
        </w:tcBorders>
        <w:shd w:val="clear" w:color="auto" w:fill="B60006" w:themeFill="accent4" w:themeFillShade="BF"/>
      </w:tcPr>
    </w:tblStylePr>
    <w:tblStylePr w:type="band1Horz">
      <w:tblPr/>
      <w:tcPr>
        <w:tcBorders>
          <w:top w:val="nil"/>
          <w:left w:val="nil"/>
          <w:bottom w:val="nil"/>
          <w:right w:val="nil"/>
          <w:insideH w:val="nil"/>
          <w:insideV w:val="nil"/>
        </w:tcBorders>
        <w:shd w:val="clear" w:color="auto" w:fill="B60006"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F4000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455560" w:themeFill="text1"/>
      </w:tcPr>
    </w:tblStylePr>
    <w:tblStylePr w:type="lastRow">
      <w:tblPr/>
      <w:tcPr>
        <w:tcBorders>
          <w:top w:val="single" w:sz="18" w:space="0" w:color="FFFFFF" w:themeColor="background1"/>
          <w:left w:val="nil"/>
          <w:bottom w:val="nil"/>
          <w:right w:val="nil"/>
          <w:insideH w:val="nil"/>
          <w:insideV w:val="nil"/>
        </w:tcBorders>
        <w:shd w:val="clear" w:color="auto" w:fill="790004"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6000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60006" w:themeFill="accent5" w:themeFillShade="BF"/>
      </w:tcPr>
    </w:tblStylePr>
    <w:tblStylePr w:type="band1Vert">
      <w:tblPr/>
      <w:tcPr>
        <w:tcBorders>
          <w:top w:val="nil"/>
          <w:left w:val="nil"/>
          <w:bottom w:val="nil"/>
          <w:right w:val="nil"/>
          <w:insideH w:val="nil"/>
          <w:insideV w:val="nil"/>
        </w:tcBorders>
        <w:shd w:val="clear" w:color="auto" w:fill="B60006" w:themeFill="accent5" w:themeFillShade="BF"/>
      </w:tcPr>
    </w:tblStylePr>
    <w:tblStylePr w:type="band1Horz">
      <w:tblPr/>
      <w:tcPr>
        <w:tcBorders>
          <w:top w:val="nil"/>
          <w:left w:val="nil"/>
          <w:bottom w:val="nil"/>
          <w:right w:val="nil"/>
          <w:insideH w:val="nil"/>
          <w:insideV w:val="nil"/>
        </w:tcBorders>
        <w:shd w:val="clear" w:color="auto" w:fill="B60006"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4000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455560" w:themeFill="text1"/>
      </w:tcPr>
    </w:tblStylePr>
    <w:tblStylePr w:type="lastRow">
      <w:tblPr/>
      <w:tcPr>
        <w:tcBorders>
          <w:top w:val="single" w:sz="18" w:space="0" w:color="FFFFFF" w:themeColor="background1"/>
          <w:left w:val="nil"/>
          <w:bottom w:val="nil"/>
          <w:right w:val="nil"/>
          <w:insideH w:val="nil"/>
          <w:insideV w:val="nil"/>
        </w:tcBorders>
        <w:shd w:val="clear" w:color="auto" w:fill="79000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60006"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60006" w:themeFill="accent6" w:themeFillShade="BF"/>
      </w:tcPr>
    </w:tblStylePr>
    <w:tblStylePr w:type="band1Vert">
      <w:tblPr/>
      <w:tcPr>
        <w:tcBorders>
          <w:top w:val="nil"/>
          <w:left w:val="nil"/>
          <w:bottom w:val="nil"/>
          <w:right w:val="nil"/>
          <w:insideH w:val="nil"/>
          <w:insideV w:val="nil"/>
        </w:tcBorders>
        <w:shd w:val="clear" w:color="auto" w:fill="B60006" w:themeFill="accent6" w:themeFillShade="BF"/>
      </w:tcPr>
    </w:tblStylePr>
    <w:tblStylePr w:type="band1Horz">
      <w:tblPr/>
      <w:tcPr>
        <w:tcBorders>
          <w:top w:val="nil"/>
          <w:left w:val="nil"/>
          <w:bottom w:val="nil"/>
          <w:right w:val="nil"/>
          <w:insideH w:val="nil"/>
          <w:insideV w:val="nil"/>
        </w:tcBorders>
        <w:shd w:val="clear" w:color="auto" w:fill="B60006" w:themeFill="accent6" w:themeFillShade="BF"/>
      </w:tcPr>
    </w:tblStylePr>
  </w:style>
  <w:style w:type="table" w:styleId="ColorfulShading">
    <w:name w:val="Colorful Shading"/>
    <w:basedOn w:val="TableNormal"/>
    <w:uiPriority w:val="71"/>
    <w:rsid w:val="00CB0664"/>
    <w:pPr>
      <w:spacing w:after="0" w:line="240" w:lineRule="auto"/>
    </w:pPr>
    <w:rPr>
      <w:color w:val="455560" w:themeColor="text1"/>
    </w:rPr>
    <w:tblPr>
      <w:tblStyleRowBandSize w:val="1"/>
      <w:tblStyleColBandSize w:val="1"/>
      <w:tblBorders>
        <w:top w:val="single" w:sz="24" w:space="0" w:color="808285" w:themeColor="accent2"/>
        <w:left w:val="single" w:sz="4" w:space="0" w:color="455560" w:themeColor="text1"/>
        <w:bottom w:val="single" w:sz="4" w:space="0" w:color="455560" w:themeColor="text1"/>
        <w:right w:val="single" w:sz="4" w:space="0" w:color="455560" w:themeColor="text1"/>
        <w:insideH w:val="single" w:sz="4" w:space="0" w:color="FFFFFF" w:themeColor="background1"/>
        <w:insideV w:val="single" w:sz="4" w:space="0" w:color="FFFFFF" w:themeColor="background1"/>
      </w:tblBorders>
    </w:tblPr>
    <w:tcPr>
      <w:shd w:val="clear" w:color="auto" w:fill="EBEEF0" w:themeFill="text1" w:themeFillTint="19"/>
    </w:tcPr>
    <w:tblStylePr w:type="firstRow">
      <w:rPr>
        <w:b/>
        <w:bCs/>
      </w:rPr>
      <w:tblPr/>
      <w:tcPr>
        <w:tcBorders>
          <w:top w:val="nil"/>
          <w:left w:val="nil"/>
          <w:bottom w:val="single" w:sz="24" w:space="0" w:color="80828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3239" w:themeFill="text1" w:themeFillShade="99"/>
      </w:tcPr>
    </w:tblStylePr>
    <w:tblStylePr w:type="firstCol">
      <w:rPr>
        <w:color w:val="FFFFFF" w:themeColor="background1"/>
      </w:rPr>
      <w:tblPr/>
      <w:tcPr>
        <w:tcBorders>
          <w:top w:val="nil"/>
          <w:left w:val="nil"/>
          <w:bottom w:val="nil"/>
          <w:right w:val="nil"/>
          <w:insideH w:val="single" w:sz="4" w:space="0" w:color="293239" w:themeColor="text1" w:themeShade="99"/>
          <w:insideV w:val="nil"/>
        </w:tcBorders>
        <w:shd w:val="clear" w:color="auto" w:fill="293239"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333F47" w:themeFill="text1" w:themeFillShade="BF"/>
      </w:tcPr>
    </w:tblStylePr>
    <w:tblStylePr w:type="band1Vert">
      <w:tblPr/>
      <w:tcPr>
        <w:shd w:val="clear" w:color="auto" w:fill="AEBCC5" w:themeFill="text1" w:themeFillTint="66"/>
      </w:tcPr>
    </w:tblStylePr>
    <w:tblStylePr w:type="band1Horz">
      <w:tblPr/>
      <w:tcPr>
        <w:shd w:val="clear" w:color="auto" w:fill="9AABB7" w:themeFill="text1" w:themeFillTint="7F"/>
      </w:tcPr>
    </w:tblStylePr>
    <w:tblStylePr w:type="neCell">
      <w:rPr>
        <w:color w:val="455560" w:themeColor="text1"/>
      </w:rPr>
    </w:tblStylePr>
    <w:tblStylePr w:type="nwCell">
      <w:rPr>
        <w:color w:val="455560" w:themeColor="text1"/>
      </w:rPr>
    </w:tblStylePr>
  </w:style>
  <w:style w:type="table" w:styleId="ColorfulShading-Accent1">
    <w:name w:val="Colorful Shading Accent 1"/>
    <w:basedOn w:val="TableNormal"/>
    <w:uiPriority w:val="71"/>
    <w:rsid w:val="00CB0664"/>
    <w:pPr>
      <w:spacing w:after="0" w:line="240" w:lineRule="auto"/>
    </w:pPr>
    <w:rPr>
      <w:color w:val="455560" w:themeColor="text1"/>
    </w:rPr>
    <w:tblPr>
      <w:tblStyleRowBandSize w:val="1"/>
      <w:tblStyleColBandSize w:val="1"/>
      <w:tblBorders>
        <w:top w:val="single" w:sz="24" w:space="0" w:color="808285" w:themeColor="accent2"/>
        <w:left w:val="single" w:sz="4" w:space="0" w:color="F40009" w:themeColor="accent1"/>
        <w:bottom w:val="single" w:sz="4" w:space="0" w:color="F40009" w:themeColor="accent1"/>
        <w:right w:val="single" w:sz="4" w:space="0" w:color="F40009" w:themeColor="accent1"/>
        <w:insideH w:val="single" w:sz="4" w:space="0" w:color="FFFFFF" w:themeColor="background1"/>
        <w:insideV w:val="single" w:sz="4" w:space="0" w:color="FFFFFF" w:themeColor="background1"/>
      </w:tblBorders>
    </w:tblPr>
    <w:tcPr>
      <w:shd w:val="clear" w:color="auto" w:fill="FFE4E5" w:themeFill="accent1" w:themeFillTint="19"/>
    </w:tcPr>
    <w:tblStylePr w:type="firstRow">
      <w:rPr>
        <w:b/>
        <w:bCs/>
      </w:rPr>
      <w:tblPr/>
      <w:tcPr>
        <w:tcBorders>
          <w:top w:val="nil"/>
          <w:left w:val="nil"/>
          <w:bottom w:val="single" w:sz="24" w:space="0" w:color="80828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0005" w:themeFill="accent1" w:themeFillShade="99"/>
      </w:tcPr>
    </w:tblStylePr>
    <w:tblStylePr w:type="firstCol">
      <w:rPr>
        <w:color w:val="FFFFFF" w:themeColor="background1"/>
      </w:rPr>
      <w:tblPr/>
      <w:tcPr>
        <w:tcBorders>
          <w:top w:val="nil"/>
          <w:left w:val="nil"/>
          <w:bottom w:val="nil"/>
          <w:right w:val="nil"/>
          <w:insideH w:val="single" w:sz="4" w:space="0" w:color="920005" w:themeColor="accent1" w:themeShade="99"/>
          <w:insideV w:val="nil"/>
        </w:tcBorders>
        <w:shd w:val="clear" w:color="auto" w:fill="92000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20005" w:themeFill="accent1" w:themeFillShade="99"/>
      </w:tcPr>
    </w:tblStylePr>
    <w:tblStylePr w:type="band1Vert">
      <w:tblPr/>
      <w:tcPr>
        <w:shd w:val="clear" w:color="auto" w:fill="FF9498" w:themeFill="accent1" w:themeFillTint="66"/>
      </w:tcPr>
    </w:tblStylePr>
    <w:tblStylePr w:type="band1Horz">
      <w:tblPr/>
      <w:tcPr>
        <w:shd w:val="clear" w:color="auto" w:fill="FF7A7F" w:themeFill="accent1" w:themeFillTint="7F"/>
      </w:tcPr>
    </w:tblStylePr>
    <w:tblStylePr w:type="neCell">
      <w:rPr>
        <w:color w:val="455560" w:themeColor="text1"/>
      </w:rPr>
    </w:tblStylePr>
    <w:tblStylePr w:type="nwCell">
      <w:rPr>
        <w:color w:val="455560" w:themeColor="text1"/>
      </w:rPr>
    </w:tblStylePr>
  </w:style>
  <w:style w:type="table" w:styleId="ColorfulShading-Accent2">
    <w:name w:val="Colorful Shading Accent 2"/>
    <w:basedOn w:val="TableNormal"/>
    <w:uiPriority w:val="71"/>
    <w:rsid w:val="00CB0664"/>
    <w:pPr>
      <w:spacing w:after="0" w:line="240" w:lineRule="auto"/>
    </w:pPr>
    <w:rPr>
      <w:color w:val="455560" w:themeColor="text1"/>
    </w:rPr>
    <w:tblPr>
      <w:tblStyleRowBandSize w:val="1"/>
      <w:tblStyleColBandSize w:val="1"/>
      <w:tblBorders>
        <w:top w:val="single" w:sz="24" w:space="0" w:color="808285" w:themeColor="accent2"/>
        <w:left w:val="single" w:sz="4" w:space="0" w:color="808285" w:themeColor="accent2"/>
        <w:bottom w:val="single" w:sz="4" w:space="0" w:color="808285" w:themeColor="accent2"/>
        <w:right w:val="single" w:sz="4" w:space="0" w:color="808285" w:themeColor="accent2"/>
        <w:insideH w:val="single" w:sz="4" w:space="0" w:color="FFFFFF" w:themeColor="background1"/>
        <w:insideV w:val="single" w:sz="4" w:space="0" w:color="FFFFFF" w:themeColor="background1"/>
      </w:tblBorders>
    </w:tblPr>
    <w:tcPr>
      <w:shd w:val="clear" w:color="auto" w:fill="F2F2F3" w:themeFill="accent2" w:themeFillTint="19"/>
    </w:tcPr>
    <w:tblStylePr w:type="firstRow">
      <w:rPr>
        <w:b/>
        <w:bCs/>
      </w:rPr>
      <w:tblPr/>
      <w:tcPr>
        <w:tcBorders>
          <w:top w:val="nil"/>
          <w:left w:val="nil"/>
          <w:bottom w:val="single" w:sz="24" w:space="0" w:color="80828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D4F" w:themeFill="accent2" w:themeFillShade="99"/>
      </w:tcPr>
    </w:tblStylePr>
    <w:tblStylePr w:type="firstCol">
      <w:rPr>
        <w:color w:val="FFFFFF" w:themeColor="background1"/>
      </w:rPr>
      <w:tblPr/>
      <w:tcPr>
        <w:tcBorders>
          <w:top w:val="nil"/>
          <w:left w:val="nil"/>
          <w:bottom w:val="nil"/>
          <w:right w:val="nil"/>
          <w:insideH w:val="single" w:sz="4" w:space="0" w:color="4C4D4F" w:themeColor="accent2" w:themeShade="99"/>
          <w:insideV w:val="nil"/>
        </w:tcBorders>
        <w:shd w:val="clear" w:color="auto" w:fill="4C4D4F"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C4D4F" w:themeFill="accent2" w:themeFillShade="99"/>
      </w:tcPr>
    </w:tblStylePr>
    <w:tblStylePr w:type="band1Vert">
      <w:tblPr/>
      <w:tcPr>
        <w:shd w:val="clear" w:color="auto" w:fill="CCCCCE" w:themeFill="accent2" w:themeFillTint="66"/>
      </w:tcPr>
    </w:tblStylePr>
    <w:tblStylePr w:type="band1Horz">
      <w:tblPr/>
      <w:tcPr>
        <w:shd w:val="clear" w:color="auto" w:fill="BFC0C2" w:themeFill="accent2" w:themeFillTint="7F"/>
      </w:tcPr>
    </w:tblStylePr>
    <w:tblStylePr w:type="neCell">
      <w:rPr>
        <w:color w:val="455560" w:themeColor="text1"/>
      </w:rPr>
    </w:tblStylePr>
    <w:tblStylePr w:type="nwCell">
      <w:rPr>
        <w:color w:val="455560" w:themeColor="text1"/>
      </w:rPr>
    </w:tblStylePr>
  </w:style>
  <w:style w:type="table" w:styleId="ColorfulShading-Accent3">
    <w:name w:val="Colorful Shading Accent 3"/>
    <w:basedOn w:val="TableNormal"/>
    <w:uiPriority w:val="71"/>
    <w:rsid w:val="00CB0664"/>
    <w:pPr>
      <w:spacing w:after="0" w:line="240" w:lineRule="auto"/>
    </w:pPr>
    <w:rPr>
      <w:color w:val="455560" w:themeColor="text1"/>
    </w:rPr>
    <w:tblPr>
      <w:tblStyleRowBandSize w:val="1"/>
      <w:tblStyleColBandSize w:val="1"/>
      <w:tblBorders>
        <w:top w:val="single" w:sz="24" w:space="0" w:color="F40009" w:themeColor="accent4"/>
        <w:left w:val="single" w:sz="4" w:space="0" w:color="F40009" w:themeColor="accent3"/>
        <w:bottom w:val="single" w:sz="4" w:space="0" w:color="F40009" w:themeColor="accent3"/>
        <w:right w:val="single" w:sz="4" w:space="0" w:color="F40009" w:themeColor="accent3"/>
        <w:insideH w:val="single" w:sz="4" w:space="0" w:color="FFFFFF" w:themeColor="background1"/>
        <w:insideV w:val="single" w:sz="4" w:space="0" w:color="FFFFFF" w:themeColor="background1"/>
      </w:tblBorders>
    </w:tblPr>
    <w:tcPr>
      <w:shd w:val="clear" w:color="auto" w:fill="FFE4E5" w:themeFill="accent3" w:themeFillTint="19"/>
    </w:tcPr>
    <w:tblStylePr w:type="firstRow">
      <w:rPr>
        <w:b/>
        <w:bCs/>
      </w:rPr>
      <w:tblPr/>
      <w:tcPr>
        <w:tcBorders>
          <w:top w:val="nil"/>
          <w:left w:val="nil"/>
          <w:bottom w:val="single" w:sz="24" w:space="0" w:color="F4000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0005" w:themeFill="accent3" w:themeFillShade="99"/>
      </w:tcPr>
    </w:tblStylePr>
    <w:tblStylePr w:type="firstCol">
      <w:rPr>
        <w:color w:val="FFFFFF" w:themeColor="background1"/>
      </w:rPr>
      <w:tblPr/>
      <w:tcPr>
        <w:tcBorders>
          <w:top w:val="nil"/>
          <w:left w:val="nil"/>
          <w:bottom w:val="nil"/>
          <w:right w:val="nil"/>
          <w:insideH w:val="single" w:sz="4" w:space="0" w:color="920005" w:themeColor="accent3" w:themeShade="99"/>
          <w:insideV w:val="nil"/>
        </w:tcBorders>
        <w:shd w:val="clear" w:color="auto" w:fill="9200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20005" w:themeFill="accent3" w:themeFillShade="99"/>
      </w:tcPr>
    </w:tblStylePr>
    <w:tblStylePr w:type="band1Vert">
      <w:tblPr/>
      <w:tcPr>
        <w:shd w:val="clear" w:color="auto" w:fill="FF9498" w:themeFill="accent3" w:themeFillTint="66"/>
      </w:tcPr>
    </w:tblStylePr>
    <w:tblStylePr w:type="band1Horz">
      <w:tblPr/>
      <w:tcPr>
        <w:shd w:val="clear" w:color="auto" w:fill="FF7A7F" w:themeFill="accent3" w:themeFillTint="7F"/>
      </w:tcPr>
    </w:tblStylePr>
  </w:style>
  <w:style w:type="table" w:styleId="ColorfulShading-Accent4">
    <w:name w:val="Colorful Shading Accent 4"/>
    <w:basedOn w:val="TableNormal"/>
    <w:uiPriority w:val="71"/>
    <w:rsid w:val="00CB0664"/>
    <w:pPr>
      <w:spacing w:after="0" w:line="240" w:lineRule="auto"/>
    </w:pPr>
    <w:rPr>
      <w:color w:val="455560" w:themeColor="text1"/>
    </w:rPr>
    <w:tblPr>
      <w:tblStyleRowBandSize w:val="1"/>
      <w:tblStyleColBandSize w:val="1"/>
      <w:tblBorders>
        <w:top w:val="single" w:sz="24" w:space="0" w:color="F40009" w:themeColor="accent3"/>
        <w:left w:val="single" w:sz="4" w:space="0" w:color="F40009" w:themeColor="accent4"/>
        <w:bottom w:val="single" w:sz="4" w:space="0" w:color="F40009" w:themeColor="accent4"/>
        <w:right w:val="single" w:sz="4" w:space="0" w:color="F40009" w:themeColor="accent4"/>
        <w:insideH w:val="single" w:sz="4" w:space="0" w:color="FFFFFF" w:themeColor="background1"/>
        <w:insideV w:val="single" w:sz="4" w:space="0" w:color="FFFFFF" w:themeColor="background1"/>
      </w:tblBorders>
    </w:tblPr>
    <w:tcPr>
      <w:shd w:val="clear" w:color="auto" w:fill="FFE4E5" w:themeFill="accent4" w:themeFillTint="19"/>
    </w:tcPr>
    <w:tblStylePr w:type="firstRow">
      <w:rPr>
        <w:b/>
        <w:bCs/>
      </w:rPr>
      <w:tblPr/>
      <w:tcPr>
        <w:tcBorders>
          <w:top w:val="nil"/>
          <w:left w:val="nil"/>
          <w:bottom w:val="single" w:sz="24" w:space="0" w:color="F400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0005" w:themeFill="accent4" w:themeFillShade="99"/>
      </w:tcPr>
    </w:tblStylePr>
    <w:tblStylePr w:type="firstCol">
      <w:rPr>
        <w:color w:val="FFFFFF" w:themeColor="background1"/>
      </w:rPr>
      <w:tblPr/>
      <w:tcPr>
        <w:tcBorders>
          <w:top w:val="nil"/>
          <w:left w:val="nil"/>
          <w:bottom w:val="nil"/>
          <w:right w:val="nil"/>
          <w:insideH w:val="single" w:sz="4" w:space="0" w:color="920005" w:themeColor="accent4" w:themeShade="99"/>
          <w:insideV w:val="nil"/>
        </w:tcBorders>
        <w:shd w:val="clear" w:color="auto" w:fill="92000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20005" w:themeFill="accent4" w:themeFillShade="99"/>
      </w:tcPr>
    </w:tblStylePr>
    <w:tblStylePr w:type="band1Vert">
      <w:tblPr/>
      <w:tcPr>
        <w:shd w:val="clear" w:color="auto" w:fill="FF9498" w:themeFill="accent4" w:themeFillTint="66"/>
      </w:tcPr>
    </w:tblStylePr>
    <w:tblStylePr w:type="band1Horz">
      <w:tblPr/>
      <w:tcPr>
        <w:shd w:val="clear" w:color="auto" w:fill="FF7A7F" w:themeFill="accent4" w:themeFillTint="7F"/>
      </w:tcPr>
    </w:tblStylePr>
    <w:tblStylePr w:type="neCell">
      <w:rPr>
        <w:color w:val="455560" w:themeColor="text1"/>
      </w:rPr>
    </w:tblStylePr>
    <w:tblStylePr w:type="nwCell">
      <w:rPr>
        <w:color w:val="455560" w:themeColor="text1"/>
      </w:rPr>
    </w:tblStylePr>
  </w:style>
  <w:style w:type="table" w:styleId="ColorfulShading-Accent5">
    <w:name w:val="Colorful Shading Accent 5"/>
    <w:basedOn w:val="TableNormal"/>
    <w:uiPriority w:val="71"/>
    <w:rsid w:val="00CB0664"/>
    <w:pPr>
      <w:spacing w:after="0" w:line="240" w:lineRule="auto"/>
    </w:pPr>
    <w:rPr>
      <w:color w:val="455560" w:themeColor="text1"/>
    </w:rPr>
    <w:tblPr>
      <w:tblStyleRowBandSize w:val="1"/>
      <w:tblStyleColBandSize w:val="1"/>
      <w:tblBorders>
        <w:top w:val="single" w:sz="24" w:space="0" w:color="F40009" w:themeColor="accent6"/>
        <w:left w:val="single" w:sz="4" w:space="0" w:color="F40009" w:themeColor="accent5"/>
        <w:bottom w:val="single" w:sz="4" w:space="0" w:color="F40009" w:themeColor="accent5"/>
        <w:right w:val="single" w:sz="4" w:space="0" w:color="F40009" w:themeColor="accent5"/>
        <w:insideH w:val="single" w:sz="4" w:space="0" w:color="FFFFFF" w:themeColor="background1"/>
        <w:insideV w:val="single" w:sz="4" w:space="0" w:color="FFFFFF" w:themeColor="background1"/>
      </w:tblBorders>
    </w:tblPr>
    <w:tcPr>
      <w:shd w:val="clear" w:color="auto" w:fill="FFE4E5" w:themeFill="accent5" w:themeFillTint="19"/>
    </w:tcPr>
    <w:tblStylePr w:type="firstRow">
      <w:rPr>
        <w:b/>
        <w:bCs/>
      </w:rPr>
      <w:tblPr/>
      <w:tcPr>
        <w:tcBorders>
          <w:top w:val="nil"/>
          <w:left w:val="nil"/>
          <w:bottom w:val="single" w:sz="24" w:space="0" w:color="F4000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0005" w:themeFill="accent5" w:themeFillShade="99"/>
      </w:tcPr>
    </w:tblStylePr>
    <w:tblStylePr w:type="firstCol">
      <w:rPr>
        <w:color w:val="FFFFFF" w:themeColor="background1"/>
      </w:rPr>
      <w:tblPr/>
      <w:tcPr>
        <w:tcBorders>
          <w:top w:val="nil"/>
          <w:left w:val="nil"/>
          <w:bottom w:val="nil"/>
          <w:right w:val="nil"/>
          <w:insideH w:val="single" w:sz="4" w:space="0" w:color="920005" w:themeColor="accent5" w:themeShade="99"/>
          <w:insideV w:val="nil"/>
        </w:tcBorders>
        <w:shd w:val="clear" w:color="auto" w:fill="92000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20005" w:themeFill="accent5" w:themeFillShade="99"/>
      </w:tcPr>
    </w:tblStylePr>
    <w:tblStylePr w:type="band1Vert">
      <w:tblPr/>
      <w:tcPr>
        <w:shd w:val="clear" w:color="auto" w:fill="FF9498" w:themeFill="accent5" w:themeFillTint="66"/>
      </w:tcPr>
    </w:tblStylePr>
    <w:tblStylePr w:type="band1Horz">
      <w:tblPr/>
      <w:tcPr>
        <w:shd w:val="clear" w:color="auto" w:fill="FF7A7F" w:themeFill="accent5" w:themeFillTint="7F"/>
      </w:tcPr>
    </w:tblStylePr>
    <w:tblStylePr w:type="neCell">
      <w:rPr>
        <w:color w:val="455560" w:themeColor="text1"/>
      </w:rPr>
    </w:tblStylePr>
    <w:tblStylePr w:type="nwCell">
      <w:rPr>
        <w:color w:val="455560" w:themeColor="text1"/>
      </w:rPr>
    </w:tblStylePr>
  </w:style>
  <w:style w:type="table" w:styleId="ColorfulShading-Accent6">
    <w:name w:val="Colorful Shading Accent 6"/>
    <w:basedOn w:val="TableNormal"/>
    <w:uiPriority w:val="71"/>
    <w:rsid w:val="00CB0664"/>
    <w:pPr>
      <w:spacing w:after="0" w:line="240" w:lineRule="auto"/>
    </w:pPr>
    <w:rPr>
      <w:color w:val="455560" w:themeColor="text1"/>
    </w:rPr>
    <w:tblPr>
      <w:tblStyleRowBandSize w:val="1"/>
      <w:tblStyleColBandSize w:val="1"/>
      <w:tblBorders>
        <w:top w:val="single" w:sz="24" w:space="0" w:color="F40009" w:themeColor="accent5"/>
        <w:left w:val="single" w:sz="4" w:space="0" w:color="F40009" w:themeColor="accent6"/>
        <w:bottom w:val="single" w:sz="4" w:space="0" w:color="F40009" w:themeColor="accent6"/>
        <w:right w:val="single" w:sz="4" w:space="0" w:color="F40009" w:themeColor="accent6"/>
        <w:insideH w:val="single" w:sz="4" w:space="0" w:color="FFFFFF" w:themeColor="background1"/>
        <w:insideV w:val="single" w:sz="4" w:space="0" w:color="FFFFFF" w:themeColor="background1"/>
      </w:tblBorders>
    </w:tblPr>
    <w:tcPr>
      <w:shd w:val="clear" w:color="auto" w:fill="FFE4E5" w:themeFill="accent6" w:themeFillTint="19"/>
    </w:tcPr>
    <w:tblStylePr w:type="firstRow">
      <w:rPr>
        <w:b/>
        <w:bCs/>
      </w:rPr>
      <w:tblPr/>
      <w:tcPr>
        <w:tcBorders>
          <w:top w:val="nil"/>
          <w:left w:val="nil"/>
          <w:bottom w:val="single" w:sz="24" w:space="0" w:color="F4000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20005" w:themeFill="accent6" w:themeFillShade="99"/>
      </w:tcPr>
    </w:tblStylePr>
    <w:tblStylePr w:type="firstCol">
      <w:rPr>
        <w:color w:val="FFFFFF" w:themeColor="background1"/>
      </w:rPr>
      <w:tblPr/>
      <w:tcPr>
        <w:tcBorders>
          <w:top w:val="nil"/>
          <w:left w:val="nil"/>
          <w:bottom w:val="nil"/>
          <w:right w:val="nil"/>
          <w:insideH w:val="single" w:sz="4" w:space="0" w:color="920005" w:themeColor="accent6" w:themeShade="99"/>
          <w:insideV w:val="nil"/>
        </w:tcBorders>
        <w:shd w:val="clear" w:color="auto" w:fill="92000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20005" w:themeFill="accent6" w:themeFillShade="99"/>
      </w:tcPr>
    </w:tblStylePr>
    <w:tblStylePr w:type="band1Vert">
      <w:tblPr/>
      <w:tcPr>
        <w:shd w:val="clear" w:color="auto" w:fill="FF9498" w:themeFill="accent6" w:themeFillTint="66"/>
      </w:tcPr>
    </w:tblStylePr>
    <w:tblStylePr w:type="band1Horz">
      <w:tblPr/>
      <w:tcPr>
        <w:shd w:val="clear" w:color="auto" w:fill="FF7A7F" w:themeFill="accent6" w:themeFillTint="7F"/>
      </w:tcPr>
    </w:tblStylePr>
    <w:tblStylePr w:type="neCell">
      <w:rPr>
        <w:color w:val="455560" w:themeColor="text1"/>
      </w:rPr>
    </w:tblStylePr>
    <w:tblStylePr w:type="nwCell">
      <w:rPr>
        <w:color w:val="455560" w:themeColor="text1"/>
      </w:rPr>
    </w:tblStylePr>
  </w:style>
  <w:style w:type="table" w:styleId="ColorfulList">
    <w:name w:val="Colorful List"/>
    <w:basedOn w:val="TableNormal"/>
    <w:uiPriority w:val="72"/>
    <w:rsid w:val="00CB0664"/>
    <w:pPr>
      <w:spacing w:after="0" w:line="240" w:lineRule="auto"/>
    </w:pPr>
    <w:rPr>
      <w:color w:val="455560" w:themeColor="text1"/>
    </w:rPr>
    <w:tblPr>
      <w:tblStyleRowBandSize w:val="1"/>
      <w:tblStyleColBandSize w:val="1"/>
    </w:tblPr>
    <w:tcPr>
      <w:shd w:val="clear" w:color="auto" w:fill="EBEEF0" w:themeFill="text1" w:themeFillTint="19"/>
    </w:tcPr>
    <w:tblStylePr w:type="firstRow">
      <w:rPr>
        <w:b/>
        <w:bCs/>
        <w:color w:val="FFFFFF" w:themeColor="background1"/>
      </w:rPr>
      <w:tblPr/>
      <w:tcPr>
        <w:tcBorders>
          <w:bottom w:val="single" w:sz="12" w:space="0" w:color="FFFFFF" w:themeColor="background1"/>
        </w:tcBorders>
        <w:shd w:val="clear" w:color="auto" w:fill="66676A" w:themeFill="accent2" w:themeFillShade="CC"/>
      </w:tcPr>
    </w:tblStylePr>
    <w:tblStylePr w:type="lastRow">
      <w:rPr>
        <w:b/>
        <w:bCs/>
        <w:color w:val="66676A" w:themeColor="accent2" w:themeShade="CC"/>
      </w:rPr>
      <w:tblPr/>
      <w:tcPr>
        <w:tcBorders>
          <w:top w:val="single" w:sz="12" w:space="0" w:color="45556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DD5DB" w:themeFill="text1" w:themeFillTint="3F"/>
      </w:tcPr>
    </w:tblStylePr>
    <w:tblStylePr w:type="band1Horz">
      <w:tblPr/>
      <w:tcPr>
        <w:shd w:val="clear" w:color="auto" w:fill="D6DDE2" w:themeFill="text1" w:themeFillTint="33"/>
      </w:tcPr>
    </w:tblStylePr>
  </w:style>
  <w:style w:type="table" w:styleId="ColorfulList-Accent1">
    <w:name w:val="Colorful List Accent 1"/>
    <w:basedOn w:val="TableNormal"/>
    <w:uiPriority w:val="72"/>
    <w:rsid w:val="00CB0664"/>
    <w:pPr>
      <w:spacing w:after="0" w:line="240" w:lineRule="auto"/>
    </w:pPr>
    <w:rPr>
      <w:color w:val="455560" w:themeColor="text1"/>
    </w:rPr>
    <w:tblPr>
      <w:tblStyleRowBandSize w:val="1"/>
      <w:tblStyleColBandSize w:val="1"/>
    </w:tblPr>
    <w:tcPr>
      <w:shd w:val="clear" w:color="auto" w:fill="FFE4E5" w:themeFill="accent1" w:themeFillTint="19"/>
    </w:tcPr>
    <w:tblStylePr w:type="firstRow">
      <w:rPr>
        <w:b/>
        <w:bCs/>
        <w:color w:val="FFFFFF" w:themeColor="background1"/>
      </w:rPr>
      <w:tblPr/>
      <w:tcPr>
        <w:tcBorders>
          <w:bottom w:val="single" w:sz="12" w:space="0" w:color="FFFFFF" w:themeColor="background1"/>
        </w:tcBorders>
        <w:shd w:val="clear" w:color="auto" w:fill="66676A" w:themeFill="accent2" w:themeFillShade="CC"/>
      </w:tcPr>
    </w:tblStylePr>
    <w:tblStylePr w:type="lastRow">
      <w:rPr>
        <w:b/>
        <w:bCs/>
        <w:color w:val="66676A" w:themeColor="accent2" w:themeShade="CC"/>
      </w:rPr>
      <w:tblPr/>
      <w:tcPr>
        <w:tcBorders>
          <w:top w:val="single" w:sz="12" w:space="0" w:color="45556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DBF" w:themeFill="accent1" w:themeFillTint="3F"/>
      </w:tcPr>
    </w:tblStylePr>
    <w:tblStylePr w:type="band1Horz">
      <w:tblPr/>
      <w:tcPr>
        <w:shd w:val="clear" w:color="auto" w:fill="FFC9CB" w:themeFill="accent1" w:themeFillTint="33"/>
      </w:tcPr>
    </w:tblStylePr>
  </w:style>
  <w:style w:type="table" w:styleId="ColorfulList-Accent2">
    <w:name w:val="Colorful List Accent 2"/>
    <w:basedOn w:val="TableNormal"/>
    <w:uiPriority w:val="72"/>
    <w:rsid w:val="00CB0664"/>
    <w:pPr>
      <w:spacing w:after="0" w:line="240" w:lineRule="auto"/>
    </w:pPr>
    <w:rPr>
      <w:color w:val="455560" w:themeColor="text1"/>
    </w:rPr>
    <w:tblPr>
      <w:tblStyleRowBandSize w:val="1"/>
      <w:tblStyleColBandSize w:val="1"/>
    </w:tblPr>
    <w:tcPr>
      <w:shd w:val="clear" w:color="auto" w:fill="F2F2F3" w:themeFill="accent2" w:themeFillTint="19"/>
    </w:tcPr>
    <w:tblStylePr w:type="firstRow">
      <w:rPr>
        <w:b/>
        <w:bCs/>
        <w:color w:val="FFFFFF" w:themeColor="background1"/>
      </w:rPr>
      <w:tblPr/>
      <w:tcPr>
        <w:tcBorders>
          <w:bottom w:val="single" w:sz="12" w:space="0" w:color="FFFFFF" w:themeColor="background1"/>
        </w:tcBorders>
        <w:shd w:val="clear" w:color="auto" w:fill="66676A" w:themeFill="accent2" w:themeFillShade="CC"/>
      </w:tcPr>
    </w:tblStylePr>
    <w:tblStylePr w:type="lastRow">
      <w:rPr>
        <w:b/>
        <w:bCs/>
        <w:color w:val="66676A" w:themeColor="accent2" w:themeShade="CC"/>
      </w:rPr>
      <w:tblPr/>
      <w:tcPr>
        <w:tcBorders>
          <w:top w:val="single" w:sz="12" w:space="0" w:color="45556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0E0" w:themeFill="accent2" w:themeFillTint="3F"/>
      </w:tcPr>
    </w:tblStylePr>
    <w:tblStylePr w:type="band1Horz">
      <w:tblPr/>
      <w:tcPr>
        <w:shd w:val="clear" w:color="auto" w:fill="E5E5E6" w:themeFill="accent2" w:themeFillTint="33"/>
      </w:tcPr>
    </w:tblStylePr>
  </w:style>
  <w:style w:type="table" w:styleId="ColorfulList-Accent3">
    <w:name w:val="Colorful List Accent 3"/>
    <w:basedOn w:val="TableNormal"/>
    <w:uiPriority w:val="72"/>
    <w:rsid w:val="00CB0664"/>
    <w:pPr>
      <w:spacing w:after="0" w:line="240" w:lineRule="auto"/>
    </w:pPr>
    <w:rPr>
      <w:color w:val="455560" w:themeColor="text1"/>
    </w:rPr>
    <w:tblPr>
      <w:tblStyleRowBandSize w:val="1"/>
      <w:tblStyleColBandSize w:val="1"/>
    </w:tblPr>
    <w:tcPr>
      <w:shd w:val="clear" w:color="auto" w:fill="FFE4E5" w:themeFill="accent3" w:themeFillTint="19"/>
    </w:tcPr>
    <w:tblStylePr w:type="firstRow">
      <w:rPr>
        <w:b/>
        <w:bCs/>
        <w:color w:val="FFFFFF" w:themeColor="background1"/>
      </w:rPr>
      <w:tblPr/>
      <w:tcPr>
        <w:tcBorders>
          <w:bottom w:val="single" w:sz="12" w:space="0" w:color="FFFFFF" w:themeColor="background1"/>
        </w:tcBorders>
        <w:shd w:val="clear" w:color="auto" w:fill="C30006" w:themeFill="accent4" w:themeFillShade="CC"/>
      </w:tcPr>
    </w:tblStylePr>
    <w:tblStylePr w:type="lastRow">
      <w:rPr>
        <w:b/>
        <w:bCs/>
        <w:color w:val="C30006" w:themeColor="accent4" w:themeShade="CC"/>
      </w:rPr>
      <w:tblPr/>
      <w:tcPr>
        <w:tcBorders>
          <w:top w:val="single" w:sz="12" w:space="0" w:color="45556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DBF" w:themeFill="accent3" w:themeFillTint="3F"/>
      </w:tcPr>
    </w:tblStylePr>
    <w:tblStylePr w:type="band1Horz">
      <w:tblPr/>
      <w:tcPr>
        <w:shd w:val="clear" w:color="auto" w:fill="FFC9CB" w:themeFill="accent3" w:themeFillTint="33"/>
      </w:tcPr>
    </w:tblStylePr>
  </w:style>
  <w:style w:type="table" w:styleId="ColorfulList-Accent4">
    <w:name w:val="Colorful List Accent 4"/>
    <w:basedOn w:val="TableNormal"/>
    <w:uiPriority w:val="72"/>
    <w:rsid w:val="00CB0664"/>
    <w:pPr>
      <w:spacing w:after="0" w:line="240" w:lineRule="auto"/>
    </w:pPr>
    <w:rPr>
      <w:color w:val="455560" w:themeColor="text1"/>
    </w:rPr>
    <w:tblPr>
      <w:tblStyleRowBandSize w:val="1"/>
      <w:tblStyleColBandSize w:val="1"/>
    </w:tblPr>
    <w:tcPr>
      <w:shd w:val="clear" w:color="auto" w:fill="FFE4E5" w:themeFill="accent4" w:themeFillTint="19"/>
    </w:tcPr>
    <w:tblStylePr w:type="firstRow">
      <w:rPr>
        <w:b/>
        <w:bCs/>
        <w:color w:val="FFFFFF" w:themeColor="background1"/>
      </w:rPr>
      <w:tblPr/>
      <w:tcPr>
        <w:tcBorders>
          <w:bottom w:val="single" w:sz="12" w:space="0" w:color="FFFFFF" w:themeColor="background1"/>
        </w:tcBorders>
        <w:shd w:val="clear" w:color="auto" w:fill="C30006" w:themeFill="accent3" w:themeFillShade="CC"/>
      </w:tcPr>
    </w:tblStylePr>
    <w:tblStylePr w:type="lastRow">
      <w:rPr>
        <w:b/>
        <w:bCs/>
        <w:color w:val="C30006" w:themeColor="accent3" w:themeShade="CC"/>
      </w:rPr>
      <w:tblPr/>
      <w:tcPr>
        <w:tcBorders>
          <w:top w:val="single" w:sz="12" w:space="0" w:color="45556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DBF" w:themeFill="accent4" w:themeFillTint="3F"/>
      </w:tcPr>
    </w:tblStylePr>
    <w:tblStylePr w:type="band1Horz">
      <w:tblPr/>
      <w:tcPr>
        <w:shd w:val="clear" w:color="auto" w:fill="FFC9CB" w:themeFill="accent4" w:themeFillTint="33"/>
      </w:tcPr>
    </w:tblStylePr>
  </w:style>
  <w:style w:type="table" w:styleId="ColorfulList-Accent5">
    <w:name w:val="Colorful List Accent 5"/>
    <w:basedOn w:val="TableNormal"/>
    <w:uiPriority w:val="72"/>
    <w:rsid w:val="00CB0664"/>
    <w:pPr>
      <w:spacing w:after="0" w:line="240" w:lineRule="auto"/>
    </w:pPr>
    <w:rPr>
      <w:color w:val="455560" w:themeColor="text1"/>
    </w:rPr>
    <w:tblPr>
      <w:tblStyleRowBandSize w:val="1"/>
      <w:tblStyleColBandSize w:val="1"/>
    </w:tblPr>
    <w:tcPr>
      <w:shd w:val="clear" w:color="auto" w:fill="FFE4E5" w:themeFill="accent5" w:themeFillTint="19"/>
    </w:tcPr>
    <w:tblStylePr w:type="firstRow">
      <w:rPr>
        <w:b/>
        <w:bCs/>
        <w:color w:val="FFFFFF" w:themeColor="background1"/>
      </w:rPr>
      <w:tblPr/>
      <w:tcPr>
        <w:tcBorders>
          <w:bottom w:val="single" w:sz="12" w:space="0" w:color="FFFFFF" w:themeColor="background1"/>
        </w:tcBorders>
        <w:shd w:val="clear" w:color="auto" w:fill="C30006" w:themeFill="accent6" w:themeFillShade="CC"/>
      </w:tcPr>
    </w:tblStylePr>
    <w:tblStylePr w:type="lastRow">
      <w:rPr>
        <w:b/>
        <w:bCs/>
        <w:color w:val="C30006" w:themeColor="accent6" w:themeShade="CC"/>
      </w:rPr>
      <w:tblPr/>
      <w:tcPr>
        <w:tcBorders>
          <w:top w:val="single" w:sz="12" w:space="0" w:color="45556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DBF" w:themeFill="accent5" w:themeFillTint="3F"/>
      </w:tcPr>
    </w:tblStylePr>
    <w:tblStylePr w:type="band1Horz">
      <w:tblPr/>
      <w:tcPr>
        <w:shd w:val="clear" w:color="auto" w:fill="FFC9CB" w:themeFill="accent5" w:themeFillTint="33"/>
      </w:tcPr>
    </w:tblStylePr>
  </w:style>
  <w:style w:type="table" w:styleId="ColorfulList-Accent6">
    <w:name w:val="Colorful List Accent 6"/>
    <w:basedOn w:val="TableNormal"/>
    <w:uiPriority w:val="72"/>
    <w:rsid w:val="00CB0664"/>
    <w:pPr>
      <w:spacing w:after="0" w:line="240" w:lineRule="auto"/>
    </w:pPr>
    <w:rPr>
      <w:color w:val="455560" w:themeColor="text1"/>
    </w:rPr>
    <w:tblPr>
      <w:tblStyleRowBandSize w:val="1"/>
      <w:tblStyleColBandSize w:val="1"/>
    </w:tblPr>
    <w:tcPr>
      <w:shd w:val="clear" w:color="auto" w:fill="FFE4E5" w:themeFill="accent6" w:themeFillTint="19"/>
    </w:tcPr>
    <w:tblStylePr w:type="firstRow">
      <w:rPr>
        <w:b/>
        <w:bCs/>
        <w:color w:val="FFFFFF" w:themeColor="background1"/>
      </w:rPr>
      <w:tblPr/>
      <w:tcPr>
        <w:tcBorders>
          <w:bottom w:val="single" w:sz="12" w:space="0" w:color="FFFFFF" w:themeColor="background1"/>
        </w:tcBorders>
        <w:shd w:val="clear" w:color="auto" w:fill="C30006" w:themeFill="accent5" w:themeFillShade="CC"/>
      </w:tcPr>
    </w:tblStylePr>
    <w:tblStylePr w:type="lastRow">
      <w:rPr>
        <w:b/>
        <w:bCs/>
        <w:color w:val="C30006" w:themeColor="accent5" w:themeShade="CC"/>
      </w:rPr>
      <w:tblPr/>
      <w:tcPr>
        <w:tcBorders>
          <w:top w:val="single" w:sz="12" w:space="0" w:color="45556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DBF" w:themeFill="accent6" w:themeFillTint="3F"/>
      </w:tcPr>
    </w:tblStylePr>
    <w:tblStylePr w:type="band1Horz">
      <w:tblPr/>
      <w:tcPr>
        <w:shd w:val="clear" w:color="auto" w:fill="FFC9CB" w:themeFill="accent6" w:themeFillTint="33"/>
      </w:tcPr>
    </w:tblStylePr>
  </w:style>
  <w:style w:type="table" w:styleId="ColorfulGrid">
    <w:name w:val="Colorful Grid"/>
    <w:basedOn w:val="TableNormal"/>
    <w:uiPriority w:val="73"/>
    <w:rsid w:val="00CB0664"/>
    <w:pPr>
      <w:spacing w:after="0" w:line="240" w:lineRule="auto"/>
    </w:pPr>
    <w:rPr>
      <w:color w:val="455560" w:themeColor="text1"/>
    </w:rPr>
    <w:tblPr>
      <w:tblStyleRowBandSize w:val="1"/>
      <w:tblStyleColBandSize w:val="1"/>
      <w:tblBorders>
        <w:insideH w:val="single" w:sz="4" w:space="0" w:color="FFFFFF" w:themeColor="background1"/>
      </w:tblBorders>
    </w:tblPr>
    <w:tcPr>
      <w:shd w:val="clear" w:color="auto" w:fill="D6DDE2" w:themeFill="text1" w:themeFillTint="33"/>
    </w:tcPr>
    <w:tblStylePr w:type="firstRow">
      <w:rPr>
        <w:b/>
        <w:bCs/>
      </w:rPr>
      <w:tblPr/>
      <w:tcPr>
        <w:shd w:val="clear" w:color="auto" w:fill="AEBCC5" w:themeFill="text1" w:themeFillTint="66"/>
      </w:tcPr>
    </w:tblStylePr>
    <w:tblStylePr w:type="lastRow">
      <w:rPr>
        <w:b/>
        <w:bCs/>
        <w:color w:val="455560" w:themeColor="text1"/>
      </w:rPr>
      <w:tblPr/>
      <w:tcPr>
        <w:shd w:val="clear" w:color="auto" w:fill="AEBCC5" w:themeFill="text1" w:themeFillTint="66"/>
      </w:tcPr>
    </w:tblStylePr>
    <w:tblStylePr w:type="firstCol">
      <w:rPr>
        <w:color w:val="FFFFFF" w:themeColor="background1"/>
      </w:rPr>
      <w:tblPr/>
      <w:tcPr>
        <w:shd w:val="clear" w:color="auto" w:fill="333F47" w:themeFill="text1" w:themeFillShade="BF"/>
      </w:tcPr>
    </w:tblStylePr>
    <w:tblStylePr w:type="lastCol">
      <w:rPr>
        <w:color w:val="FFFFFF" w:themeColor="background1"/>
      </w:rPr>
      <w:tblPr/>
      <w:tcPr>
        <w:shd w:val="clear" w:color="auto" w:fill="333F47" w:themeFill="text1" w:themeFillShade="BF"/>
      </w:tcPr>
    </w:tblStylePr>
    <w:tblStylePr w:type="band1Vert">
      <w:tblPr/>
      <w:tcPr>
        <w:shd w:val="clear" w:color="auto" w:fill="9AABB7" w:themeFill="text1" w:themeFillTint="7F"/>
      </w:tcPr>
    </w:tblStylePr>
    <w:tblStylePr w:type="band1Horz">
      <w:tblPr/>
      <w:tcPr>
        <w:shd w:val="clear" w:color="auto" w:fill="9AABB7" w:themeFill="text1" w:themeFillTint="7F"/>
      </w:tcPr>
    </w:tblStylePr>
  </w:style>
  <w:style w:type="table" w:styleId="ColorfulGrid-Accent1">
    <w:name w:val="Colorful Grid Accent 1"/>
    <w:basedOn w:val="TableNormal"/>
    <w:uiPriority w:val="73"/>
    <w:rsid w:val="00CB0664"/>
    <w:pPr>
      <w:spacing w:after="0" w:line="240" w:lineRule="auto"/>
    </w:pPr>
    <w:rPr>
      <w:color w:val="455560" w:themeColor="text1"/>
    </w:rPr>
    <w:tblPr>
      <w:tblStyleRowBandSize w:val="1"/>
      <w:tblStyleColBandSize w:val="1"/>
      <w:tblBorders>
        <w:insideH w:val="single" w:sz="4" w:space="0" w:color="FFFFFF" w:themeColor="background1"/>
      </w:tblBorders>
    </w:tblPr>
    <w:tcPr>
      <w:shd w:val="clear" w:color="auto" w:fill="FFC9CB" w:themeFill="accent1" w:themeFillTint="33"/>
    </w:tcPr>
    <w:tblStylePr w:type="firstRow">
      <w:rPr>
        <w:b/>
        <w:bCs/>
      </w:rPr>
      <w:tblPr/>
      <w:tcPr>
        <w:shd w:val="clear" w:color="auto" w:fill="FF9498" w:themeFill="accent1" w:themeFillTint="66"/>
      </w:tcPr>
    </w:tblStylePr>
    <w:tblStylePr w:type="lastRow">
      <w:rPr>
        <w:b/>
        <w:bCs/>
        <w:color w:val="455560" w:themeColor="text1"/>
      </w:rPr>
      <w:tblPr/>
      <w:tcPr>
        <w:shd w:val="clear" w:color="auto" w:fill="FF9498" w:themeFill="accent1" w:themeFillTint="66"/>
      </w:tcPr>
    </w:tblStylePr>
    <w:tblStylePr w:type="firstCol">
      <w:rPr>
        <w:color w:val="FFFFFF" w:themeColor="background1"/>
      </w:rPr>
      <w:tblPr/>
      <w:tcPr>
        <w:shd w:val="clear" w:color="auto" w:fill="B60006" w:themeFill="accent1" w:themeFillShade="BF"/>
      </w:tcPr>
    </w:tblStylePr>
    <w:tblStylePr w:type="lastCol">
      <w:rPr>
        <w:color w:val="FFFFFF" w:themeColor="background1"/>
      </w:rPr>
      <w:tblPr/>
      <w:tcPr>
        <w:shd w:val="clear" w:color="auto" w:fill="B60006" w:themeFill="accent1" w:themeFillShade="BF"/>
      </w:tcPr>
    </w:tblStylePr>
    <w:tblStylePr w:type="band1Vert">
      <w:tblPr/>
      <w:tcPr>
        <w:shd w:val="clear" w:color="auto" w:fill="FF7A7F" w:themeFill="accent1" w:themeFillTint="7F"/>
      </w:tcPr>
    </w:tblStylePr>
    <w:tblStylePr w:type="band1Horz">
      <w:tblPr/>
      <w:tcPr>
        <w:shd w:val="clear" w:color="auto" w:fill="FF7A7F" w:themeFill="accent1" w:themeFillTint="7F"/>
      </w:tcPr>
    </w:tblStylePr>
  </w:style>
  <w:style w:type="table" w:styleId="ColorfulGrid-Accent2">
    <w:name w:val="Colorful Grid Accent 2"/>
    <w:basedOn w:val="TableNormal"/>
    <w:uiPriority w:val="73"/>
    <w:rsid w:val="00CB0664"/>
    <w:pPr>
      <w:spacing w:after="0" w:line="240" w:lineRule="auto"/>
    </w:pPr>
    <w:rPr>
      <w:color w:val="455560" w:themeColor="text1"/>
    </w:rPr>
    <w:tblPr>
      <w:tblStyleRowBandSize w:val="1"/>
      <w:tblStyleColBandSize w:val="1"/>
      <w:tblBorders>
        <w:insideH w:val="single" w:sz="4" w:space="0" w:color="FFFFFF" w:themeColor="background1"/>
      </w:tblBorders>
    </w:tblPr>
    <w:tcPr>
      <w:shd w:val="clear" w:color="auto" w:fill="E5E5E6" w:themeFill="accent2" w:themeFillTint="33"/>
    </w:tcPr>
    <w:tblStylePr w:type="firstRow">
      <w:rPr>
        <w:b/>
        <w:bCs/>
      </w:rPr>
      <w:tblPr/>
      <w:tcPr>
        <w:shd w:val="clear" w:color="auto" w:fill="CCCCCE" w:themeFill="accent2" w:themeFillTint="66"/>
      </w:tcPr>
    </w:tblStylePr>
    <w:tblStylePr w:type="lastRow">
      <w:rPr>
        <w:b/>
        <w:bCs/>
        <w:color w:val="455560" w:themeColor="text1"/>
      </w:rPr>
      <w:tblPr/>
      <w:tcPr>
        <w:shd w:val="clear" w:color="auto" w:fill="CCCCCE" w:themeFill="accent2" w:themeFillTint="66"/>
      </w:tcPr>
    </w:tblStylePr>
    <w:tblStylePr w:type="firstCol">
      <w:rPr>
        <w:color w:val="FFFFFF" w:themeColor="background1"/>
      </w:rPr>
      <w:tblPr/>
      <w:tcPr>
        <w:shd w:val="clear" w:color="auto" w:fill="5F6163" w:themeFill="accent2" w:themeFillShade="BF"/>
      </w:tcPr>
    </w:tblStylePr>
    <w:tblStylePr w:type="lastCol">
      <w:rPr>
        <w:color w:val="FFFFFF" w:themeColor="background1"/>
      </w:rPr>
      <w:tblPr/>
      <w:tcPr>
        <w:shd w:val="clear" w:color="auto" w:fill="5F6163" w:themeFill="accent2" w:themeFillShade="BF"/>
      </w:tcPr>
    </w:tblStylePr>
    <w:tblStylePr w:type="band1Vert">
      <w:tblPr/>
      <w:tcPr>
        <w:shd w:val="clear" w:color="auto" w:fill="BFC0C2" w:themeFill="accent2" w:themeFillTint="7F"/>
      </w:tcPr>
    </w:tblStylePr>
    <w:tblStylePr w:type="band1Horz">
      <w:tblPr/>
      <w:tcPr>
        <w:shd w:val="clear" w:color="auto" w:fill="BFC0C2" w:themeFill="accent2" w:themeFillTint="7F"/>
      </w:tcPr>
    </w:tblStylePr>
  </w:style>
  <w:style w:type="table" w:styleId="ColorfulGrid-Accent3">
    <w:name w:val="Colorful Grid Accent 3"/>
    <w:basedOn w:val="TableNormal"/>
    <w:uiPriority w:val="73"/>
    <w:rsid w:val="00CB0664"/>
    <w:pPr>
      <w:spacing w:after="0" w:line="240" w:lineRule="auto"/>
    </w:pPr>
    <w:rPr>
      <w:color w:val="455560" w:themeColor="text1"/>
    </w:rPr>
    <w:tblPr>
      <w:tblStyleRowBandSize w:val="1"/>
      <w:tblStyleColBandSize w:val="1"/>
      <w:tblBorders>
        <w:insideH w:val="single" w:sz="4" w:space="0" w:color="FFFFFF" w:themeColor="background1"/>
      </w:tblBorders>
    </w:tblPr>
    <w:tcPr>
      <w:shd w:val="clear" w:color="auto" w:fill="FFC9CB" w:themeFill="accent3" w:themeFillTint="33"/>
    </w:tcPr>
    <w:tblStylePr w:type="firstRow">
      <w:rPr>
        <w:b/>
        <w:bCs/>
      </w:rPr>
      <w:tblPr/>
      <w:tcPr>
        <w:shd w:val="clear" w:color="auto" w:fill="FF9498" w:themeFill="accent3" w:themeFillTint="66"/>
      </w:tcPr>
    </w:tblStylePr>
    <w:tblStylePr w:type="lastRow">
      <w:rPr>
        <w:b/>
        <w:bCs/>
        <w:color w:val="455560" w:themeColor="text1"/>
      </w:rPr>
      <w:tblPr/>
      <w:tcPr>
        <w:shd w:val="clear" w:color="auto" w:fill="FF9498" w:themeFill="accent3" w:themeFillTint="66"/>
      </w:tcPr>
    </w:tblStylePr>
    <w:tblStylePr w:type="firstCol">
      <w:rPr>
        <w:color w:val="FFFFFF" w:themeColor="background1"/>
      </w:rPr>
      <w:tblPr/>
      <w:tcPr>
        <w:shd w:val="clear" w:color="auto" w:fill="B60006" w:themeFill="accent3" w:themeFillShade="BF"/>
      </w:tcPr>
    </w:tblStylePr>
    <w:tblStylePr w:type="lastCol">
      <w:rPr>
        <w:color w:val="FFFFFF" w:themeColor="background1"/>
      </w:rPr>
      <w:tblPr/>
      <w:tcPr>
        <w:shd w:val="clear" w:color="auto" w:fill="B60006" w:themeFill="accent3" w:themeFillShade="BF"/>
      </w:tcPr>
    </w:tblStylePr>
    <w:tblStylePr w:type="band1Vert">
      <w:tblPr/>
      <w:tcPr>
        <w:shd w:val="clear" w:color="auto" w:fill="FF7A7F" w:themeFill="accent3" w:themeFillTint="7F"/>
      </w:tcPr>
    </w:tblStylePr>
    <w:tblStylePr w:type="band1Horz">
      <w:tblPr/>
      <w:tcPr>
        <w:shd w:val="clear" w:color="auto" w:fill="FF7A7F" w:themeFill="accent3" w:themeFillTint="7F"/>
      </w:tcPr>
    </w:tblStylePr>
  </w:style>
  <w:style w:type="table" w:styleId="ColorfulGrid-Accent4">
    <w:name w:val="Colorful Grid Accent 4"/>
    <w:basedOn w:val="TableNormal"/>
    <w:uiPriority w:val="73"/>
    <w:rsid w:val="00CB0664"/>
    <w:pPr>
      <w:spacing w:after="0" w:line="240" w:lineRule="auto"/>
    </w:pPr>
    <w:rPr>
      <w:color w:val="455560" w:themeColor="text1"/>
    </w:rPr>
    <w:tblPr>
      <w:tblStyleRowBandSize w:val="1"/>
      <w:tblStyleColBandSize w:val="1"/>
      <w:tblBorders>
        <w:insideH w:val="single" w:sz="4" w:space="0" w:color="FFFFFF" w:themeColor="background1"/>
      </w:tblBorders>
    </w:tblPr>
    <w:tcPr>
      <w:shd w:val="clear" w:color="auto" w:fill="FFC9CB" w:themeFill="accent4" w:themeFillTint="33"/>
    </w:tcPr>
    <w:tblStylePr w:type="firstRow">
      <w:rPr>
        <w:b/>
        <w:bCs/>
      </w:rPr>
      <w:tblPr/>
      <w:tcPr>
        <w:shd w:val="clear" w:color="auto" w:fill="FF9498" w:themeFill="accent4" w:themeFillTint="66"/>
      </w:tcPr>
    </w:tblStylePr>
    <w:tblStylePr w:type="lastRow">
      <w:rPr>
        <w:b/>
        <w:bCs/>
        <w:color w:val="455560" w:themeColor="text1"/>
      </w:rPr>
      <w:tblPr/>
      <w:tcPr>
        <w:shd w:val="clear" w:color="auto" w:fill="FF9498" w:themeFill="accent4" w:themeFillTint="66"/>
      </w:tcPr>
    </w:tblStylePr>
    <w:tblStylePr w:type="firstCol">
      <w:rPr>
        <w:color w:val="FFFFFF" w:themeColor="background1"/>
      </w:rPr>
      <w:tblPr/>
      <w:tcPr>
        <w:shd w:val="clear" w:color="auto" w:fill="B60006" w:themeFill="accent4" w:themeFillShade="BF"/>
      </w:tcPr>
    </w:tblStylePr>
    <w:tblStylePr w:type="lastCol">
      <w:rPr>
        <w:color w:val="FFFFFF" w:themeColor="background1"/>
      </w:rPr>
      <w:tblPr/>
      <w:tcPr>
        <w:shd w:val="clear" w:color="auto" w:fill="B60006" w:themeFill="accent4" w:themeFillShade="BF"/>
      </w:tcPr>
    </w:tblStylePr>
    <w:tblStylePr w:type="band1Vert">
      <w:tblPr/>
      <w:tcPr>
        <w:shd w:val="clear" w:color="auto" w:fill="FF7A7F" w:themeFill="accent4" w:themeFillTint="7F"/>
      </w:tcPr>
    </w:tblStylePr>
    <w:tblStylePr w:type="band1Horz">
      <w:tblPr/>
      <w:tcPr>
        <w:shd w:val="clear" w:color="auto" w:fill="FF7A7F" w:themeFill="accent4" w:themeFillTint="7F"/>
      </w:tcPr>
    </w:tblStylePr>
  </w:style>
  <w:style w:type="table" w:styleId="ColorfulGrid-Accent5">
    <w:name w:val="Colorful Grid Accent 5"/>
    <w:basedOn w:val="TableNormal"/>
    <w:uiPriority w:val="73"/>
    <w:rsid w:val="00CB0664"/>
    <w:pPr>
      <w:spacing w:after="0" w:line="240" w:lineRule="auto"/>
    </w:pPr>
    <w:rPr>
      <w:color w:val="455560" w:themeColor="text1"/>
    </w:rPr>
    <w:tblPr>
      <w:tblStyleRowBandSize w:val="1"/>
      <w:tblStyleColBandSize w:val="1"/>
      <w:tblBorders>
        <w:insideH w:val="single" w:sz="4" w:space="0" w:color="FFFFFF" w:themeColor="background1"/>
      </w:tblBorders>
    </w:tblPr>
    <w:tcPr>
      <w:shd w:val="clear" w:color="auto" w:fill="FFC9CB" w:themeFill="accent5" w:themeFillTint="33"/>
    </w:tcPr>
    <w:tblStylePr w:type="firstRow">
      <w:rPr>
        <w:b/>
        <w:bCs/>
      </w:rPr>
      <w:tblPr/>
      <w:tcPr>
        <w:shd w:val="clear" w:color="auto" w:fill="FF9498" w:themeFill="accent5" w:themeFillTint="66"/>
      </w:tcPr>
    </w:tblStylePr>
    <w:tblStylePr w:type="lastRow">
      <w:rPr>
        <w:b/>
        <w:bCs/>
        <w:color w:val="455560" w:themeColor="text1"/>
      </w:rPr>
      <w:tblPr/>
      <w:tcPr>
        <w:shd w:val="clear" w:color="auto" w:fill="FF9498" w:themeFill="accent5" w:themeFillTint="66"/>
      </w:tcPr>
    </w:tblStylePr>
    <w:tblStylePr w:type="firstCol">
      <w:rPr>
        <w:color w:val="FFFFFF" w:themeColor="background1"/>
      </w:rPr>
      <w:tblPr/>
      <w:tcPr>
        <w:shd w:val="clear" w:color="auto" w:fill="B60006" w:themeFill="accent5" w:themeFillShade="BF"/>
      </w:tcPr>
    </w:tblStylePr>
    <w:tblStylePr w:type="lastCol">
      <w:rPr>
        <w:color w:val="FFFFFF" w:themeColor="background1"/>
      </w:rPr>
      <w:tblPr/>
      <w:tcPr>
        <w:shd w:val="clear" w:color="auto" w:fill="B60006" w:themeFill="accent5" w:themeFillShade="BF"/>
      </w:tcPr>
    </w:tblStylePr>
    <w:tblStylePr w:type="band1Vert">
      <w:tblPr/>
      <w:tcPr>
        <w:shd w:val="clear" w:color="auto" w:fill="FF7A7F" w:themeFill="accent5" w:themeFillTint="7F"/>
      </w:tcPr>
    </w:tblStylePr>
    <w:tblStylePr w:type="band1Horz">
      <w:tblPr/>
      <w:tcPr>
        <w:shd w:val="clear" w:color="auto" w:fill="FF7A7F" w:themeFill="accent5" w:themeFillTint="7F"/>
      </w:tcPr>
    </w:tblStylePr>
  </w:style>
  <w:style w:type="table" w:styleId="ColorfulGrid-Accent6">
    <w:name w:val="Colorful Grid Accent 6"/>
    <w:basedOn w:val="TableNormal"/>
    <w:uiPriority w:val="73"/>
    <w:rsid w:val="00CB0664"/>
    <w:pPr>
      <w:spacing w:after="0" w:line="240" w:lineRule="auto"/>
    </w:pPr>
    <w:rPr>
      <w:color w:val="455560" w:themeColor="text1"/>
    </w:rPr>
    <w:tblPr>
      <w:tblStyleRowBandSize w:val="1"/>
      <w:tblStyleColBandSize w:val="1"/>
      <w:tblBorders>
        <w:insideH w:val="single" w:sz="4" w:space="0" w:color="FFFFFF" w:themeColor="background1"/>
      </w:tblBorders>
    </w:tblPr>
    <w:tcPr>
      <w:shd w:val="clear" w:color="auto" w:fill="FFC9CB" w:themeFill="accent6" w:themeFillTint="33"/>
    </w:tcPr>
    <w:tblStylePr w:type="firstRow">
      <w:rPr>
        <w:b/>
        <w:bCs/>
      </w:rPr>
      <w:tblPr/>
      <w:tcPr>
        <w:shd w:val="clear" w:color="auto" w:fill="FF9498" w:themeFill="accent6" w:themeFillTint="66"/>
      </w:tcPr>
    </w:tblStylePr>
    <w:tblStylePr w:type="lastRow">
      <w:rPr>
        <w:b/>
        <w:bCs/>
        <w:color w:val="455560" w:themeColor="text1"/>
      </w:rPr>
      <w:tblPr/>
      <w:tcPr>
        <w:shd w:val="clear" w:color="auto" w:fill="FF9498" w:themeFill="accent6" w:themeFillTint="66"/>
      </w:tcPr>
    </w:tblStylePr>
    <w:tblStylePr w:type="firstCol">
      <w:rPr>
        <w:color w:val="FFFFFF" w:themeColor="background1"/>
      </w:rPr>
      <w:tblPr/>
      <w:tcPr>
        <w:shd w:val="clear" w:color="auto" w:fill="B60006" w:themeFill="accent6" w:themeFillShade="BF"/>
      </w:tcPr>
    </w:tblStylePr>
    <w:tblStylePr w:type="lastCol">
      <w:rPr>
        <w:color w:val="FFFFFF" w:themeColor="background1"/>
      </w:rPr>
      <w:tblPr/>
      <w:tcPr>
        <w:shd w:val="clear" w:color="auto" w:fill="B60006" w:themeFill="accent6" w:themeFillShade="BF"/>
      </w:tcPr>
    </w:tblStylePr>
    <w:tblStylePr w:type="band1Vert">
      <w:tblPr/>
      <w:tcPr>
        <w:shd w:val="clear" w:color="auto" w:fill="FF7A7F" w:themeFill="accent6" w:themeFillTint="7F"/>
      </w:tcPr>
    </w:tblStylePr>
    <w:tblStylePr w:type="band1Horz">
      <w:tblPr/>
      <w:tcPr>
        <w:shd w:val="clear" w:color="auto" w:fill="FF7A7F"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Custom F40009">
      <a:dk1>
        <a:srgbClr val="455560"/>
      </a:dk1>
      <a:lt1>
        <a:srgbClr val="FFFFFF"/>
      </a:lt1>
      <a:dk2>
        <a:srgbClr val="F40009"/>
      </a:dk2>
      <a:lt2>
        <a:srgbClr val="EEECE1"/>
      </a:lt2>
      <a:accent1>
        <a:srgbClr val="F40009"/>
      </a:accent1>
      <a:accent2>
        <a:srgbClr val="808285"/>
      </a:accent2>
      <a:accent3>
        <a:srgbClr val="F40009"/>
      </a:accent3>
      <a:accent4>
        <a:srgbClr val="F40009"/>
      </a:accent4>
      <a:accent5>
        <a:srgbClr val="F40009"/>
      </a:accent5>
      <a:accent6>
        <a:srgbClr val="F40009"/>
      </a:accent6>
      <a:hlink>
        <a:srgbClr val="F40009"/>
      </a:hlink>
      <a:folHlink>
        <a:srgbClr val="80828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1516</Words>
  <Characters>8642</Characters>
  <Application>Microsoft Office Word</Application>
  <DocSecurity>0</DocSecurity>
  <Lines>72</Lines>
  <Paragraphs>20</Paragraphs>
  <ScaleCrop>false</ScaleCrop>
  <Manager/>
  <Company/>
  <LinksUpToDate>false</LinksUpToDate>
  <CharactersWithSpaces>10138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Jeffrey Sonola</cp:lastModifiedBy>
  <cp:revision>17</cp:revision>
  <dcterms:created xsi:type="dcterms:W3CDTF">2026-10-07T14:29:00Z</dcterms:created>
  <dcterms:modified xsi:type="dcterms:W3CDTF">2026-10-08T17:41:00Z</dcterms:modified>
  <cp:category/>
</cp:coreProperties>
</file>