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77E3" w14:textId="77777777" w:rsidR="00247438" w:rsidRPr="00247438" w:rsidRDefault="00247438" w:rsidP="00247438">
      <w:pPr>
        <w:rPr>
          <w:b/>
          <w:bCs/>
        </w:rPr>
      </w:pPr>
      <w:r w:rsidRPr="00247438">
        <w:rPr>
          <w:b/>
          <w:bCs/>
        </w:rPr>
        <w:t>Performance Benchmark Report: Dell Precision 7960 vs. NVIDIA DGX Spark</w:t>
      </w:r>
    </w:p>
    <w:p w14:paraId="05AA138A" w14:textId="77777777" w:rsidR="00247438" w:rsidRPr="00247438" w:rsidRDefault="00247438" w:rsidP="00247438">
      <w:pPr>
        <w:rPr>
          <w:b/>
          <w:bCs/>
        </w:rPr>
      </w:pPr>
      <w:r w:rsidRPr="00247438">
        <w:rPr>
          <w:b/>
          <w:bCs/>
        </w:rPr>
        <w:t>1. Executive Summary</w:t>
      </w:r>
    </w:p>
    <w:p w14:paraId="68BC40F7" w14:textId="77777777" w:rsidR="00247438" w:rsidRPr="00247438" w:rsidRDefault="00247438" w:rsidP="00247438">
      <w:r w:rsidRPr="00247438">
        <w:t xml:space="preserve">This evaluation compares the efficiency of a high-performance workstation (Dell Precision 7960) against a unified-memory AI supercomputer (NVIDIA DGX Spark). In this specific benchmark, the </w:t>
      </w:r>
      <w:r w:rsidRPr="00247438">
        <w:rPr>
          <w:b/>
          <w:bCs/>
        </w:rPr>
        <w:t>NVIDIA DGX Spark</w:t>
      </w:r>
      <w:r w:rsidRPr="00247438">
        <w:t xml:space="preserve"> outperformed the Lab Machine across all key metrics, including processing speed, reliability (success rate), and output quality.</w:t>
      </w:r>
    </w:p>
    <w:p w14:paraId="1915278A" w14:textId="77777777" w:rsidR="00247438" w:rsidRDefault="00247438" w:rsidP="00247438">
      <w:r w:rsidRPr="00247438">
        <w:t xml:space="preserve">Despite the Lab Machine's higher theoretical GPU bandwidth (576 GB/s), the DGX Spark demonstrated superior stability, achieving a </w:t>
      </w:r>
      <w:r w:rsidRPr="00247438">
        <w:rPr>
          <w:b/>
          <w:bCs/>
        </w:rPr>
        <w:t>73.4% success rate</w:t>
      </w:r>
      <w:r w:rsidRPr="00247438">
        <w:t xml:space="preserve"> compared to the Lab Machine's </w:t>
      </w:r>
      <w:r w:rsidRPr="00247438">
        <w:rPr>
          <w:b/>
          <w:bCs/>
        </w:rPr>
        <w:t>48.7%</w:t>
      </w:r>
      <w:r w:rsidRPr="00247438">
        <w:t xml:space="preserve">, and completed the tasks approximately </w:t>
      </w:r>
      <w:r w:rsidRPr="00247438">
        <w:rPr>
          <w:b/>
          <w:bCs/>
        </w:rPr>
        <w:t>24% faster</w:t>
      </w:r>
      <w:r w:rsidRPr="00247438">
        <w:t xml:space="preserve"> on average.</w:t>
      </w:r>
    </w:p>
    <w:p w14:paraId="234AF06F" w14:textId="77777777" w:rsidR="00247438" w:rsidRPr="00247438" w:rsidRDefault="00247438" w:rsidP="00247438"/>
    <w:p w14:paraId="37690CF5" w14:textId="7FACB7D6" w:rsidR="007A402F" w:rsidRDefault="007A402F" w:rsidP="00247438"/>
    <w:sectPr w:rsidR="007A4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12"/>
    <w:rsid w:val="002052C7"/>
    <w:rsid w:val="00225C12"/>
    <w:rsid w:val="00247438"/>
    <w:rsid w:val="00361457"/>
    <w:rsid w:val="00376456"/>
    <w:rsid w:val="007A402F"/>
    <w:rsid w:val="00AA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CF7C"/>
  <w15:chartTrackingRefBased/>
  <w15:docId w15:val="{E7D7817C-6E9E-4C70-A52B-713C8A462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2</cp:revision>
  <dcterms:created xsi:type="dcterms:W3CDTF">2026-01-30T22:34:00Z</dcterms:created>
  <dcterms:modified xsi:type="dcterms:W3CDTF">2026-01-30T23:04:00Z</dcterms:modified>
</cp:coreProperties>
</file>