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IF NOT EXISTS FinancialAnalysisData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-- Primary and Foreign Keys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company_id INTEGER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FOREIGN KEY (company_id) REFERENCES PublicCompany(id),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-- Period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financial_year INTEGER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period_end_date DATE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 INCOME STATEMENT ITEMS (Your Original Data)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revenues BIGINT,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cost_of_revenue BIGINT,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gross_profit BIGINT,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operating_expenses BIGINT,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operating_income_loss BIGINT,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net_income_loss BIGINT,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 BALANCE SHEET ITEMS (For Solvency &amp; Liquidity)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current_assets BIGINT,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current_liabilities BIGINT,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total_assets BIGINT,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total_liabilities BIGINT,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total_equity BIGINT,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long_term_debt BIGINT,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 CASH FLOW STATEMENT ITEMS (For Quality of Earnings)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cash_flow_operations BIGINT,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capital_expenditures BIGINT,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free_cash_flow BIGINT,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-- KEY RATIOS &amp; PER SHARE METRICS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eps_basic NUMERIC(18, 4),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eps_diluted NUMERIC(18, 4),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 Profitability Ratios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gross_margin NUMERIC(18, 4),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operating_margin NUMERIC(18, 4),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net_profit_margin NUMERIC(18, 4),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return_on_sales NUMERIC(18, 4),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return_on_assets_roa NUMERIC(18, 4),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return_on_equity_roe NUMERIC(18, 4),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-- Liquidity and Solvency Ratios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current_ratio NUMERIC(18, 4),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quick_ratio NUMERIC(18, 4),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debt_to_equity_ratio NUMERIC(18, 4),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-- Market Valuation Metrics (requires input of stock price/market cap data)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price_to_earnings_pe NUMERIC(18, 4),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price_to_sales_ps NUMERIC(18, 4),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-- Unique Constraint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UNIQUE (company_id, financial_year, period_end_date)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