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842D" w14:textId="053CDB23" w:rsidR="00AA0B92" w:rsidRDefault="00AA0B92">
      <w:pPr>
        <w:rPr>
          <w:b/>
          <w:bCs/>
          <w:sz w:val="36"/>
          <w:szCs w:val="36"/>
        </w:rPr>
      </w:pPr>
      <w:r w:rsidRPr="00AA0B92">
        <w:rPr>
          <w:b/>
          <w:bCs/>
          <w:sz w:val="36"/>
          <w:szCs w:val="36"/>
        </w:rPr>
        <w:t>Background</w:t>
      </w:r>
    </w:p>
    <w:p w14:paraId="0AAF7FFF" w14:textId="0EB53E56" w:rsidR="00334B35" w:rsidRDefault="00334B35">
      <w:r w:rsidRPr="00334B35">
        <w:t>The purpose of this study is to</w:t>
      </w:r>
      <w:r>
        <w:t xml:space="preserve"> </w:t>
      </w:r>
      <w:r w:rsidR="00823B98">
        <w:t>compare</w:t>
      </w:r>
      <w:r>
        <w:t xml:space="preserve"> </w:t>
      </w:r>
      <w:r w:rsidR="00D61CF1">
        <w:t>the</w:t>
      </w:r>
      <w:r>
        <w:t xml:space="preserve"> length of stay of neonate cases that ha</w:t>
      </w:r>
      <w:r w:rsidR="00FC3D29">
        <w:t>ve</w:t>
      </w:r>
      <w:r>
        <w:t xml:space="preserve"> been managed by </w:t>
      </w:r>
      <w:r w:rsidR="00607EF3">
        <w:t>the</w:t>
      </w:r>
      <w:r>
        <w:t xml:space="preserve"> external contractor (“M</w:t>
      </w:r>
      <w:r w:rsidR="00EF633F">
        <w:t>ANAGED</w:t>
      </w:r>
      <w:r>
        <w:t>”)</w:t>
      </w:r>
      <w:r w:rsidR="00607EF3">
        <w:t>,</w:t>
      </w:r>
      <w:r w:rsidR="00D61CF1">
        <w:t xml:space="preserve"> to the length of stay of neonate cases that ha</w:t>
      </w:r>
      <w:r w:rsidR="00FC3D29">
        <w:t>ve</w:t>
      </w:r>
      <w:r w:rsidR="00D61CF1">
        <w:t xml:space="preserve"> not been managed by said external contract (“U</w:t>
      </w:r>
      <w:r w:rsidR="00EF633F">
        <w:t>NMANAGED</w:t>
      </w:r>
      <w:r w:rsidR="00D61CF1">
        <w:t>”) and to the length of stay of neonate cases from an external benchmark data (“NPIC”).</w:t>
      </w:r>
      <w:r w:rsidR="00FC3D29">
        <w:t xml:space="preserve"> </w:t>
      </w:r>
      <w:r w:rsidR="00113278">
        <w:t xml:space="preserve">This study is using the data in which information such as </w:t>
      </w:r>
      <w:r w:rsidR="00EF633F">
        <w:t>S</w:t>
      </w:r>
      <w:r w:rsidR="00113278">
        <w:t xml:space="preserve">ource of </w:t>
      </w:r>
      <w:r w:rsidR="00EF633F">
        <w:t>D</w:t>
      </w:r>
      <w:r w:rsidR="00113278">
        <w:t>ata</w:t>
      </w:r>
      <w:r w:rsidR="00EF633F">
        <w:t xml:space="preserve"> (“SOURCE”)</w:t>
      </w:r>
      <w:r w:rsidR="00113278">
        <w:t xml:space="preserve">, </w:t>
      </w:r>
      <w:r w:rsidR="00EF633F">
        <w:t>L</w:t>
      </w:r>
      <w:r w:rsidR="00113278">
        <w:t xml:space="preserve">ength of </w:t>
      </w:r>
      <w:r w:rsidR="00EF633F">
        <w:t>S</w:t>
      </w:r>
      <w:r w:rsidR="00113278">
        <w:t>tay</w:t>
      </w:r>
      <w:r w:rsidR="00EF633F">
        <w:t xml:space="preserve"> (“LOS”)</w:t>
      </w:r>
      <w:r w:rsidR="00113278">
        <w:t xml:space="preserve">, </w:t>
      </w:r>
      <w:r w:rsidR="00EF633F">
        <w:t>B</w:t>
      </w:r>
      <w:r w:rsidR="00113278">
        <w:t xml:space="preserve">irth </w:t>
      </w:r>
      <w:r w:rsidR="00EF633F">
        <w:t>W</w:t>
      </w:r>
      <w:r w:rsidR="00113278">
        <w:t>eight</w:t>
      </w:r>
      <w:r w:rsidR="00EF633F">
        <w:t xml:space="preserve"> (“WEIGHT”)</w:t>
      </w:r>
      <w:r w:rsidR="00113278">
        <w:t xml:space="preserve">, </w:t>
      </w:r>
      <w:r w:rsidR="00EF633F">
        <w:t>C</w:t>
      </w:r>
      <w:r w:rsidR="00113278">
        <w:t xml:space="preserve">ase </w:t>
      </w:r>
      <w:r w:rsidR="00EF633F">
        <w:t>Y</w:t>
      </w:r>
      <w:r w:rsidR="00113278">
        <w:t>ear</w:t>
      </w:r>
      <w:r w:rsidR="00EF633F">
        <w:t xml:space="preserve"> (“YEAR”)</w:t>
      </w:r>
      <w:r w:rsidR="00113278">
        <w:t xml:space="preserve">, and APR DRG </w:t>
      </w:r>
      <w:r w:rsidR="009340A2">
        <w:t>are the variables.</w:t>
      </w:r>
      <w:r w:rsidR="00607EF3" w:rsidRPr="00607EF3">
        <w:t xml:space="preserve"> </w:t>
      </w:r>
      <w:proofErr w:type="gramStart"/>
      <w:r w:rsidR="00607EF3">
        <w:t>For the purpose of</w:t>
      </w:r>
      <w:proofErr w:type="gramEnd"/>
      <w:r w:rsidR="00607EF3">
        <w:t xml:space="preserve"> this study, we used two variables to help us compare the three different sources of data – Length of Stay and Birth Weight.</w:t>
      </w:r>
      <w:r w:rsidR="00095CB6">
        <w:t xml:space="preserve"> </w:t>
      </w:r>
    </w:p>
    <w:p w14:paraId="50952A5C" w14:textId="69C40ED8" w:rsidR="0071019E" w:rsidRDefault="0082646A">
      <w:pPr>
        <w:rPr>
          <w:i/>
          <w:iCs/>
          <w:sz w:val="24"/>
          <w:szCs w:val="24"/>
          <w:u w:val="single"/>
        </w:rPr>
      </w:pPr>
      <w:r w:rsidRPr="0082646A">
        <w:rPr>
          <w:i/>
          <w:iCs/>
          <w:sz w:val="24"/>
          <w:szCs w:val="24"/>
          <w:u w:val="single"/>
        </w:rPr>
        <w:t>Assumption</w:t>
      </w:r>
      <w:r w:rsidR="003332B8">
        <w:rPr>
          <w:i/>
          <w:iCs/>
          <w:sz w:val="24"/>
          <w:szCs w:val="24"/>
          <w:u w:val="single"/>
        </w:rPr>
        <w:t>s</w:t>
      </w:r>
    </w:p>
    <w:p w14:paraId="3C55A9CA" w14:textId="7C5725C8" w:rsidR="009A2FD5" w:rsidRDefault="0082646A">
      <w:r>
        <w:t xml:space="preserve">In Exhibit 1, we averaged the length of stay by three other variables – the average length of stay by the case year, </w:t>
      </w:r>
      <w:r w:rsidR="00D67612">
        <w:t xml:space="preserve">the </w:t>
      </w:r>
      <w:r>
        <w:t xml:space="preserve">average length of stay by the source of data, and </w:t>
      </w:r>
      <w:r w:rsidR="00D67612">
        <w:t xml:space="preserve">the </w:t>
      </w:r>
      <w:r>
        <w:t>average length of stay by the APR DRG. The vertical</w:t>
      </w:r>
      <w:r w:rsidR="00A71F1D">
        <w:t xml:space="preserve"> </w:t>
      </w:r>
      <w:r>
        <w:t>axis in Exhibit 1 splits the data by the APR DRG, while the horizontal</w:t>
      </w:r>
      <w:r w:rsidR="00A71F1D">
        <w:t xml:space="preserve"> </w:t>
      </w:r>
      <w:r>
        <w:t xml:space="preserve">axis splits it by the case year for each </w:t>
      </w:r>
      <w:r w:rsidR="00A5016B">
        <w:t>data source</w:t>
      </w:r>
      <w:r>
        <w:t xml:space="preserve">. Since our main purpose of this study is to compare the average length of stay of neonate cases for each source of data, we believe it would be </w:t>
      </w:r>
      <w:r w:rsidR="009F0917">
        <w:t>easier</w:t>
      </w:r>
      <w:r>
        <w:t xml:space="preserve"> if we</w:t>
      </w:r>
      <w:r w:rsidR="003543E8">
        <w:t xml:space="preserve"> have the horizontal</w:t>
      </w:r>
      <w:r w:rsidR="00A71F1D">
        <w:t xml:space="preserve"> </w:t>
      </w:r>
      <w:r w:rsidR="003543E8">
        <w:t xml:space="preserve">axis of the </w:t>
      </w:r>
      <w:r w:rsidR="008B6BC7">
        <w:t>table</w:t>
      </w:r>
      <w:r w:rsidR="003543E8">
        <w:t xml:space="preserve"> split by </w:t>
      </w:r>
      <w:r w:rsidR="00D67612">
        <w:t>the data source</w:t>
      </w:r>
      <w:r w:rsidR="003543E8">
        <w:t xml:space="preserve">, and then for each </w:t>
      </w:r>
      <w:r w:rsidR="00DD4177">
        <w:t>data source</w:t>
      </w:r>
      <w:r w:rsidR="009275D3">
        <w:t>,</w:t>
      </w:r>
      <w:r w:rsidR="008B6BC7">
        <w:t xml:space="preserve"> it is split</w:t>
      </w:r>
      <w:r w:rsidR="003543E8">
        <w:t xml:space="preserve"> again for each </w:t>
      </w:r>
      <w:r w:rsidR="009F0917">
        <w:t>case year.</w:t>
      </w:r>
    </w:p>
    <w:p w14:paraId="2E9407BE" w14:textId="79FD5B6B" w:rsidR="001E58A0" w:rsidRPr="0082646A" w:rsidRDefault="001E58A0">
      <w:r>
        <w:t>In Exhi</w:t>
      </w:r>
      <w:r w:rsidR="00B70773">
        <w:t>bit 2, since our purpose of this study is to compare the MANAGED cases to t</w:t>
      </w:r>
      <w:r w:rsidR="00C869EF">
        <w:t>hose of UNMANAGED and NPIC, we believe it is appropriate to do t</w:t>
      </w:r>
      <w:r w:rsidR="00753979">
        <w:t>he</w:t>
      </w:r>
      <w:r w:rsidR="00C869EF">
        <w:t xml:space="preserve"> comparison by </w:t>
      </w:r>
      <w:r w:rsidR="00753979">
        <w:t>using</w:t>
      </w:r>
      <w:r w:rsidR="00C869EF">
        <w:t xml:space="preserve"> the average </w:t>
      </w:r>
      <w:r w:rsidR="007B4AA5">
        <w:t xml:space="preserve">birth </w:t>
      </w:r>
      <w:r w:rsidR="00C869EF">
        <w:t xml:space="preserve">weight, </w:t>
      </w:r>
      <w:r w:rsidR="00D157AB">
        <w:t xml:space="preserve">the average length of stay, as well as the case count for each of the </w:t>
      </w:r>
      <w:r w:rsidR="007B4AA5">
        <w:t>seven</w:t>
      </w:r>
      <w:r w:rsidR="00D157AB">
        <w:t xml:space="preserve"> birth weight ranges.</w:t>
      </w:r>
    </w:p>
    <w:p w14:paraId="187F1C9B" w14:textId="30D2BB76" w:rsidR="00AA0B92" w:rsidRPr="00607EF3" w:rsidRDefault="00AA0B92">
      <w:pPr>
        <w:rPr>
          <w:u w:val="single"/>
        </w:rPr>
      </w:pPr>
      <w:r w:rsidRPr="00AA0B92">
        <w:rPr>
          <w:b/>
          <w:bCs/>
          <w:sz w:val="36"/>
          <w:szCs w:val="36"/>
        </w:rPr>
        <w:t>Results</w:t>
      </w:r>
    </w:p>
    <w:p w14:paraId="33046C7C" w14:textId="5A8B6055" w:rsidR="00A972C6" w:rsidRPr="00DE1C9A" w:rsidRDefault="00A972C6">
      <w:pPr>
        <w:rPr>
          <w:i/>
          <w:iCs/>
          <w:sz w:val="24"/>
          <w:szCs w:val="24"/>
          <w:u w:val="single"/>
        </w:rPr>
      </w:pPr>
      <w:r w:rsidRPr="00DE1C9A">
        <w:rPr>
          <w:i/>
          <w:iCs/>
          <w:sz w:val="24"/>
          <w:szCs w:val="24"/>
          <w:u w:val="single"/>
        </w:rPr>
        <w:t>Exhibit 1</w:t>
      </w:r>
    </w:p>
    <w:p w14:paraId="34829B4E" w14:textId="78A999EA" w:rsidR="001D3377" w:rsidRPr="009F6FD4" w:rsidRDefault="001D3377">
      <w:r>
        <w:t xml:space="preserve">The </w:t>
      </w:r>
      <w:r w:rsidR="00C25B1C">
        <w:t xml:space="preserve">result </w:t>
      </w:r>
      <w:r>
        <w:t xml:space="preserve">in Exhibit 1 shows the </w:t>
      </w:r>
      <w:r w:rsidR="000F488B">
        <w:t xml:space="preserve">yearly </w:t>
      </w:r>
      <w:r>
        <w:t>average length of stay for each APR DRG</w:t>
      </w:r>
      <w:r w:rsidR="003D11DB">
        <w:t xml:space="preserve"> </w:t>
      </w:r>
      <w:r w:rsidR="003009CC">
        <w:t>on each</w:t>
      </w:r>
      <w:r>
        <w:t xml:space="preserve"> </w:t>
      </w:r>
      <w:r w:rsidR="00C25B1C">
        <w:t>data source</w:t>
      </w:r>
      <w:r>
        <w:t xml:space="preserve">. As we can </w:t>
      </w:r>
      <w:r w:rsidR="00C320EF">
        <w:t>in</w:t>
      </w:r>
      <w:r w:rsidR="00BA43C4">
        <w:t>fer from</w:t>
      </w:r>
      <w:r w:rsidR="00C320EF">
        <w:t xml:space="preserve"> Exhibit 1, </w:t>
      </w:r>
      <w:r>
        <w:t>the</w:t>
      </w:r>
      <w:r w:rsidR="00C320EF">
        <w:t>re are more</w:t>
      </w:r>
      <w:r>
        <w:t xml:space="preserve"> </w:t>
      </w:r>
      <w:r w:rsidR="0023520B">
        <w:t xml:space="preserve">NPIC </w:t>
      </w:r>
      <w:r w:rsidR="00C320EF">
        <w:t>cases</w:t>
      </w:r>
      <w:r w:rsidR="0023520B">
        <w:t xml:space="preserve"> compared to the MANAGED and UNMANAGED </w:t>
      </w:r>
      <w:r w:rsidR="00EA60C7">
        <w:t>cases</w:t>
      </w:r>
      <w:r w:rsidR="0023520B">
        <w:t xml:space="preserve">. Moreover, </w:t>
      </w:r>
      <w:r w:rsidR="00BA43C4">
        <w:t xml:space="preserve">the </w:t>
      </w:r>
      <w:r w:rsidR="0023520B">
        <w:t>highest average length of stay is at</w:t>
      </w:r>
      <w:r w:rsidR="009F6FD4">
        <w:t xml:space="preserve"> 115.57 days f</w:t>
      </w:r>
      <w:r w:rsidR="004C1CC1">
        <w:t>rom an</w:t>
      </w:r>
      <w:r w:rsidR="008431B2">
        <w:t xml:space="preserve"> NPIC case with </w:t>
      </w:r>
      <w:r w:rsidR="009275D3">
        <w:t>an</w:t>
      </w:r>
      <w:r w:rsidR="009F6FD4">
        <w:t xml:space="preserve"> APR DRG of </w:t>
      </w:r>
      <w:r w:rsidR="009F6FD4" w:rsidRPr="00CD63C7">
        <w:rPr>
          <w:b/>
          <w:bCs/>
        </w:rPr>
        <w:t>589</w:t>
      </w:r>
      <w:r w:rsidR="009F6FD4">
        <w:rPr>
          <w:b/>
          <w:bCs/>
        </w:rPr>
        <w:t xml:space="preserve"> – Neonate Birth Weight &lt; 500g</w:t>
      </w:r>
      <w:r w:rsidR="009F6FD4">
        <w:t xml:space="preserve"> in the year 2014</w:t>
      </w:r>
      <w:r w:rsidR="008431B2">
        <w:t xml:space="preserve">, </w:t>
      </w:r>
      <w:r w:rsidR="009F6FD4">
        <w:t>while the lowest is at 7 days f</w:t>
      </w:r>
      <w:r w:rsidR="005D41C3">
        <w:t>rom two</w:t>
      </w:r>
      <w:r w:rsidR="008431B2">
        <w:t xml:space="preserve"> NPIC cases </w:t>
      </w:r>
      <w:r w:rsidR="009275D3">
        <w:t>with</w:t>
      </w:r>
      <w:r w:rsidR="00550989">
        <w:t xml:space="preserve"> </w:t>
      </w:r>
      <w:r w:rsidR="009F6FD4">
        <w:t>APR DRG</w:t>
      </w:r>
      <w:r w:rsidR="00550989">
        <w:t>s</w:t>
      </w:r>
      <w:r w:rsidR="009F6FD4">
        <w:t xml:space="preserve"> of </w:t>
      </w:r>
      <w:r w:rsidR="009F6FD4">
        <w:rPr>
          <w:b/>
          <w:bCs/>
        </w:rPr>
        <w:t xml:space="preserve">950 – Extensive Procedure Unrelated to Principal Diagnosis </w:t>
      </w:r>
      <w:r w:rsidR="009F6FD4">
        <w:t xml:space="preserve">in the year 2015 and </w:t>
      </w:r>
      <w:r w:rsidR="009F6FD4">
        <w:rPr>
          <w:b/>
          <w:bCs/>
        </w:rPr>
        <w:t xml:space="preserve">138 – Bronchiolitis &amp; RSV Pneumonia </w:t>
      </w:r>
      <w:r w:rsidR="009F6FD4">
        <w:t>in the year 2014</w:t>
      </w:r>
      <w:r w:rsidR="006E6393">
        <w:t xml:space="preserve">. </w:t>
      </w:r>
    </w:p>
    <w:p w14:paraId="330D75D2" w14:textId="0178B22D" w:rsidR="00095CB6" w:rsidRDefault="005734DD">
      <w:r>
        <w:t>To</w:t>
      </w:r>
      <w:r w:rsidR="00EF1614">
        <w:t xml:space="preserve"> further summarize the data, we took the average length of stay </w:t>
      </w:r>
      <w:r w:rsidR="00C73B13">
        <w:t>of</w:t>
      </w:r>
      <w:r w:rsidR="00EF1614">
        <w:t xml:space="preserve"> each year for each </w:t>
      </w:r>
      <w:r w:rsidR="00C94585">
        <w:t>data source</w:t>
      </w:r>
      <w:r w:rsidR="00EF1614">
        <w:t xml:space="preserve">, as we can see in </w:t>
      </w:r>
      <w:r w:rsidR="00E57263">
        <w:t>Table</w:t>
      </w:r>
      <w:r w:rsidR="00EF1614">
        <w:t xml:space="preserve"> 1. The purpose of </w:t>
      </w:r>
      <w:r w:rsidR="00E57263">
        <w:t>Table</w:t>
      </w:r>
      <w:r w:rsidR="00EF1614">
        <w:t xml:space="preserve"> 1 is to compare the yearly average</w:t>
      </w:r>
      <w:r w:rsidR="00C73B13">
        <w:t xml:space="preserve"> length of stay</w:t>
      </w:r>
      <w:r w:rsidR="00EF1614">
        <w:t xml:space="preserve"> for each </w:t>
      </w:r>
      <w:r w:rsidR="00C73B13">
        <w:t>data source</w:t>
      </w:r>
      <w:r w:rsidR="00563DD0">
        <w:t xml:space="preserve"> </w:t>
      </w:r>
      <w:r w:rsidR="00A3054C">
        <w:t>–</w:t>
      </w:r>
      <w:r w:rsidR="00563DD0">
        <w:t xml:space="preserve"> </w:t>
      </w:r>
      <w:r w:rsidR="00EF1614">
        <w:t xml:space="preserve">we can see that the average length of stay is higher in 2014 than in 2015 </w:t>
      </w:r>
      <w:r w:rsidR="00C84E9B">
        <w:t>in all data sources</w:t>
      </w:r>
      <w:r>
        <w:t xml:space="preserve">, with the average length of stay of 28.36 days in 2014 from the MANAGED </w:t>
      </w:r>
      <w:r w:rsidR="003B0C21">
        <w:t>cases</w:t>
      </w:r>
      <w:r>
        <w:t xml:space="preserve"> being the highest, and 21.82 days in 2014 from the UNMANAGED </w:t>
      </w:r>
      <w:r w:rsidR="00354005">
        <w:t>cases</w:t>
      </w:r>
      <w:r>
        <w:t xml:space="preserve"> being the lowest</w:t>
      </w:r>
      <w:r w:rsidR="00A3054C">
        <w:t>.</w:t>
      </w:r>
    </w:p>
    <w:p w14:paraId="713DE15A" w14:textId="77777777" w:rsidR="006E6393" w:rsidRDefault="006E6393"/>
    <w:p w14:paraId="6D31D1D3" w14:textId="2B4B7B4C" w:rsidR="003332B8" w:rsidRDefault="003332B8"/>
    <w:p w14:paraId="09C5DEF7" w14:textId="070760BB" w:rsidR="003332B8" w:rsidRDefault="003332B8"/>
    <w:p w14:paraId="4116A5D9" w14:textId="77777777" w:rsidR="003332B8" w:rsidRDefault="003332B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70EB3" w14:paraId="600336FA" w14:textId="77777777" w:rsidTr="00DD1CDB">
        <w:tc>
          <w:tcPr>
            <w:tcW w:w="9350" w:type="dxa"/>
            <w:gridSpan w:val="7"/>
            <w:shd w:val="clear" w:color="auto" w:fill="DEEAF6" w:themeFill="accent5" w:themeFillTint="33"/>
          </w:tcPr>
          <w:p w14:paraId="72090B4B" w14:textId="367F4CA8" w:rsidR="00970EB3" w:rsidRPr="00970EB3" w:rsidRDefault="00E57263" w:rsidP="00970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</w:t>
            </w:r>
            <w:r w:rsidR="00970EB3" w:rsidRPr="00970EB3">
              <w:rPr>
                <w:b/>
                <w:bCs/>
              </w:rPr>
              <w:t xml:space="preserve"> 1</w:t>
            </w:r>
          </w:p>
        </w:tc>
      </w:tr>
      <w:tr w:rsidR="00970EB3" w14:paraId="54B79826" w14:textId="77777777" w:rsidTr="00DD1CDB">
        <w:tc>
          <w:tcPr>
            <w:tcW w:w="1335" w:type="dxa"/>
            <w:tcBorders>
              <w:bottom w:val="single" w:sz="4" w:space="0" w:color="auto"/>
              <w:right w:val="single" w:sz="4" w:space="0" w:color="auto"/>
            </w:tcBorders>
          </w:tcPr>
          <w:p w14:paraId="153FF64C" w14:textId="79C18D3F" w:rsidR="00970EB3" w:rsidRDefault="00DD1CDB" w:rsidP="00DD1CDB">
            <w:pPr>
              <w:jc w:val="right"/>
            </w:pPr>
            <w:r>
              <w:t>SOURCE</w:t>
            </w:r>
          </w:p>
        </w:tc>
        <w:tc>
          <w:tcPr>
            <w:tcW w:w="26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2B98" w14:textId="09F75709" w:rsidR="00970EB3" w:rsidRPr="00970EB3" w:rsidRDefault="00970EB3" w:rsidP="00970EB3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MANAGED</w:t>
            </w:r>
          </w:p>
        </w:tc>
        <w:tc>
          <w:tcPr>
            <w:tcW w:w="2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60D4" w14:textId="3F686A08" w:rsidR="00970EB3" w:rsidRPr="00970EB3" w:rsidRDefault="00970EB3" w:rsidP="00970EB3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UNMANAGED</w:t>
            </w:r>
          </w:p>
        </w:tc>
        <w:tc>
          <w:tcPr>
            <w:tcW w:w="267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A04C99E" w14:textId="4EA7F7FF" w:rsidR="00970EB3" w:rsidRPr="00970EB3" w:rsidRDefault="00970EB3" w:rsidP="00970EB3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NPIC</w:t>
            </w:r>
          </w:p>
        </w:tc>
      </w:tr>
      <w:tr w:rsidR="00970EB3" w14:paraId="59B528B7" w14:textId="77777777" w:rsidTr="00DD1CDB">
        <w:tc>
          <w:tcPr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DD45" w14:textId="79C5C44B" w:rsidR="00DD1CDB" w:rsidRDefault="00DD1CDB" w:rsidP="00DD1CDB">
            <w:pPr>
              <w:jc w:val="right"/>
            </w:pPr>
            <w:r>
              <w:t>YEAR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B97663" w14:textId="16A8DA18" w:rsidR="00970EB3" w:rsidRPr="00970EB3" w:rsidRDefault="00970EB3" w:rsidP="00DD1CDB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2014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7108" w14:textId="55752157" w:rsidR="00970EB3" w:rsidRPr="00970EB3" w:rsidRDefault="00970EB3" w:rsidP="00DD1CDB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2015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A01B2C" w14:textId="1608BA82" w:rsidR="00970EB3" w:rsidRPr="00970EB3" w:rsidRDefault="00970EB3" w:rsidP="00DD1CDB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2014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239A" w14:textId="2520CD5E" w:rsidR="00970EB3" w:rsidRPr="00970EB3" w:rsidRDefault="00970EB3" w:rsidP="00DD1CDB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2015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45A2C2" w14:textId="1639C770" w:rsidR="00970EB3" w:rsidRPr="00970EB3" w:rsidRDefault="00970EB3" w:rsidP="00DD1CDB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2014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7381E82E" w14:textId="7D80756E" w:rsidR="00970EB3" w:rsidRPr="00970EB3" w:rsidRDefault="00970EB3" w:rsidP="00DD1CDB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2015</w:t>
            </w:r>
          </w:p>
        </w:tc>
      </w:tr>
      <w:tr w:rsidR="00970EB3" w14:paraId="2799B334" w14:textId="77777777" w:rsidTr="005734DD">
        <w:trPr>
          <w:trHeight w:val="360"/>
        </w:trPr>
        <w:tc>
          <w:tcPr>
            <w:tcW w:w="1335" w:type="dxa"/>
            <w:tcBorders>
              <w:top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5E7E600" w14:textId="18FFB8C7" w:rsidR="00970EB3" w:rsidRDefault="00970EB3">
            <w:r>
              <w:t>Case Count by Year, by Source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6F4897" w14:textId="7014B70A" w:rsidR="00970EB3" w:rsidRDefault="00DD1CDB" w:rsidP="00DD1CDB">
            <w:pPr>
              <w:jc w:val="center"/>
            </w:pPr>
            <w:r>
              <w:t>851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440CAB5" w14:textId="5D280F5B" w:rsidR="00970EB3" w:rsidRDefault="00DD1CDB" w:rsidP="00DD1CDB">
            <w:pPr>
              <w:jc w:val="center"/>
            </w:pPr>
            <w:r>
              <w:t>923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AD535A" w14:textId="04B41F21" w:rsidR="00970EB3" w:rsidRDefault="00DD1CDB" w:rsidP="00DD1CDB">
            <w:pPr>
              <w:jc w:val="center"/>
            </w:pPr>
            <w:r>
              <w:t>894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863761F" w14:textId="56E54B8B" w:rsidR="00970EB3" w:rsidRDefault="00DD1CDB" w:rsidP="00DD1CDB">
            <w:pPr>
              <w:jc w:val="center"/>
            </w:pPr>
            <w:r>
              <w:t>720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B72F3F" w14:textId="56BDCD94" w:rsidR="00970EB3" w:rsidRDefault="00DD1CDB" w:rsidP="00DD1CDB">
            <w:pPr>
              <w:jc w:val="center"/>
            </w:pPr>
            <w:r>
              <w:t>8,995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209C4F44" w14:textId="6717B295" w:rsidR="00970EB3" w:rsidRDefault="00DD1CDB" w:rsidP="00DD1CDB">
            <w:pPr>
              <w:jc w:val="center"/>
            </w:pPr>
            <w:r>
              <w:t>9,646</w:t>
            </w:r>
          </w:p>
        </w:tc>
      </w:tr>
      <w:tr w:rsidR="00DD1CDB" w14:paraId="16E93D90" w14:textId="77777777" w:rsidTr="005734DD">
        <w:tc>
          <w:tcPr>
            <w:tcW w:w="1335" w:type="dxa"/>
            <w:tcBorders>
              <w:bottom w:val="single" w:sz="4" w:space="0" w:color="auto"/>
              <w:right w:val="single" w:sz="4" w:space="0" w:color="auto"/>
            </w:tcBorders>
          </w:tcPr>
          <w:p w14:paraId="7C874954" w14:textId="2C935533" w:rsidR="00DD1CDB" w:rsidRDefault="00DD1CDB">
            <w:r>
              <w:t>Average LOS by Year, by Source</w:t>
            </w: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1512E0" w14:textId="0ACA4267" w:rsidR="00DD1CDB" w:rsidRDefault="00DD1CDB" w:rsidP="00DD1CDB">
            <w:pPr>
              <w:jc w:val="center"/>
            </w:pPr>
            <w:r>
              <w:t xml:space="preserve">28.36 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8202D9" w14:textId="22AAAB2E" w:rsidR="00DD1CDB" w:rsidRDefault="00DD1CDB" w:rsidP="00DD1CDB">
            <w:pPr>
              <w:jc w:val="center"/>
            </w:pPr>
            <w:r>
              <w:t>27.11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B43932" w14:textId="52563697" w:rsidR="00DD1CDB" w:rsidRDefault="00DD1CDB" w:rsidP="00DD1CDB">
            <w:pPr>
              <w:jc w:val="center"/>
            </w:pPr>
            <w:r>
              <w:t>22.31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02D807" w14:textId="1A702AB5" w:rsidR="00DD1CDB" w:rsidRDefault="00DD1CDB" w:rsidP="00DD1CDB">
            <w:pPr>
              <w:jc w:val="center"/>
            </w:pPr>
            <w:r>
              <w:t>21.82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266C79" w14:textId="4864FFA6" w:rsidR="00DD1CDB" w:rsidRDefault="00DD1CDB" w:rsidP="00DD1CDB">
            <w:pPr>
              <w:jc w:val="center"/>
            </w:pPr>
            <w:r>
              <w:t>26.06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14:paraId="141C25F7" w14:textId="659C0790" w:rsidR="00DD1CDB" w:rsidRDefault="00DD1CDB" w:rsidP="00DD1CDB">
            <w:pPr>
              <w:jc w:val="center"/>
            </w:pPr>
            <w:r>
              <w:t>25.37</w:t>
            </w:r>
          </w:p>
        </w:tc>
      </w:tr>
    </w:tbl>
    <w:p w14:paraId="347F8805" w14:textId="55CB4B8C" w:rsidR="00970EB3" w:rsidRDefault="00970EB3"/>
    <w:p w14:paraId="6BC99012" w14:textId="268205A0" w:rsidR="00764AC4" w:rsidRDefault="005734DD">
      <w:r>
        <w:t>Furthermore, we combine each of the case year average</w:t>
      </w:r>
      <w:r w:rsidR="006336F1">
        <w:t>s</w:t>
      </w:r>
      <w:r w:rsidR="008D3C74">
        <w:t xml:space="preserve"> in each data source</w:t>
      </w:r>
      <w:r>
        <w:t xml:space="preserve"> to </w:t>
      </w:r>
      <w:r w:rsidR="005420F9">
        <w:t>calculate</w:t>
      </w:r>
      <w:r>
        <w:t xml:space="preserve"> the total average length of stay for each </w:t>
      </w:r>
      <w:r w:rsidR="00324502">
        <w:t>data source</w:t>
      </w:r>
      <w:r>
        <w:t xml:space="preserve"> in </w:t>
      </w:r>
      <w:r w:rsidR="00E57263">
        <w:t>Table</w:t>
      </w:r>
      <w:r>
        <w:t xml:space="preserve"> 2</w:t>
      </w:r>
      <w:r w:rsidR="005420F9">
        <w:t xml:space="preserve">. </w:t>
      </w:r>
      <w:r w:rsidR="00324502">
        <w:t>From</w:t>
      </w:r>
      <w:r w:rsidR="005420F9">
        <w:t xml:space="preserve"> the result </w:t>
      </w:r>
      <w:r w:rsidR="00324502">
        <w:t>in</w:t>
      </w:r>
      <w:r w:rsidR="005420F9">
        <w:t xml:space="preserve"> </w:t>
      </w:r>
      <w:r w:rsidR="00E57263">
        <w:t>Table</w:t>
      </w:r>
      <w:r w:rsidR="005420F9">
        <w:t xml:space="preserve"> 2, we can see that the average length of </w:t>
      </w:r>
      <w:r w:rsidR="00322292">
        <w:t>stay of</w:t>
      </w:r>
      <w:r w:rsidR="005420F9">
        <w:t xml:space="preserve"> the MANAGED </w:t>
      </w:r>
      <w:r w:rsidR="00123446">
        <w:t>case</w:t>
      </w:r>
      <w:r w:rsidR="003B0C21">
        <w:t>s</w:t>
      </w:r>
      <w:r w:rsidR="005420F9">
        <w:t xml:space="preserve"> is the highest </w:t>
      </w:r>
      <w:r w:rsidR="00322292">
        <w:t>compared</w:t>
      </w:r>
      <w:r w:rsidR="005420F9">
        <w:t xml:space="preserve"> to the other </w:t>
      </w:r>
      <w:r w:rsidR="00123446">
        <w:t>data source</w:t>
      </w:r>
      <w:r w:rsidR="005420F9">
        <w:t xml:space="preserve">, with an average of 27.71 days, and the UNMANAGED </w:t>
      </w:r>
      <w:r w:rsidR="00123446">
        <w:t>case</w:t>
      </w:r>
      <w:r w:rsidR="003B0C21">
        <w:t>s</w:t>
      </w:r>
      <w:r w:rsidR="005420F9">
        <w:t xml:space="preserve"> would have the lowest average length of stay of 22.09 days.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250"/>
        <w:gridCol w:w="2425"/>
        <w:gridCol w:w="2335"/>
      </w:tblGrid>
      <w:tr w:rsidR="005420F9" w14:paraId="38EFC2A8" w14:textId="77777777" w:rsidTr="00322292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89B4D43" w14:textId="621BDB60" w:rsidR="005420F9" w:rsidRPr="00970EB3" w:rsidRDefault="00E57263" w:rsidP="00A05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  <w:r w:rsidR="005420F9" w:rsidRPr="00970EB3">
              <w:rPr>
                <w:b/>
                <w:bCs/>
              </w:rPr>
              <w:t xml:space="preserve"> </w:t>
            </w:r>
            <w:r w:rsidR="005420F9">
              <w:rPr>
                <w:b/>
                <w:bCs/>
              </w:rPr>
              <w:t>2</w:t>
            </w:r>
          </w:p>
        </w:tc>
      </w:tr>
      <w:tr w:rsidR="00996B75" w14:paraId="1FB4FBB6" w14:textId="77777777" w:rsidTr="00996B75">
        <w:tc>
          <w:tcPr>
            <w:tcW w:w="2340" w:type="dxa"/>
            <w:tcBorders>
              <w:top w:val="nil"/>
              <w:left w:val="nil"/>
              <w:bottom w:val="single" w:sz="4" w:space="0" w:color="auto"/>
            </w:tcBorders>
          </w:tcPr>
          <w:p w14:paraId="610B6D2A" w14:textId="77777777" w:rsidR="005420F9" w:rsidRDefault="005420F9" w:rsidP="00A05382">
            <w:pPr>
              <w:jc w:val="right"/>
            </w:pPr>
            <w:r>
              <w:t>SOURCE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14:paraId="0E67BEB3" w14:textId="77777777" w:rsidR="005420F9" w:rsidRPr="00970EB3" w:rsidRDefault="005420F9" w:rsidP="00A05382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MANAGED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</w:tcPr>
          <w:p w14:paraId="3D0B95B8" w14:textId="77777777" w:rsidR="005420F9" w:rsidRPr="00970EB3" w:rsidRDefault="005420F9" w:rsidP="00A05382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UNMANAGED</w:t>
            </w:r>
          </w:p>
        </w:tc>
        <w:tc>
          <w:tcPr>
            <w:tcW w:w="2335" w:type="dxa"/>
            <w:tcBorders>
              <w:top w:val="nil"/>
              <w:bottom w:val="single" w:sz="4" w:space="0" w:color="auto"/>
              <w:right w:val="nil"/>
            </w:tcBorders>
          </w:tcPr>
          <w:p w14:paraId="007B92A2" w14:textId="77777777" w:rsidR="005420F9" w:rsidRPr="00970EB3" w:rsidRDefault="005420F9" w:rsidP="00A05382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NPIC</w:t>
            </w:r>
          </w:p>
        </w:tc>
      </w:tr>
      <w:tr w:rsidR="005420F9" w14:paraId="33275473" w14:textId="77777777" w:rsidTr="00996B75">
        <w:trPr>
          <w:trHeight w:val="233"/>
        </w:trPr>
        <w:tc>
          <w:tcPr>
            <w:tcW w:w="2340" w:type="dxa"/>
            <w:tcBorders>
              <w:left w:val="nil"/>
              <w:bottom w:val="nil"/>
            </w:tcBorders>
            <w:shd w:val="clear" w:color="auto" w:fill="EDEDED" w:themeFill="accent3" w:themeFillTint="33"/>
          </w:tcPr>
          <w:p w14:paraId="2A65E6AA" w14:textId="6A90FA89" w:rsidR="005420F9" w:rsidRDefault="005420F9" w:rsidP="00A05382">
            <w:r>
              <w:t>Case Count by Source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46570615" w14:textId="02180542" w:rsidR="005420F9" w:rsidRDefault="005420F9" w:rsidP="00A05382">
            <w:pPr>
              <w:jc w:val="center"/>
            </w:pPr>
            <w:r>
              <w:t>1,774</w:t>
            </w:r>
          </w:p>
        </w:tc>
        <w:tc>
          <w:tcPr>
            <w:tcW w:w="2425" w:type="dxa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446A5C2E" w14:textId="4BC465F9" w:rsidR="005420F9" w:rsidRDefault="005420F9" w:rsidP="00A05382">
            <w:pPr>
              <w:jc w:val="center"/>
            </w:pPr>
            <w:r>
              <w:t>1,614</w:t>
            </w:r>
          </w:p>
        </w:tc>
        <w:tc>
          <w:tcPr>
            <w:tcW w:w="2335" w:type="dxa"/>
            <w:tcBorders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EB14EC3" w14:textId="1800AAB8" w:rsidR="005420F9" w:rsidRDefault="005420F9" w:rsidP="00A05382">
            <w:pPr>
              <w:jc w:val="center"/>
            </w:pPr>
            <w:r>
              <w:t>18,641</w:t>
            </w:r>
          </w:p>
        </w:tc>
      </w:tr>
      <w:tr w:rsidR="005420F9" w14:paraId="1EAA0C71" w14:textId="77777777" w:rsidTr="00996B75">
        <w:tc>
          <w:tcPr>
            <w:tcW w:w="2340" w:type="dxa"/>
            <w:tcBorders>
              <w:top w:val="nil"/>
              <w:left w:val="nil"/>
            </w:tcBorders>
          </w:tcPr>
          <w:p w14:paraId="06DF8FCE" w14:textId="4D891447" w:rsidR="005420F9" w:rsidRDefault="005420F9" w:rsidP="00A05382">
            <w:r>
              <w:t>Average</w:t>
            </w:r>
            <w:r w:rsidR="00996B75">
              <w:t xml:space="preserve"> LOS </w:t>
            </w:r>
            <w:r>
              <w:t>by Source</w:t>
            </w:r>
          </w:p>
        </w:tc>
        <w:tc>
          <w:tcPr>
            <w:tcW w:w="2250" w:type="dxa"/>
            <w:tcBorders>
              <w:top w:val="nil"/>
            </w:tcBorders>
            <w:vAlign w:val="center"/>
          </w:tcPr>
          <w:p w14:paraId="14A7A041" w14:textId="42AF8B3D" w:rsidR="005420F9" w:rsidRDefault="005420F9" w:rsidP="00A05382">
            <w:pPr>
              <w:jc w:val="center"/>
            </w:pPr>
            <w:r>
              <w:t>27.71</w:t>
            </w:r>
          </w:p>
        </w:tc>
        <w:tc>
          <w:tcPr>
            <w:tcW w:w="2425" w:type="dxa"/>
            <w:tcBorders>
              <w:top w:val="nil"/>
            </w:tcBorders>
            <w:vAlign w:val="center"/>
          </w:tcPr>
          <w:p w14:paraId="2221155B" w14:textId="0DE67C9A" w:rsidR="005420F9" w:rsidRDefault="005420F9" w:rsidP="00A05382">
            <w:pPr>
              <w:jc w:val="center"/>
            </w:pPr>
            <w:r>
              <w:t>22.09</w:t>
            </w:r>
          </w:p>
        </w:tc>
        <w:tc>
          <w:tcPr>
            <w:tcW w:w="2335" w:type="dxa"/>
            <w:tcBorders>
              <w:top w:val="nil"/>
              <w:right w:val="nil"/>
            </w:tcBorders>
            <w:vAlign w:val="center"/>
          </w:tcPr>
          <w:p w14:paraId="3FF11471" w14:textId="65783D37" w:rsidR="005420F9" w:rsidRDefault="005420F9" w:rsidP="00A05382">
            <w:pPr>
              <w:jc w:val="center"/>
            </w:pPr>
            <w:r>
              <w:t>25.70</w:t>
            </w:r>
          </w:p>
        </w:tc>
      </w:tr>
    </w:tbl>
    <w:p w14:paraId="7D584E9D" w14:textId="28EC9D98" w:rsidR="005734DD" w:rsidRDefault="005734DD"/>
    <w:p w14:paraId="3D77598D" w14:textId="43C82EED" w:rsidR="00322292" w:rsidRDefault="00322292">
      <w:r>
        <w:t xml:space="preserve">Even though </w:t>
      </w:r>
      <w:r w:rsidR="00094A7F">
        <w:t xml:space="preserve">comparing the raw averages in </w:t>
      </w:r>
      <w:r w:rsidR="00E57263">
        <w:t>Table</w:t>
      </w:r>
      <w:r w:rsidR="00094A7F">
        <w:t xml:space="preserve"> 2 is a good way to evaluate how the average length of stay differs in each </w:t>
      </w:r>
      <w:r w:rsidR="009653A9">
        <w:t>data source</w:t>
      </w:r>
      <w:r w:rsidR="00094A7F">
        <w:t>, we took a step further by calculating the Case-Mix Adjusted average length of stay for each of the data source</w:t>
      </w:r>
      <w:r w:rsidR="002E112D">
        <w:t>s</w:t>
      </w:r>
      <w:r w:rsidR="00094A7F">
        <w:t xml:space="preserve">. Since each </w:t>
      </w:r>
      <w:r w:rsidR="002232CA">
        <w:t>data source</w:t>
      </w:r>
      <w:r w:rsidR="00094A7F">
        <w:t xml:space="preserve"> has varying case count</w:t>
      </w:r>
      <w:r w:rsidR="0096686C">
        <w:t>s</w:t>
      </w:r>
      <w:r w:rsidR="00094A7F">
        <w:t xml:space="preserve">, one way to have a more accurate comparison is to normalize </w:t>
      </w:r>
      <w:r w:rsidR="00996B75">
        <w:t>each APR DRG</w:t>
      </w:r>
      <w:r w:rsidR="00094A7F">
        <w:t xml:space="preserve"> case count of the UNMANAGED and NPIC </w:t>
      </w:r>
      <w:r w:rsidR="00354005">
        <w:t>cases</w:t>
      </w:r>
      <w:r w:rsidR="00094A7F">
        <w:t xml:space="preserve"> to the distribution of th</w:t>
      </w:r>
      <w:r w:rsidR="00996B75">
        <w:t>at of the</w:t>
      </w:r>
      <w:r w:rsidR="00094A7F">
        <w:t xml:space="preserve"> MANAGED </w:t>
      </w:r>
      <w:r w:rsidR="00354005">
        <w:t>cases</w:t>
      </w:r>
      <w:r w:rsidR="00996B75">
        <w:t xml:space="preserve"> </w:t>
      </w:r>
      <w:r w:rsidR="00996B75" w:rsidRPr="00996B75">
        <w:rPr>
          <w:i/>
          <w:iCs/>
        </w:rPr>
        <w:t>(</w:t>
      </w:r>
      <w:r w:rsidR="00996B75">
        <w:rPr>
          <w:i/>
          <w:iCs/>
        </w:rPr>
        <w:t>f</w:t>
      </w:r>
      <w:r w:rsidR="00996B75" w:rsidRPr="00996B75">
        <w:rPr>
          <w:i/>
          <w:iCs/>
        </w:rPr>
        <w:t>urther explanation is covered in the Methodology section)</w:t>
      </w:r>
      <w:r w:rsidR="00996B75">
        <w:t xml:space="preserve">. </w:t>
      </w:r>
    </w:p>
    <w:p w14:paraId="149F23F9" w14:textId="3F3D92E2" w:rsidR="008F55C4" w:rsidRDefault="00996B75">
      <w:r>
        <w:t xml:space="preserve">Since </w:t>
      </w:r>
      <w:r w:rsidR="008F55C4">
        <w:t xml:space="preserve">we have the distribution of the MANAGED cases as a reference point, both its raw average LOS and case-mix adjusted average LOS would have the same value, as we can see in </w:t>
      </w:r>
      <w:r w:rsidR="00E57263">
        <w:t>Table</w:t>
      </w:r>
      <w:r w:rsidR="008F55C4">
        <w:t xml:space="preserve"> 3 below. However, since their case count-mix for each APR DRG has changed to that of the MANAGED case count, the UNMANAGED case-mix adjusted average LOS would increase from 22.09 days to 25.</w:t>
      </w:r>
      <w:r w:rsidR="00A93ECF">
        <w:t>48</w:t>
      </w:r>
      <w:r w:rsidR="008F55C4">
        <w:t xml:space="preserve"> days, and that of NPIC would increase from 25.70 days to 29.06 days. With these changes, the NPIC </w:t>
      </w:r>
      <w:r w:rsidR="00F55D9A">
        <w:t xml:space="preserve">cases would have the highest average LOS of 29.06 days, and the UNMANAGED </w:t>
      </w:r>
      <w:r w:rsidR="004A5FCE">
        <w:t>remains to</w:t>
      </w:r>
      <w:r w:rsidR="00F55D9A">
        <w:t xml:space="preserve"> hav</w:t>
      </w:r>
      <w:r w:rsidR="004A5FCE">
        <w:t>e</w:t>
      </w:r>
      <w:r w:rsidR="00F55D9A">
        <w:t xml:space="preserve"> the lowest average LOS of 25.</w:t>
      </w:r>
      <w:r w:rsidR="00A93ECF">
        <w:t>48</w:t>
      </w:r>
      <w:r w:rsidR="00F55D9A">
        <w:t xml:space="preserve">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2160"/>
        <w:gridCol w:w="2430"/>
        <w:gridCol w:w="2340"/>
      </w:tblGrid>
      <w:tr w:rsidR="00996B75" w:rsidRPr="00970EB3" w14:paraId="3083A1E5" w14:textId="77777777" w:rsidTr="00996B75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C00A9ED" w14:textId="66CB82A7" w:rsidR="00996B75" w:rsidRPr="00970EB3" w:rsidRDefault="00E57263" w:rsidP="00A05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  <w:r w:rsidR="00996B75" w:rsidRPr="00970EB3">
              <w:rPr>
                <w:b/>
                <w:bCs/>
              </w:rPr>
              <w:t xml:space="preserve"> </w:t>
            </w:r>
            <w:r w:rsidR="00996B75">
              <w:rPr>
                <w:b/>
                <w:bCs/>
              </w:rPr>
              <w:t>3</w:t>
            </w:r>
          </w:p>
        </w:tc>
      </w:tr>
      <w:tr w:rsidR="00996B75" w:rsidRPr="00970EB3" w14:paraId="41766B9A" w14:textId="77777777" w:rsidTr="00996B75"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</w:tcPr>
          <w:p w14:paraId="44E69BE4" w14:textId="77777777" w:rsidR="00996B75" w:rsidRDefault="00996B75" w:rsidP="00A05382">
            <w:pPr>
              <w:jc w:val="right"/>
            </w:pPr>
            <w:r>
              <w:t>SOURCE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5DF76187" w14:textId="77777777" w:rsidR="00996B75" w:rsidRPr="00970EB3" w:rsidRDefault="00996B75" w:rsidP="00A05382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MANAGED</w:t>
            </w:r>
          </w:p>
        </w:tc>
        <w:tc>
          <w:tcPr>
            <w:tcW w:w="2430" w:type="dxa"/>
            <w:tcBorders>
              <w:top w:val="nil"/>
              <w:bottom w:val="single" w:sz="4" w:space="0" w:color="auto"/>
            </w:tcBorders>
          </w:tcPr>
          <w:p w14:paraId="766560DD" w14:textId="77777777" w:rsidR="00996B75" w:rsidRPr="00970EB3" w:rsidRDefault="00996B75" w:rsidP="00A05382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UNMANAGED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2A4202E9" w14:textId="77777777" w:rsidR="00996B75" w:rsidRPr="00970EB3" w:rsidRDefault="00996B75" w:rsidP="00A05382">
            <w:pPr>
              <w:jc w:val="center"/>
              <w:rPr>
                <w:b/>
                <w:bCs/>
              </w:rPr>
            </w:pPr>
            <w:r w:rsidRPr="00970EB3">
              <w:rPr>
                <w:b/>
                <w:bCs/>
              </w:rPr>
              <w:t>NPIC</w:t>
            </w:r>
          </w:p>
        </w:tc>
      </w:tr>
      <w:tr w:rsidR="00996B75" w14:paraId="1AD98B25" w14:textId="77777777" w:rsidTr="00996B75">
        <w:trPr>
          <w:trHeight w:val="233"/>
        </w:trPr>
        <w:tc>
          <w:tcPr>
            <w:tcW w:w="2430" w:type="dxa"/>
            <w:tcBorders>
              <w:left w:val="nil"/>
              <w:bottom w:val="nil"/>
            </w:tcBorders>
            <w:shd w:val="clear" w:color="auto" w:fill="EDEDED" w:themeFill="accent3" w:themeFillTint="33"/>
          </w:tcPr>
          <w:p w14:paraId="770ACD4E" w14:textId="5E9FE715" w:rsidR="00996B75" w:rsidRDefault="00996B75" w:rsidP="00A05382">
            <w:r>
              <w:t>Raw Average LOS by Source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74732BC9" w14:textId="169456A1" w:rsidR="00996B75" w:rsidRDefault="00996B75" w:rsidP="00A05382">
            <w:pPr>
              <w:jc w:val="center"/>
            </w:pPr>
            <w:r>
              <w:t>27.71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0163A101" w14:textId="746D7D16" w:rsidR="00996B75" w:rsidRDefault="00996B75" w:rsidP="00A05382">
            <w:pPr>
              <w:jc w:val="center"/>
            </w:pPr>
            <w:r>
              <w:t>22.09</w:t>
            </w:r>
          </w:p>
        </w:tc>
        <w:tc>
          <w:tcPr>
            <w:tcW w:w="2340" w:type="dxa"/>
            <w:tcBorders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62454E4" w14:textId="11A97032" w:rsidR="00996B75" w:rsidRDefault="00996B75" w:rsidP="00A05382">
            <w:pPr>
              <w:jc w:val="center"/>
            </w:pPr>
            <w:r>
              <w:t>25.70</w:t>
            </w:r>
          </w:p>
        </w:tc>
      </w:tr>
      <w:tr w:rsidR="00996B75" w14:paraId="13A666AF" w14:textId="77777777" w:rsidTr="00996B75">
        <w:tc>
          <w:tcPr>
            <w:tcW w:w="2430" w:type="dxa"/>
            <w:tcBorders>
              <w:top w:val="nil"/>
              <w:left w:val="nil"/>
            </w:tcBorders>
          </w:tcPr>
          <w:p w14:paraId="26BBC0FE" w14:textId="5CE4A52E" w:rsidR="00996B75" w:rsidRDefault="00996B75" w:rsidP="00A05382">
            <w:r>
              <w:t>Case-Mix Adjusted Average LOS by Source</w:t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 w14:paraId="0BE78CBE" w14:textId="77777777" w:rsidR="00996B75" w:rsidRDefault="00996B75" w:rsidP="00A05382">
            <w:pPr>
              <w:jc w:val="center"/>
            </w:pPr>
            <w:r>
              <w:t>27.71</w:t>
            </w:r>
          </w:p>
        </w:tc>
        <w:tc>
          <w:tcPr>
            <w:tcW w:w="2430" w:type="dxa"/>
            <w:tcBorders>
              <w:top w:val="nil"/>
            </w:tcBorders>
            <w:vAlign w:val="center"/>
          </w:tcPr>
          <w:p w14:paraId="4D0F1EE7" w14:textId="6FE7D62C" w:rsidR="00996B75" w:rsidRDefault="00996B75" w:rsidP="00A05382">
            <w:pPr>
              <w:jc w:val="center"/>
            </w:pPr>
            <w:r>
              <w:t>25.</w:t>
            </w:r>
            <w:r w:rsidR="00A93ECF">
              <w:t>48</w:t>
            </w:r>
          </w:p>
        </w:tc>
        <w:tc>
          <w:tcPr>
            <w:tcW w:w="2340" w:type="dxa"/>
            <w:tcBorders>
              <w:top w:val="nil"/>
              <w:right w:val="nil"/>
            </w:tcBorders>
            <w:vAlign w:val="center"/>
          </w:tcPr>
          <w:p w14:paraId="58216181" w14:textId="024CEC5B" w:rsidR="00996B75" w:rsidRDefault="00996B75" w:rsidP="00A05382">
            <w:pPr>
              <w:jc w:val="center"/>
            </w:pPr>
            <w:r>
              <w:t>29.06</w:t>
            </w:r>
          </w:p>
        </w:tc>
      </w:tr>
    </w:tbl>
    <w:p w14:paraId="1EEAAD22" w14:textId="034CFEC6" w:rsidR="00996B75" w:rsidRDefault="00996B75"/>
    <w:p w14:paraId="23D52F2B" w14:textId="77777777" w:rsidR="003332B8" w:rsidRDefault="003332B8"/>
    <w:p w14:paraId="0B51C261" w14:textId="77777777" w:rsidR="003332B8" w:rsidRDefault="003332B8"/>
    <w:p w14:paraId="00DF1D21" w14:textId="5E0A160F" w:rsidR="001869A3" w:rsidRPr="00396834" w:rsidRDefault="00F507E1">
      <w:proofErr w:type="gramStart"/>
      <w:r>
        <w:lastRenderedPageBreak/>
        <w:t>Last but not least</w:t>
      </w:r>
      <w:proofErr w:type="gramEnd"/>
      <w:r>
        <w:t xml:space="preserve">, we have included </w:t>
      </w:r>
      <w:r w:rsidR="00E57263">
        <w:t>two additional summaries</w:t>
      </w:r>
      <w:r w:rsidR="00B87B31">
        <w:t xml:space="preserve"> –</w:t>
      </w:r>
      <w:r w:rsidR="009A3D88">
        <w:t xml:space="preserve"> the average LOS </w:t>
      </w:r>
      <w:r w:rsidR="006E4B40">
        <w:t>by APR DRG, as show</w:t>
      </w:r>
      <w:r w:rsidR="00E57263">
        <w:t>n</w:t>
      </w:r>
      <w:r w:rsidR="006E4B40">
        <w:t xml:space="preserve"> </w:t>
      </w:r>
      <w:r w:rsidR="00E57263">
        <w:t>in</w:t>
      </w:r>
      <w:r w:rsidR="006E4B40">
        <w:t xml:space="preserve"> </w:t>
      </w:r>
      <w:r w:rsidR="00E57263">
        <w:t>Table</w:t>
      </w:r>
      <w:r w:rsidR="006E4B40">
        <w:t xml:space="preserve"> 4 below, and the average LOS by each year, as shown in </w:t>
      </w:r>
      <w:r w:rsidR="00E57263">
        <w:t>Table</w:t>
      </w:r>
      <w:r w:rsidR="006E4B40">
        <w:t xml:space="preserve"> 5.</w:t>
      </w:r>
      <w:r w:rsidR="00330A46">
        <w:t xml:space="preserve"> When combining the case year and the source of data, the highest </w:t>
      </w:r>
      <w:r w:rsidR="00396834">
        <w:t xml:space="preserve">average length of stay by the APR DRG is at 100.09 days for the APR DRG of </w:t>
      </w:r>
      <w:r w:rsidR="00396834" w:rsidRPr="00CD63C7">
        <w:rPr>
          <w:b/>
          <w:bCs/>
        </w:rPr>
        <w:t>589</w:t>
      </w:r>
      <w:r w:rsidR="00396834">
        <w:rPr>
          <w:b/>
          <w:bCs/>
        </w:rPr>
        <w:t xml:space="preserve"> – Neonate Birth Weight &lt; 500g</w:t>
      </w:r>
      <w:r w:rsidR="00396834">
        <w:t xml:space="preserve">, while the lowest average length of stay is at an average of 7 days for the APR DRG </w:t>
      </w:r>
      <w:r w:rsidR="00396834">
        <w:rPr>
          <w:b/>
          <w:bCs/>
        </w:rPr>
        <w:t>950 – Extensive Procedure Unrelated to Principal Diagnosis</w:t>
      </w:r>
      <w:r w:rsidR="00396834">
        <w:t>.</w:t>
      </w:r>
    </w:p>
    <w:tbl>
      <w:tblPr>
        <w:tblW w:w="9371" w:type="dxa"/>
        <w:tblLook w:val="04A0" w:firstRow="1" w:lastRow="0" w:firstColumn="1" w:lastColumn="0" w:noHBand="0" w:noVBand="1"/>
      </w:tblPr>
      <w:tblGrid>
        <w:gridCol w:w="1530"/>
        <w:gridCol w:w="1475"/>
        <w:gridCol w:w="264"/>
        <w:gridCol w:w="1411"/>
        <w:gridCol w:w="1498"/>
        <w:gridCol w:w="286"/>
        <w:gridCol w:w="1366"/>
        <w:gridCol w:w="1541"/>
      </w:tblGrid>
      <w:tr w:rsidR="009B5252" w:rsidRPr="00531FC4" w14:paraId="29ECE338" w14:textId="77777777" w:rsidTr="00531763">
        <w:trPr>
          <w:trHeight w:val="256"/>
        </w:trPr>
        <w:tc>
          <w:tcPr>
            <w:tcW w:w="3005" w:type="dxa"/>
            <w:gridSpan w:val="2"/>
            <w:tcBorders>
              <w:top w:val="nil"/>
              <w:left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797AFB" w14:textId="0CA884B2" w:rsidR="009B5252" w:rsidRPr="00531FC4" w:rsidRDefault="00E57263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</w:t>
            </w:r>
            <w:r w:rsidR="009B52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4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B64B" w14:textId="77777777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AB11D30" w14:textId="4526293E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248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7B967EC" w14:textId="4F058A20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48.00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8607" w14:textId="36483C38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68458" w14:textId="089AE34B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623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20F3" w14:textId="390E57C3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12.23</w:t>
            </w:r>
          </w:p>
        </w:tc>
      </w:tr>
      <w:tr w:rsidR="00531763" w:rsidRPr="00531FC4" w14:paraId="40F908A0" w14:textId="77777777" w:rsidTr="00531763">
        <w:trPr>
          <w:trHeight w:val="256"/>
        </w:trPr>
        <w:tc>
          <w:tcPr>
            <w:tcW w:w="1530" w:type="dxa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0746D" w14:textId="77777777" w:rsidR="009B5252" w:rsidRPr="000C7605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C7605">
              <w:rPr>
                <w:rFonts w:ascii="Arial" w:eastAsia="Times New Roman" w:hAnsi="Arial" w:cs="Arial"/>
                <w:sz w:val="20"/>
                <w:szCs w:val="20"/>
              </w:rPr>
              <w:t>APR DRG</w:t>
            </w:r>
          </w:p>
        </w:tc>
        <w:tc>
          <w:tcPr>
            <w:tcW w:w="1475" w:type="dxa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D5A61E" w14:textId="40C89DE8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 LOS by APR DRG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D7BE" w14:textId="77777777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B5DD3" w14:textId="69E9FDA1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254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B64A2" w14:textId="50B3FD2D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8.00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73CA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736FD86" w14:textId="6AE4736A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625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3A8E229" w14:textId="592CA271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14.89</w:t>
            </w:r>
          </w:p>
        </w:tc>
      </w:tr>
      <w:tr w:rsidR="00531763" w:rsidRPr="00531FC4" w14:paraId="5EE8F420" w14:textId="77777777" w:rsidTr="00531763">
        <w:trPr>
          <w:trHeight w:val="188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8F527E" w14:textId="77777777" w:rsidR="009B5252" w:rsidRPr="00531FC4" w:rsidRDefault="009B5252" w:rsidP="009B52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CCB1C6" w14:textId="30239EC9" w:rsidR="009B5252" w:rsidRPr="00531FC4" w:rsidRDefault="009B5252" w:rsidP="009B52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5FE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43A3BAE" w14:textId="24049292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283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91043D9" w14:textId="5E77C21B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8.50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BA2B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D166" w14:textId="49C6EF02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626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FE5B" w14:textId="6FCBEAE1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11.38</w:t>
            </w:r>
          </w:p>
        </w:tc>
      </w:tr>
      <w:tr w:rsidR="00531763" w:rsidRPr="00531FC4" w14:paraId="02FAB333" w14:textId="77777777" w:rsidTr="00531763">
        <w:trPr>
          <w:trHeight w:val="256"/>
        </w:trPr>
        <w:tc>
          <w:tcPr>
            <w:tcW w:w="1530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9EA4E43" w14:textId="5577D706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004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CC923A1" w14:textId="0F512005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56.00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8F4F" w14:textId="77777777" w:rsidR="009B5252" w:rsidRPr="00531FC4" w:rsidRDefault="009B5252" w:rsidP="009B52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EAFE7" w14:textId="335E6232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421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F0177" w14:textId="46E9F094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11.20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162F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367EEC0" w14:textId="76935AF6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630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53F2853" w14:textId="0E1591E5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28.39</w:t>
            </w:r>
          </w:p>
        </w:tc>
      </w:tr>
      <w:tr w:rsidR="00531763" w:rsidRPr="00531FC4" w14:paraId="29B0D5BA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6419" w14:textId="7764E03A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021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1F23E" w14:textId="36461A43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47.50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193B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78FA4B4" w14:textId="17BF447F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425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CAE770B" w14:textId="1FB370BD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8.00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98D2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87021" w14:textId="484B64E5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631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27289" w14:textId="0F6A7212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24.83</w:t>
            </w:r>
          </w:p>
        </w:tc>
      </w:tr>
      <w:tr w:rsidR="00531763" w:rsidRPr="00531FC4" w14:paraId="6F100B1A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003FFE4" w14:textId="00850B2F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044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347C6D99" w14:textId="3A6A49E4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75.00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6106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EDB3" w14:textId="41F8C9C4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484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6A4EF" w14:textId="00614C82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8.00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5028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40A0358" w14:textId="1B1F91C8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633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F2F27A1" w14:textId="25287754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14.58</w:t>
            </w:r>
          </w:p>
        </w:tc>
      </w:tr>
      <w:tr w:rsidR="00531763" w:rsidRPr="00531FC4" w14:paraId="4644E05F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C673" w14:textId="33FA3436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058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1A19" w14:textId="1AA18998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16.00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EF46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0212120" w14:textId="2FC0C4B6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588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200BA84" w14:textId="1147376A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97.03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3764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BE35" w14:textId="1486E79B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634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2F103" w14:textId="166FDC02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11.11</w:t>
            </w:r>
          </w:p>
        </w:tc>
      </w:tr>
      <w:tr w:rsidR="00531763" w:rsidRPr="00531FC4" w14:paraId="38B2BEC6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B608602" w14:textId="5E5E6D62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115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101F157" w14:textId="422856EC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25.00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5EAF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155BC" w14:textId="74258F55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589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2F84B" w14:textId="5FF8A810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110.09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3DC6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91A9751" w14:textId="582455BD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636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C2BD5B7" w14:textId="04FA05A3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9.21</w:t>
            </w:r>
          </w:p>
        </w:tc>
      </w:tr>
      <w:tr w:rsidR="00531763" w:rsidRPr="00531FC4" w14:paraId="3875B885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7DFC" w14:textId="2B7FF14B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6EE0A" w14:textId="209B793F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105.00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9FAB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9683924" w14:textId="61545523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591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E64E1A3" w14:textId="7B530C0F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92.36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EF9A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4A211" w14:textId="3493C756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639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A25B7" w14:textId="24530204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11.80</w:t>
            </w:r>
          </w:p>
        </w:tc>
      </w:tr>
      <w:tr w:rsidR="00531763" w:rsidRPr="00531FC4" w14:paraId="02344F53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7349465" w14:textId="6EC19283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72DA482" w14:textId="078733BE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70.33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E373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6C8C" w14:textId="3C028E51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593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7126D" w14:textId="491A7E6F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71.63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91BA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B2553E7" w14:textId="2BD63DEE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640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2109BC2" w14:textId="5512AD73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9.51</w:t>
            </w:r>
          </w:p>
        </w:tc>
      </w:tr>
      <w:tr w:rsidR="00531763" w:rsidRPr="00531FC4" w14:paraId="76334B10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E1B8" w14:textId="16840C9B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132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1D05" w14:textId="68D8A8EF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26.00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3D1B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F420B0E" w14:textId="18714D55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602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3AECE2E" w14:textId="4DB063A9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53.67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C076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2B2E" w14:textId="73BD9A2E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663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18C62" w14:textId="22900643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38.00</w:t>
            </w:r>
          </w:p>
        </w:tc>
      </w:tr>
      <w:tr w:rsidR="00531763" w:rsidRPr="00531FC4" w14:paraId="4AF3275A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8D39F3F" w14:textId="6BB00D06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137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991063B" w14:textId="5AD5B968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15.50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F72D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F48DA" w14:textId="02EC2390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603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A7BF5" w14:textId="381D04A2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41.63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38A7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5341F8F" w14:textId="12C8397C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690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BAB6FF8" w14:textId="2651F97A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37.00</w:t>
            </w:r>
          </w:p>
        </w:tc>
      </w:tr>
      <w:tr w:rsidR="00531763" w:rsidRPr="00531FC4" w14:paraId="6EC139F2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929E" w14:textId="37EBB21D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138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A98F4" w14:textId="5436A9CA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8.00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B5AA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567F940" w14:textId="4C4792F8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607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0D1D276" w14:textId="70DE15F3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40.30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B3EA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9D095" w14:textId="7BBB0EA9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710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3A86D" w14:textId="522E5F8E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14.50</w:t>
            </w:r>
          </w:p>
        </w:tc>
      </w:tr>
      <w:tr w:rsidR="00531763" w:rsidRPr="00531FC4" w14:paraId="48C89B91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5D8E108" w14:textId="334562D2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143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C3D9F2F" w14:textId="501C9082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18.43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BF85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00519" w14:textId="12FCEDA9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608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30E7" w14:textId="0C3632E8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28.62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D6D4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53E2C60" w14:textId="518AC4ED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722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D3942E7" w14:textId="53B19CBA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13.00</w:t>
            </w:r>
          </w:p>
        </w:tc>
      </w:tr>
      <w:tr w:rsidR="00531763" w:rsidRPr="00531FC4" w14:paraId="32D28ACB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90F" w14:textId="240983BE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167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DC70D" w14:textId="72E0BB2B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74.00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3F6C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0DFFC41" w14:textId="164B9ED6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609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BDD4AA3" w14:textId="6E194631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41.12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4753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E1B83" w14:textId="10B001E8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724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3AB2" w14:textId="4B45CDF0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11.50</w:t>
            </w:r>
          </w:p>
        </w:tc>
      </w:tr>
      <w:tr w:rsidR="00531763" w:rsidRPr="00531FC4" w14:paraId="0EAB38AB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2235633" w14:textId="294F37AD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169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30AED52B" w14:textId="327948B3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22.50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A904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4C27E" w14:textId="5AA6A675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611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60C8D" w14:textId="464CBCA2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26.74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6094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391E20F" w14:textId="50B60F1D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850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E9A408D" w14:textId="736E9A48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28.13</w:t>
            </w:r>
          </w:p>
        </w:tc>
      </w:tr>
      <w:tr w:rsidR="00531763" w:rsidRPr="00531FC4" w14:paraId="6D021C46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AA9F" w14:textId="2915E0A9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173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37FEF" w14:textId="71E6BA0A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55.25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DC6C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4C80AF5" w14:textId="08ED5C6F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612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95905CF" w14:textId="14FFD00A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26.01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C7DE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0582E" w14:textId="02D98735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861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3AFF6" w14:textId="6E24B173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13.00</w:t>
            </w:r>
          </w:p>
        </w:tc>
      </w:tr>
      <w:tr w:rsidR="00531763" w:rsidRPr="00531FC4" w14:paraId="566CCD93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5039435" w14:textId="28A84592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197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5596295" w14:textId="3B7C089F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13.00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EA37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0EBA9" w14:textId="34DCCE93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613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DAEA2" w14:textId="15EDA70F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20.59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1BA6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51E7BE3" w14:textId="23615CFC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863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D837002" w14:textId="6938E9B0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31.83</w:t>
            </w:r>
          </w:p>
        </w:tc>
      </w:tr>
      <w:tr w:rsidR="00531763" w:rsidRPr="00531FC4" w14:paraId="1F9C586E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59DE" w14:textId="3BA06026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F6ED8" w14:textId="20638053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29.00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1C1A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0BEDDCD" w14:textId="592EB321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614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54FB879" w14:textId="6F9ADA2B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17.53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B9DF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7787" w14:textId="476A0357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950</w:t>
            </w:r>
          </w:p>
        </w:tc>
        <w:tc>
          <w:tcPr>
            <w:tcW w:w="154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555E0" w14:textId="490F0ADB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7.00</w:t>
            </w:r>
          </w:p>
        </w:tc>
      </w:tr>
      <w:tr w:rsidR="00531763" w:rsidRPr="00531FC4" w14:paraId="6E406505" w14:textId="77777777" w:rsidTr="00531763">
        <w:trPr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BF93692" w14:textId="0AF5F79B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221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32AF6B3D" w14:textId="7E1F1F44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47.20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C1BB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C9BF" w14:textId="22B09404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621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581AC" w14:textId="6B2B229C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17.65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82CC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2C28162" w14:textId="7235FC6A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952</w:t>
            </w:r>
          </w:p>
        </w:tc>
        <w:tc>
          <w:tcPr>
            <w:tcW w:w="15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AEA6C0F" w14:textId="1C21663F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41.57</w:t>
            </w:r>
          </w:p>
        </w:tc>
      </w:tr>
      <w:tr w:rsidR="009B5252" w:rsidRPr="00531FC4" w14:paraId="4CF42B75" w14:textId="77777777" w:rsidTr="00531763">
        <w:trPr>
          <w:gridAfter w:val="2"/>
          <w:wAfter w:w="2907" w:type="dxa"/>
          <w:trHeight w:val="256"/>
        </w:trPr>
        <w:tc>
          <w:tcPr>
            <w:tcW w:w="15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6E66" w14:textId="4B6A7374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246</w:t>
            </w:r>
          </w:p>
        </w:tc>
        <w:tc>
          <w:tcPr>
            <w:tcW w:w="14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80303" w14:textId="4DDC16E9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16.00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80A1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335B61C0" w14:textId="6D6E3CBE" w:rsidR="009B5252" w:rsidRPr="00531FC4" w:rsidRDefault="009B5252" w:rsidP="009B52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622</w:t>
            </w:r>
          </w:p>
        </w:tc>
        <w:tc>
          <w:tcPr>
            <w:tcW w:w="1498" w:type="dxa"/>
            <w:tcBorders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3C1E49B" w14:textId="391D308C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31FC4">
              <w:rPr>
                <w:rFonts w:ascii="Arial" w:eastAsia="Times New Roman" w:hAnsi="Arial" w:cs="Arial"/>
                <w:sz w:val="20"/>
                <w:szCs w:val="20"/>
              </w:rPr>
              <w:t>15.52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F0B0" w14:textId="77777777" w:rsidR="009B5252" w:rsidRPr="00531FC4" w:rsidRDefault="009B5252" w:rsidP="009B52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FDCFDE0" w14:textId="10A504C7" w:rsidR="00DE5B0F" w:rsidRDefault="00DE5B0F"/>
    <w:p w14:paraId="25B4F161" w14:textId="4C41812B" w:rsidR="009B5252" w:rsidRDefault="00A90C2E">
      <w:r>
        <w:t xml:space="preserve">Consistent with the data </w:t>
      </w:r>
      <w:r w:rsidR="003D1A2E">
        <w:t xml:space="preserve">from </w:t>
      </w:r>
      <w:r w:rsidR="00E57263">
        <w:t>Table</w:t>
      </w:r>
      <w:r w:rsidR="003D1A2E">
        <w:t xml:space="preserve"> 1, </w:t>
      </w:r>
      <w:r w:rsidR="00E57263">
        <w:t>Table</w:t>
      </w:r>
      <w:r w:rsidR="003D1A2E">
        <w:t xml:space="preserve"> 5 shows that the average length of stay in the year 2014 is higher than t</w:t>
      </w:r>
      <w:r w:rsidR="000C7605">
        <w:t>he average length of stay in the year 2015.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962"/>
        <w:gridCol w:w="4412"/>
      </w:tblGrid>
      <w:tr w:rsidR="000C7605" w:rsidRPr="00970EB3" w14:paraId="2755007B" w14:textId="77777777" w:rsidTr="00BD2942">
        <w:trPr>
          <w:trHeight w:val="287"/>
        </w:trPr>
        <w:tc>
          <w:tcPr>
            <w:tcW w:w="9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596DACF" w14:textId="4BDC46C9" w:rsidR="000C7605" w:rsidRPr="00970EB3" w:rsidRDefault="00E57263" w:rsidP="00A05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  <w:r w:rsidR="000C7605" w:rsidRPr="00970EB3">
              <w:rPr>
                <w:b/>
                <w:bCs/>
              </w:rPr>
              <w:t xml:space="preserve"> </w:t>
            </w:r>
            <w:r w:rsidR="000C7605">
              <w:rPr>
                <w:b/>
                <w:bCs/>
              </w:rPr>
              <w:t>5</w:t>
            </w:r>
          </w:p>
        </w:tc>
      </w:tr>
      <w:tr w:rsidR="00BD2942" w:rsidRPr="00970EB3" w14:paraId="6196C93C" w14:textId="77777777" w:rsidTr="00BD2942">
        <w:trPr>
          <w:trHeight w:val="287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</w:tcPr>
          <w:p w14:paraId="03003AE4" w14:textId="168B5066" w:rsidR="00BD2942" w:rsidRDefault="00BD2942" w:rsidP="000C7605">
            <w:pPr>
              <w:jc w:val="center"/>
            </w:pPr>
            <w:r>
              <w:t>YEAR</w:t>
            </w:r>
          </w:p>
        </w:tc>
        <w:tc>
          <w:tcPr>
            <w:tcW w:w="4411" w:type="dxa"/>
            <w:tcBorders>
              <w:top w:val="nil"/>
              <w:bottom w:val="single" w:sz="4" w:space="0" w:color="auto"/>
              <w:right w:val="nil"/>
            </w:tcBorders>
          </w:tcPr>
          <w:p w14:paraId="3ADFE5E4" w14:textId="471FF016" w:rsidR="00BD2942" w:rsidRPr="00970EB3" w:rsidRDefault="00BD2942" w:rsidP="00A05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LOS by Year</w:t>
            </w:r>
          </w:p>
        </w:tc>
      </w:tr>
      <w:tr w:rsidR="00BD2942" w14:paraId="20BF32EF" w14:textId="77777777" w:rsidTr="00BD2942">
        <w:trPr>
          <w:trHeight w:val="248"/>
        </w:trPr>
        <w:tc>
          <w:tcPr>
            <w:tcW w:w="4962" w:type="dxa"/>
            <w:tcBorders>
              <w:left w:val="nil"/>
              <w:bottom w:val="nil"/>
            </w:tcBorders>
            <w:shd w:val="clear" w:color="auto" w:fill="EDEDED" w:themeFill="accent3" w:themeFillTint="33"/>
            <w:vAlign w:val="center"/>
          </w:tcPr>
          <w:p w14:paraId="70B2EC85" w14:textId="60155C50" w:rsidR="00BD2942" w:rsidRDefault="00BD2942" w:rsidP="000C7605">
            <w:pPr>
              <w:jc w:val="center"/>
            </w:pPr>
            <w:r>
              <w:t>2014</w:t>
            </w:r>
          </w:p>
        </w:tc>
        <w:tc>
          <w:tcPr>
            <w:tcW w:w="4411" w:type="dxa"/>
            <w:tcBorders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B288F79" w14:textId="65118244" w:rsidR="00BD2942" w:rsidRDefault="00BD2942" w:rsidP="00A05382">
            <w:pPr>
              <w:jc w:val="center"/>
            </w:pPr>
            <w:r>
              <w:t>25.93</w:t>
            </w:r>
          </w:p>
        </w:tc>
      </w:tr>
      <w:tr w:rsidR="00BD2942" w14:paraId="0847E416" w14:textId="77777777" w:rsidTr="00BD2942">
        <w:trPr>
          <w:trHeight w:val="287"/>
        </w:trPr>
        <w:tc>
          <w:tcPr>
            <w:tcW w:w="4962" w:type="dxa"/>
            <w:tcBorders>
              <w:top w:val="nil"/>
              <w:left w:val="nil"/>
            </w:tcBorders>
            <w:vAlign w:val="center"/>
          </w:tcPr>
          <w:p w14:paraId="6211B44B" w14:textId="26A22EC8" w:rsidR="00BD2942" w:rsidRDefault="00BD2942" w:rsidP="000C7605">
            <w:pPr>
              <w:jc w:val="center"/>
            </w:pPr>
            <w:r>
              <w:t>2015</w:t>
            </w:r>
          </w:p>
        </w:tc>
        <w:tc>
          <w:tcPr>
            <w:tcW w:w="4411" w:type="dxa"/>
            <w:tcBorders>
              <w:top w:val="nil"/>
              <w:right w:val="nil"/>
            </w:tcBorders>
            <w:vAlign w:val="center"/>
          </w:tcPr>
          <w:p w14:paraId="5C3E874C" w14:textId="3DCDF888" w:rsidR="00BD2942" w:rsidRDefault="00BD2942" w:rsidP="00A05382">
            <w:pPr>
              <w:jc w:val="center"/>
            </w:pPr>
            <w:r>
              <w:t>25.29</w:t>
            </w:r>
          </w:p>
        </w:tc>
      </w:tr>
    </w:tbl>
    <w:p w14:paraId="0A4D3732" w14:textId="77777777" w:rsidR="00777954" w:rsidRDefault="00777954">
      <w:pPr>
        <w:rPr>
          <w:i/>
          <w:iCs/>
          <w:sz w:val="24"/>
          <w:szCs w:val="24"/>
          <w:u w:val="single"/>
        </w:rPr>
      </w:pPr>
    </w:p>
    <w:p w14:paraId="7D7990DB" w14:textId="4F4B21D9" w:rsidR="00A972C6" w:rsidRPr="00531763" w:rsidRDefault="00A972C6">
      <w:pPr>
        <w:rPr>
          <w:i/>
          <w:iCs/>
          <w:sz w:val="24"/>
          <w:szCs w:val="24"/>
          <w:u w:val="single"/>
        </w:rPr>
      </w:pPr>
      <w:r w:rsidRPr="00531763">
        <w:rPr>
          <w:i/>
          <w:iCs/>
          <w:sz w:val="24"/>
          <w:szCs w:val="24"/>
          <w:u w:val="single"/>
        </w:rPr>
        <w:t>Exhibit 2</w:t>
      </w:r>
    </w:p>
    <w:p w14:paraId="01923C65" w14:textId="0806ABFB" w:rsidR="00E150CB" w:rsidRDefault="00B15745">
      <w:r>
        <w:t>This exhibit is</w:t>
      </w:r>
      <w:r w:rsidR="003D43F0">
        <w:t xml:space="preserve"> compar</w:t>
      </w:r>
      <w:r w:rsidR="0091247A">
        <w:t>ing</w:t>
      </w:r>
      <w:r w:rsidR="003D43F0">
        <w:t xml:space="preserve"> the MANAGED </w:t>
      </w:r>
      <w:r w:rsidR="0091247A">
        <w:t xml:space="preserve">cases </w:t>
      </w:r>
      <w:r w:rsidR="003D43F0">
        <w:t xml:space="preserve">to UNMANAGED and NPIC </w:t>
      </w:r>
      <w:r w:rsidR="0091247A">
        <w:t>cases</w:t>
      </w:r>
      <w:r w:rsidR="00CE3CE3">
        <w:t xml:space="preserve"> using the Birth Weight variable</w:t>
      </w:r>
      <w:r w:rsidR="00211686">
        <w:t xml:space="preserve"> in </w:t>
      </w:r>
      <w:r>
        <w:t>seven</w:t>
      </w:r>
      <w:r w:rsidR="00211686">
        <w:t xml:space="preserve"> </w:t>
      </w:r>
      <w:r w:rsidR="009A2FD5">
        <w:t xml:space="preserve">birth weight </w:t>
      </w:r>
      <w:r w:rsidR="00211686">
        <w:t xml:space="preserve">ranges, as we can see in </w:t>
      </w:r>
      <w:r w:rsidR="00E57263">
        <w:t>Table</w:t>
      </w:r>
      <w:r w:rsidR="00211686">
        <w:t xml:space="preserve"> 6 below. </w:t>
      </w:r>
      <w:r w:rsidR="00E57263">
        <w:t>Table</w:t>
      </w:r>
      <w:r w:rsidR="001F684A">
        <w:t xml:space="preserve"> 6 summarizes the</w:t>
      </w:r>
      <w:r w:rsidR="00211686">
        <w:t xml:space="preserve"> data that we</w:t>
      </w:r>
      <w:r w:rsidR="008105C5">
        <w:t xml:space="preserve"> use </w:t>
      </w:r>
      <w:r w:rsidR="00211686">
        <w:t>to compare</w:t>
      </w:r>
      <w:r w:rsidR="001F684A">
        <w:t>, which are</w:t>
      </w:r>
      <w:r w:rsidR="00211686">
        <w:t xml:space="preserve"> the case count</w:t>
      </w:r>
      <w:r w:rsidR="00CA52F4">
        <w:t>,</w:t>
      </w:r>
      <w:r w:rsidR="008105C5">
        <w:t xml:space="preserve"> average weight</w:t>
      </w:r>
      <w:r w:rsidR="00CA52F4">
        <w:t>, and average length of stay</w:t>
      </w:r>
      <w:r w:rsidR="008105C5">
        <w:t xml:space="preserve"> in each birth weight range for each source of data</w:t>
      </w:r>
      <w:r w:rsidR="0071019E">
        <w:t>.</w:t>
      </w:r>
      <w:r w:rsidR="00856254">
        <w:t xml:space="preserve"> As we can see in </w:t>
      </w:r>
      <w:r w:rsidR="00E57263">
        <w:t>Table</w:t>
      </w:r>
      <w:r w:rsidR="00856254">
        <w:t xml:space="preserve"> 6, th</w:t>
      </w:r>
      <w:r w:rsidR="00795641">
        <w:t xml:space="preserve">e NPIC </w:t>
      </w:r>
      <w:r w:rsidR="00DB770F">
        <w:t>case</w:t>
      </w:r>
      <w:r w:rsidR="00795641">
        <w:t xml:space="preserve"> in the</w:t>
      </w:r>
      <w:r w:rsidR="00F87EEA">
        <w:t xml:space="preserve"> birth weight</w:t>
      </w:r>
      <w:r w:rsidR="00795641">
        <w:t xml:space="preserve"> range of </w:t>
      </w:r>
      <w:r w:rsidR="009E59BE">
        <w:t>“</w:t>
      </w:r>
      <w:r w:rsidR="00795641">
        <w:t>&lt;750</w:t>
      </w:r>
      <w:r w:rsidR="009E59BE">
        <w:t xml:space="preserve"> grams”</w:t>
      </w:r>
      <w:r w:rsidR="00795641">
        <w:t xml:space="preserve"> </w:t>
      </w:r>
      <w:r w:rsidR="00AC23A5">
        <w:t>has</w:t>
      </w:r>
      <w:r w:rsidR="00F87EEA">
        <w:t xml:space="preserve"> the most average length of stay of 101 days, while the shortest</w:t>
      </w:r>
      <w:r w:rsidR="00DB770F">
        <w:t xml:space="preserve"> average</w:t>
      </w:r>
      <w:r w:rsidR="00F87EEA">
        <w:t xml:space="preserve"> length of stay is at </w:t>
      </w:r>
      <w:r w:rsidR="00DB770F">
        <w:t xml:space="preserve">12 days, which is that of </w:t>
      </w:r>
      <w:r w:rsidR="004E3F29">
        <w:t xml:space="preserve">the </w:t>
      </w:r>
      <w:r w:rsidR="00DB770F">
        <w:t xml:space="preserve">UNMANAGED case in the birth weight range of </w:t>
      </w:r>
      <w:r w:rsidR="009E59BE">
        <w:t>“</w:t>
      </w:r>
      <w:r w:rsidR="00D354BE">
        <w:t>&gt;2,499 grams</w:t>
      </w:r>
      <w:r w:rsidR="009E59BE">
        <w:t>”</w:t>
      </w:r>
      <w:r w:rsidR="00051A89">
        <w:t>.</w:t>
      </w:r>
      <w:r w:rsidR="00AC23A5">
        <w:t xml:space="preserve"> It also </w:t>
      </w:r>
      <w:r w:rsidR="004F1389">
        <w:t xml:space="preserve">shows that </w:t>
      </w:r>
      <w:r w:rsidR="008B7781">
        <w:t>the MANAGED and UNMANAGED cases have the same average weight for each birth weight range.</w:t>
      </w:r>
    </w:p>
    <w:p w14:paraId="3CAF164E" w14:textId="77777777" w:rsidR="00777954" w:rsidRDefault="00777954"/>
    <w:tbl>
      <w:tblPr>
        <w:tblW w:w="9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802"/>
        <w:gridCol w:w="932"/>
        <w:gridCol w:w="935"/>
        <w:gridCol w:w="793"/>
        <w:gridCol w:w="932"/>
        <w:gridCol w:w="934"/>
        <w:gridCol w:w="793"/>
        <w:gridCol w:w="932"/>
        <w:gridCol w:w="934"/>
      </w:tblGrid>
      <w:tr w:rsidR="00B2658A" w:rsidRPr="00FD5D7E" w14:paraId="6677507B" w14:textId="77777777" w:rsidTr="00856254">
        <w:trPr>
          <w:trHeight w:val="270"/>
        </w:trPr>
        <w:tc>
          <w:tcPr>
            <w:tcW w:w="93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</w:tcPr>
          <w:p w14:paraId="0A11C320" w14:textId="13529E61" w:rsidR="00B2658A" w:rsidRPr="00FD5D7E" w:rsidRDefault="00E57263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</w:t>
            </w:r>
            <w:r w:rsidR="00B265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6</w:t>
            </w:r>
          </w:p>
        </w:tc>
      </w:tr>
      <w:tr w:rsidR="001122B0" w:rsidRPr="00FD5D7E" w14:paraId="0298FBD9" w14:textId="77777777" w:rsidTr="007D6B74">
        <w:trPr>
          <w:trHeight w:val="243"/>
        </w:trPr>
        <w:tc>
          <w:tcPr>
            <w:tcW w:w="137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8564" w14:textId="77777777" w:rsidR="00FD5D7E" w:rsidRPr="00FD5D7E" w:rsidRDefault="00FD5D7E" w:rsidP="00FD5D7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SOURCE</w:t>
            </w:r>
          </w:p>
        </w:tc>
        <w:tc>
          <w:tcPr>
            <w:tcW w:w="2669" w:type="dxa"/>
            <w:gridSpan w:val="3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B11B5C" w14:textId="34CC5C61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MANAGED</w:t>
            </w:r>
          </w:p>
        </w:tc>
        <w:tc>
          <w:tcPr>
            <w:tcW w:w="2659" w:type="dxa"/>
            <w:gridSpan w:val="3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44F2F6" w14:textId="69B82268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UNMANAGED</w:t>
            </w:r>
          </w:p>
        </w:tc>
        <w:tc>
          <w:tcPr>
            <w:tcW w:w="2659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8D6644" w14:textId="1AA120E7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NPIC</w:t>
            </w:r>
          </w:p>
        </w:tc>
      </w:tr>
      <w:tr w:rsidR="001122B0" w:rsidRPr="00FD5D7E" w14:paraId="53BF759F" w14:textId="77777777" w:rsidTr="007D6B74">
        <w:trPr>
          <w:trHeight w:val="418"/>
        </w:trPr>
        <w:tc>
          <w:tcPr>
            <w:tcW w:w="1375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6FB3" w14:textId="77777777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Birth Weight Range (in grams)</w:t>
            </w:r>
          </w:p>
        </w:tc>
        <w:tc>
          <w:tcPr>
            <w:tcW w:w="802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404E3" w14:textId="73159CE0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Case</w:t>
            </w:r>
            <w:r w:rsidR="0057675A">
              <w:rPr>
                <w:rFonts w:ascii="Arial" w:eastAsia="Times New Roman" w:hAnsi="Arial" w:cs="Arial"/>
                <w:sz w:val="20"/>
                <w:szCs w:val="20"/>
              </w:rPr>
              <w:t xml:space="preserve"> Count</w:t>
            </w:r>
          </w:p>
        </w:tc>
        <w:tc>
          <w:tcPr>
            <w:tcW w:w="9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C67A8" w14:textId="4BAB44AE" w:rsidR="00FD5D7E" w:rsidRPr="00FD5D7E" w:rsidRDefault="001122B0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Avg </w:t>
            </w:r>
            <w:r w:rsidR="00FD5D7E" w:rsidRPr="00FD5D7E">
              <w:rPr>
                <w:rFonts w:ascii="Arial" w:eastAsia="Times New Roman" w:hAnsi="Arial" w:cs="Arial"/>
                <w:sz w:val="20"/>
                <w:szCs w:val="20"/>
              </w:rPr>
              <w:t>Weight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8726" w14:textId="6841F085" w:rsidR="00FD5D7E" w:rsidRPr="00FD5D7E" w:rsidRDefault="001122B0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r w:rsidR="00FD5D7E" w:rsidRPr="00FD5D7E">
              <w:rPr>
                <w:rFonts w:ascii="Arial" w:eastAsia="Times New Roman" w:hAnsi="Arial" w:cs="Arial"/>
                <w:sz w:val="20"/>
                <w:szCs w:val="20"/>
              </w:rPr>
              <w:t xml:space="preserve"> LOS</w:t>
            </w:r>
          </w:p>
        </w:tc>
        <w:tc>
          <w:tcPr>
            <w:tcW w:w="793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AA4F5" w14:textId="34576D56" w:rsidR="0057675A" w:rsidRPr="00FD5D7E" w:rsidRDefault="00FD5D7E" w:rsidP="005767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Case</w:t>
            </w:r>
            <w:r w:rsidR="0057675A">
              <w:rPr>
                <w:rFonts w:ascii="Arial" w:eastAsia="Times New Roman" w:hAnsi="Arial" w:cs="Arial"/>
                <w:sz w:val="20"/>
                <w:szCs w:val="20"/>
              </w:rPr>
              <w:t xml:space="preserve"> Count</w:t>
            </w:r>
          </w:p>
        </w:tc>
        <w:tc>
          <w:tcPr>
            <w:tcW w:w="9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710EA" w14:textId="79852DBA" w:rsidR="00FD5D7E" w:rsidRPr="00FD5D7E" w:rsidRDefault="001122B0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Avg </w:t>
            </w:r>
            <w:r w:rsidR="00FD5D7E" w:rsidRPr="00FD5D7E">
              <w:rPr>
                <w:rFonts w:ascii="Arial" w:eastAsia="Times New Roman" w:hAnsi="Arial" w:cs="Arial"/>
                <w:sz w:val="20"/>
                <w:szCs w:val="20"/>
              </w:rPr>
              <w:t>Weight</w:t>
            </w:r>
          </w:p>
        </w:tc>
        <w:tc>
          <w:tcPr>
            <w:tcW w:w="93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A68A" w14:textId="424B4742" w:rsidR="00FD5D7E" w:rsidRPr="00FD5D7E" w:rsidRDefault="001122B0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r w:rsidR="00FD5D7E" w:rsidRPr="00FD5D7E">
              <w:rPr>
                <w:rFonts w:ascii="Arial" w:eastAsia="Times New Roman" w:hAnsi="Arial" w:cs="Arial"/>
                <w:sz w:val="20"/>
                <w:szCs w:val="20"/>
              </w:rPr>
              <w:t xml:space="preserve"> LOS</w:t>
            </w:r>
          </w:p>
        </w:tc>
        <w:tc>
          <w:tcPr>
            <w:tcW w:w="793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1EB8C" w14:textId="7780D41E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Case</w:t>
            </w:r>
            <w:r w:rsidR="0057675A">
              <w:rPr>
                <w:rFonts w:ascii="Arial" w:eastAsia="Times New Roman" w:hAnsi="Arial" w:cs="Arial"/>
                <w:sz w:val="20"/>
                <w:szCs w:val="20"/>
              </w:rPr>
              <w:t xml:space="preserve"> Count</w:t>
            </w:r>
          </w:p>
        </w:tc>
        <w:tc>
          <w:tcPr>
            <w:tcW w:w="9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65DF5" w14:textId="66C8EF61" w:rsidR="00FD5D7E" w:rsidRPr="00FD5D7E" w:rsidRDefault="001122B0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r w:rsidR="00FD5D7E" w:rsidRPr="00FD5D7E">
              <w:rPr>
                <w:rFonts w:ascii="Arial" w:eastAsia="Times New Roman" w:hAnsi="Arial" w:cs="Arial"/>
                <w:sz w:val="20"/>
                <w:szCs w:val="20"/>
              </w:rPr>
              <w:t xml:space="preserve"> Weight</w:t>
            </w:r>
          </w:p>
        </w:tc>
        <w:tc>
          <w:tcPr>
            <w:tcW w:w="9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F62D6" w14:textId="5256F636" w:rsidR="00FD5D7E" w:rsidRPr="00FD5D7E" w:rsidRDefault="001122B0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r w:rsidR="00FD5D7E" w:rsidRPr="00FD5D7E">
              <w:rPr>
                <w:rFonts w:ascii="Arial" w:eastAsia="Times New Roman" w:hAnsi="Arial" w:cs="Arial"/>
                <w:sz w:val="20"/>
                <w:szCs w:val="20"/>
              </w:rPr>
              <w:t xml:space="preserve"> LOS</w:t>
            </w:r>
          </w:p>
        </w:tc>
      </w:tr>
      <w:tr w:rsidR="0071019E" w:rsidRPr="00FD5D7E" w14:paraId="192A92E5" w14:textId="77777777" w:rsidTr="007D6B74">
        <w:trPr>
          <w:trHeight w:val="418"/>
        </w:trPr>
        <w:tc>
          <w:tcPr>
            <w:tcW w:w="1375" w:type="dxa"/>
            <w:tcBorders>
              <w:top w:val="single" w:sz="4" w:space="0" w:color="auto"/>
              <w:left w:val="nil"/>
              <w:bottom w:val="nil"/>
            </w:tcBorders>
            <w:shd w:val="clear" w:color="000000" w:fill="E7E6E6"/>
            <w:noWrap/>
            <w:vAlign w:val="bottom"/>
            <w:hideMark/>
          </w:tcPr>
          <w:p w14:paraId="73103258" w14:textId="77777777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&lt;750</w:t>
            </w:r>
          </w:p>
        </w:tc>
        <w:tc>
          <w:tcPr>
            <w:tcW w:w="802" w:type="dxa"/>
            <w:tcBorders>
              <w:top w:val="single" w:sz="4" w:space="0" w:color="auto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F685526" w14:textId="0BDA4CDA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0978452" w14:textId="755A218E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749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</w:tcBorders>
            <w:shd w:val="clear" w:color="000000" w:fill="E7E6E6"/>
            <w:noWrap/>
            <w:vAlign w:val="center"/>
            <w:hideMark/>
          </w:tcPr>
          <w:p w14:paraId="7FBC1EBE" w14:textId="0698FDD2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793" w:type="dxa"/>
            <w:tcBorders>
              <w:top w:val="single" w:sz="4" w:space="0" w:color="auto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EF46106" w14:textId="2CA4CD57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03B02B7" w14:textId="41A0BDD0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749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</w:tcBorders>
            <w:shd w:val="clear" w:color="000000" w:fill="E7E6E6"/>
            <w:noWrap/>
            <w:vAlign w:val="center"/>
            <w:hideMark/>
          </w:tcPr>
          <w:p w14:paraId="62E3F0BC" w14:textId="09B64E30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793" w:type="dxa"/>
            <w:tcBorders>
              <w:top w:val="single" w:sz="4" w:space="0" w:color="auto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D97365C" w14:textId="5150D9C7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512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D0D4E01" w14:textId="427E5C59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633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2762307" w14:textId="7732B42D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</w:tr>
      <w:tr w:rsidR="001122B0" w:rsidRPr="00FD5D7E" w14:paraId="5379FFD6" w14:textId="77777777" w:rsidTr="00C1331B">
        <w:trPr>
          <w:trHeight w:val="418"/>
        </w:trPr>
        <w:tc>
          <w:tcPr>
            <w:tcW w:w="13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521C62" w14:textId="77777777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750 - 999</w:t>
            </w:r>
          </w:p>
        </w:tc>
        <w:tc>
          <w:tcPr>
            <w:tcW w:w="8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9021" w14:textId="2D69B8A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0221" w14:textId="3EFD7595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999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B720C" w14:textId="0C854EBD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09D5" w14:textId="01683907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F131" w14:textId="0E95858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999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6DC335" w14:textId="1C22FD20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C35C" w14:textId="3B323067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930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8AF8" w14:textId="7EE6FC4D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877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3153" w14:textId="438EB460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</w:tr>
      <w:tr w:rsidR="0071019E" w:rsidRPr="00FD5D7E" w14:paraId="741D8CF4" w14:textId="77777777" w:rsidTr="00C1331B">
        <w:trPr>
          <w:trHeight w:val="418"/>
        </w:trPr>
        <w:tc>
          <w:tcPr>
            <w:tcW w:w="1375" w:type="dxa"/>
            <w:tcBorders>
              <w:top w:val="nil"/>
              <w:left w:val="nil"/>
              <w:bottom w:val="nil"/>
            </w:tcBorders>
            <w:shd w:val="clear" w:color="000000" w:fill="E7E6E6"/>
            <w:noWrap/>
            <w:vAlign w:val="bottom"/>
            <w:hideMark/>
          </w:tcPr>
          <w:p w14:paraId="0A58A7E9" w14:textId="77777777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1000 - 1249</w:t>
            </w:r>
          </w:p>
        </w:tc>
        <w:tc>
          <w:tcPr>
            <w:tcW w:w="802" w:type="dxa"/>
            <w:tcBorders>
              <w:top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62E5018" w14:textId="30B66039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9C34FE8" w14:textId="212153E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1,249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000000" w:fill="E7E6E6"/>
            <w:noWrap/>
            <w:vAlign w:val="center"/>
            <w:hideMark/>
          </w:tcPr>
          <w:p w14:paraId="14DD510C" w14:textId="3A56F3EC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97B0411" w14:textId="6D0D06A5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F57B753" w14:textId="473BAE80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1,249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</w:tcBorders>
            <w:shd w:val="clear" w:color="000000" w:fill="E7E6E6"/>
            <w:noWrap/>
            <w:vAlign w:val="center"/>
            <w:hideMark/>
          </w:tcPr>
          <w:p w14:paraId="7320B900" w14:textId="05B1879E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9662AA3" w14:textId="2126115E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1,200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F7E8FF2" w14:textId="3EE6C122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1,129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56523DC" w14:textId="57FC0A4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</w:tr>
      <w:tr w:rsidR="001122B0" w:rsidRPr="00FD5D7E" w14:paraId="08B7E3A9" w14:textId="77777777" w:rsidTr="00C1331B">
        <w:trPr>
          <w:trHeight w:val="418"/>
        </w:trPr>
        <w:tc>
          <w:tcPr>
            <w:tcW w:w="13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B56B45" w14:textId="77777777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1250 - 1499</w:t>
            </w:r>
          </w:p>
        </w:tc>
        <w:tc>
          <w:tcPr>
            <w:tcW w:w="8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0F02" w14:textId="3E4549DD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162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98A81" w14:textId="4CC0EA40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1,499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135B57" w14:textId="0C5CABDD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08B2" w14:textId="7B5AA012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E8AAC" w14:textId="644ECED6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1,499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4AEBE9" w14:textId="4CB8A456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1433" w14:textId="301CBD73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1,569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B81A" w14:textId="693BD3C1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1,381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B938A" w14:textId="68C54B7C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  <w:tr w:rsidR="0071019E" w:rsidRPr="00FD5D7E" w14:paraId="0125DA23" w14:textId="77777777" w:rsidTr="00C1331B">
        <w:trPr>
          <w:trHeight w:val="418"/>
        </w:trPr>
        <w:tc>
          <w:tcPr>
            <w:tcW w:w="1375" w:type="dxa"/>
            <w:tcBorders>
              <w:top w:val="nil"/>
              <w:left w:val="nil"/>
              <w:bottom w:val="nil"/>
            </w:tcBorders>
            <w:shd w:val="clear" w:color="000000" w:fill="E7E6E6"/>
            <w:noWrap/>
            <w:vAlign w:val="bottom"/>
            <w:hideMark/>
          </w:tcPr>
          <w:p w14:paraId="11A58BA9" w14:textId="77777777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1500 - 1999</w:t>
            </w:r>
          </w:p>
        </w:tc>
        <w:tc>
          <w:tcPr>
            <w:tcW w:w="802" w:type="dxa"/>
            <w:tcBorders>
              <w:top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6EB8DE4" w14:textId="04A41C0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447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5AF1FD8" w14:textId="568698F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1,999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000000" w:fill="E7E6E6"/>
            <w:noWrap/>
            <w:vAlign w:val="center"/>
            <w:hideMark/>
          </w:tcPr>
          <w:p w14:paraId="0A658E45" w14:textId="48783067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50F96A6" w14:textId="1B2E9190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487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213573C" w14:textId="75A03139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1,999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</w:tcBorders>
            <w:shd w:val="clear" w:color="000000" w:fill="E7E6E6"/>
            <w:noWrap/>
            <w:vAlign w:val="center"/>
            <w:hideMark/>
          </w:tcPr>
          <w:p w14:paraId="6B069F97" w14:textId="516FA308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8255B5D" w14:textId="7D1B32CA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4,858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C2EF433" w14:textId="01D0C5A8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1,763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05B1448" w14:textId="1E481361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1122B0" w:rsidRPr="00FD5D7E" w14:paraId="3B00EF5D" w14:textId="77777777" w:rsidTr="00C1331B">
        <w:trPr>
          <w:trHeight w:val="418"/>
        </w:trPr>
        <w:tc>
          <w:tcPr>
            <w:tcW w:w="13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2E2B3C" w14:textId="77777777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2000 - 2499</w:t>
            </w:r>
          </w:p>
        </w:tc>
        <w:tc>
          <w:tcPr>
            <w:tcW w:w="80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7152" w14:textId="2CE2C37E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413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1192" w14:textId="4EEE3409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2,499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7BE7C3" w14:textId="2E69C57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72490" w14:textId="3347F6E4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534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AAEA" w14:textId="61E02396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2,499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39D8F" w14:textId="2994DB60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79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6CE4" w14:textId="6B902AAC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4,513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16B5" w14:textId="71AEE6D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2,229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FA37" w14:textId="5BAF5C3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71019E" w:rsidRPr="00FD5D7E" w14:paraId="216A162F" w14:textId="77777777" w:rsidTr="00C1331B">
        <w:trPr>
          <w:trHeight w:val="468"/>
        </w:trPr>
        <w:tc>
          <w:tcPr>
            <w:tcW w:w="1375" w:type="dxa"/>
            <w:tcBorders>
              <w:top w:val="nil"/>
              <w:left w:val="nil"/>
              <w:bottom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EBA564" w14:textId="77777777" w:rsidR="00FD5D7E" w:rsidRPr="00FD5D7E" w:rsidRDefault="00FD5D7E" w:rsidP="00FD5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&gt;2499</w:t>
            </w:r>
          </w:p>
        </w:tc>
        <w:tc>
          <w:tcPr>
            <w:tcW w:w="802" w:type="dxa"/>
            <w:tcBorders>
              <w:top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434C8AA" w14:textId="58E16EDA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461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8030BB5" w14:textId="0961EDB7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2,500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E4F272" w14:textId="6BAAD01F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793" w:type="dxa"/>
            <w:tcBorders>
              <w:top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5535FB7F" w14:textId="5F51DA6A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291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12FE0930" w14:textId="240779BD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2,500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B325F1" w14:textId="279CC208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793" w:type="dxa"/>
            <w:tcBorders>
              <w:top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11C36E89" w14:textId="16129951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5,059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11744B66" w14:textId="585A7C2B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3,167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57D426D" w14:textId="0063E9D3" w:rsidR="00FD5D7E" w:rsidRPr="00FD5D7E" w:rsidRDefault="00FD5D7E" w:rsidP="00C133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1122B0" w:rsidRPr="00FD5D7E" w14:paraId="47C03E00" w14:textId="77777777" w:rsidTr="0071019E">
        <w:trPr>
          <w:trHeight w:val="418"/>
        </w:trPr>
        <w:tc>
          <w:tcPr>
            <w:tcW w:w="137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7DE1C098" w14:textId="77777777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Total Cases</w:t>
            </w:r>
          </w:p>
        </w:tc>
        <w:tc>
          <w:tcPr>
            <w:tcW w:w="802" w:type="dxa"/>
            <w:tcBorders>
              <w:top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A677E9" w14:textId="5D83F382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5306AE" w14:textId="2A21B338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1,774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center"/>
            <w:hideMark/>
          </w:tcPr>
          <w:p w14:paraId="5D33FD4D" w14:textId="69E541E2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8966BD" w14:textId="1B1D7370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72C7C" w14:textId="53E25E96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1,614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center"/>
            <w:hideMark/>
          </w:tcPr>
          <w:p w14:paraId="27B28A5C" w14:textId="2E538499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72A1D3" w14:textId="5512AED5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6CA2F" w14:textId="48CA05A2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18,641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73F33" w14:textId="0946F30B" w:rsidR="00FD5D7E" w:rsidRPr="00FD5D7E" w:rsidRDefault="00FD5D7E" w:rsidP="00710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74AD1A9" w14:textId="01E6A2A6" w:rsidR="00FD5D7E" w:rsidRDefault="00FD5D7E"/>
    <w:p w14:paraId="07FA6FE2" w14:textId="01A780FE" w:rsidR="0071019E" w:rsidRDefault="00F17279">
      <w:r>
        <w:t>The next metric we use</w:t>
      </w:r>
      <w:r w:rsidR="00C1331B">
        <w:t xml:space="preserve"> to compare the</w:t>
      </w:r>
      <w:r w:rsidR="00384385">
        <w:t xml:space="preserve"> three data sources</w:t>
      </w:r>
      <w:r w:rsidR="00C1331B">
        <w:t xml:space="preserve"> is their average birth weight</w:t>
      </w:r>
      <w:r w:rsidR="004459AF">
        <w:t xml:space="preserve">, </w:t>
      </w:r>
      <w:r w:rsidR="00384385">
        <w:t>as we can see</w:t>
      </w:r>
      <w:r w:rsidR="004459AF">
        <w:t xml:space="preserve"> in </w:t>
      </w:r>
      <w:r w:rsidR="00E57263">
        <w:t>Table</w:t>
      </w:r>
      <w:r w:rsidR="004459AF">
        <w:t xml:space="preserve"> 7 below.</w:t>
      </w:r>
      <w:r w:rsidR="00B57252">
        <w:t xml:space="preserve"> </w:t>
      </w:r>
      <w:r w:rsidR="00384385">
        <w:t>When</w:t>
      </w:r>
      <w:r w:rsidR="00B57252">
        <w:t xml:space="preserve"> we compare the raw average birth weight of each source of data, the UNMANAGED cases </w:t>
      </w:r>
      <w:r w:rsidR="00207761">
        <w:t>will</w:t>
      </w:r>
      <w:r w:rsidR="00B57252">
        <w:t xml:space="preserve"> have the highest avera</w:t>
      </w:r>
      <w:r w:rsidR="00207761">
        <w:t>ge birth weight of 2,113.34 grams, while the MANAGED cases would have the lowest average birth weight of 2,044.50</w:t>
      </w:r>
      <w:r w:rsidR="00681D4E">
        <w:t xml:space="preserve"> grams</w:t>
      </w:r>
      <w:r w:rsidR="00207761">
        <w:t xml:space="preserve">. </w:t>
      </w:r>
      <w:r w:rsidR="007D6B74">
        <w:t>Like</w:t>
      </w:r>
      <w:r w:rsidR="00207761">
        <w:t xml:space="preserve"> exhibit 1,</w:t>
      </w:r>
      <w:r w:rsidR="0064162F">
        <w:t xml:space="preserve"> </w:t>
      </w:r>
      <w:r w:rsidR="00B06F69">
        <w:t>the</w:t>
      </w:r>
      <w:r w:rsidR="0064162F">
        <w:t xml:space="preserve"> birth weight range</w:t>
      </w:r>
      <w:r w:rsidR="00B06F69">
        <w:t xml:space="preserve"> case count</w:t>
      </w:r>
      <w:r w:rsidR="007D6B74">
        <w:t xml:space="preserve"> for each data source is distributed differently</w:t>
      </w:r>
      <w:r w:rsidR="00BA09F7">
        <w:t>. Therefore,</w:t>
      </w:r>
      <w:r w:rsidR="007D6B74">
        <w:t xml:space="preserve"> it would be more accurate if we normalize </w:t>
      </w:r>
      <w:r w:rsidR="007D4EDB">
        <w:t xml:space="preserve">them and compare their </w:t>
      </w:r>
      <w:r w:rsidR="00690EDB">
        <w:t>case-mix adjusted average</w:t>
      </w:r>
      <w:r w:rsidR="00BE009B">
        <w:t>s</w:t>
      </w:r>
      <w:r w:rsidR="001B39C8">
        <w:t>.</w:t>
      </w:r>
      <w:r w:rsidR="00E63296">
        <w:t xml:space="preserve"> </w:t>
      </w:r>
      <w:r w:rsidR="00955344">
        <w:t xml:space="preserve">By taking the case-mix adjusted average birth weight, the MANAGED and UNMANAGED would have the same average birth weight; this is unsurprising since they have the same </w:t>
      </w:r>
      <w:r w:rsidR="00681D4E">
        <w:t xml:space="preserve">average birth weight for each birth weight range. </w:t>
      </w:r>
      <w:r w:rsidR="00BE009B">
        <w:t>Meanwhile</w:t>
      </w:r>
      <w:r w:rsidR="00681D4E">
        <w:t>, the NPIC cases would have the highest case-mix adjusted average birth weight of 2,064.98 grams.</w:t>
      </w:r>
    </w:p>
    <w:tbl>
      <w:tblPr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2772"/>
        <w:gridCol w:w="2637"/>
        <w:gridCol w:w="2639"/>
      </w:tblGrid>
      <w:tr w:rsidR="004459AF" w:rsidRPr="00FD5D7E" w14:paraId="16592C91" w14:textId="77777777" w:rsidTr="00B05151">
        <w:trPr>
          <w:trHeight w:val="245"/>
        </w:trPr>
        <w:tc>
          <w:tcPr>
            <w:tcW w:w="9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</w:tcPr>
          <w:p w14:paraId="781D47D2" w14:textId="55992143" w:rsidR="004459AF" w:rsidRPr="00FD5D7E" w:rsidRDefault="00E57263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</w:t>
            </w:r>
            <w:r w:rsidR="004459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A76E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B05151" w:rsidRPr="00FD5D7E" w14:paraId="7598D6A6" w14:textId="77777777" w:rsidTr="0092186E">
        <w:trPr>
          <w:trHeight w:val="221"/>
        </w:trPr>
        <w:tc>
          <w:tcPr>
            <w:tcW w:w="133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7217" w14:textId="77777777" w:rsidR="004459AF" w:rsidRPr="00FD5D7E" w:rsidRDefault="004459AF" w:rsidP="00A0538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SOURCE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8DE22" w14:textId="77777777" w:rsidR="004459AF" w:rsidRPr="00FD5D7E" w:rsidRDefault="004459AF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MANAGED</w:t>
            </w:r>
          </w:p>
        </w:tc>
        <w:tc>
          <w:tcPr>
            <w:tcW w:w="2637" w:type="dxa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E88E9" w14:textId="77777777" w:rsidR="004459AF" w:rsidRPr="00FD5D7E" w:rsidRDefault="004459AF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UNMANAGED</w:t>
            </w:r>
          </w:p>
        </w:tc>
        <w:tc>
          <w:tcPr>
            <w:tcW w:w="2639" w:type="dxa"/>
            <w:tcBorders>
              <w:top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6FBDB" w14:textId="77777777" w:rsidR="004459AF" w:rsidRPr="00FD5D7E" w:rsidRDefault="004459AF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NPIC</w:t>
            </w:r>
          </w:p>
        </w:tc>
      </w:tr>
      <w:tr w:rsidR="00B05151" w:rsidRPr="00FD5D7E" w14:paraId="24C7343B" w14:textId="77777777" w:rsidTr="0092186E">
        <w:trPr>
          <w:trHeight w:val="503"/>
        </w:trPr>
        <w:tc>
          <w:tcPr>
            <w:tcW w:w="1331" w:type="dxa"/>
            <w:tcBorders>
              <w:left w:val="nil"/>
              <w:bottom w:val="nil"/>
            </w:tcBorders>
            <w:shd w:val="clear" w:color="auto" w:fill="E7E6E6" w:themeFill="background2"/>
            <w:vAlign w:val="center"/>
            <w:hideMark/>
          </w:tcPr>
          <w:p w14:paraId="036F9332" w14:textId="7767C469" w:rsidR="00B05151" w:rsidRPr="00FD5D7E" w:rsidRDefault="00B05151" w:rsidP="00B05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Avg Birth Weight</w:t>
            </w:r>
          </w:p>
        </w:tc>
        <w:tc>
          <w:tcPr>
            <w:tcW w:w="2772" w:type="dxa"/>
            <w:tcBorders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14:paraId="66539585" w14:textId="2F7DA3FD" w:rsidR="00B05151" w:rsidRPr="00FD5D7E" w:rsidRDefault="00B05151" w:rsidP="00B05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2,044.50</w:t>
            </w:r>
          </w:p>
        </w:tc>
        <w:tc>
          <w:tcPr>
            <w:tcW w:w="2637" w:type="dxa"/>
            <w:tcBorders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14:paraId="0ACFCB9F" w14:textId="73B225DC" w:rsidR="00B05151" w:rsidRPr="00FD5D7E" w:rsidRDefault="00B05151" w:rsidP="00B05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2,113.34</w:t>
            </w:r>
          </w:p>
        </w:tc>
        <w:tc>
          <w:tcPr>
            <w:tcW w:w="2639" w:type="dxa"/>
            <w:tcBorders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E2C4E5E" w14:textId="2B858621" w:rsidR="00B05151" w:rsidRPr="00FD5D7E" w:rsidRDefault="00B05151" w:rsidP="00B05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2,108.58</w:t>
            </w:r>
          </w:p>
        </w:tc>
      </w:tr>
      <w:tr w:rsidR="00B05151" w:rsidRPr="00FD5D7E" w14:paraId="16F87A94" w14:textId="77777777" w:rsidTr="0092186E">
        <w:trPr>
          <w:trHeight w:val="381"/>
        </w:trPr>
        <w:tc>
          <w:tcPr>
            <w:tcW w:w="133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D6C8A4B" w14:textId="5219BD76" w:rsidR="00B05151" w:rsidRPr="00FD5D7E" w:rsidRDefault="00B05151" w:rsidP="00B05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Case-Mix Adjusted Avg Birth Weight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27AB9A" w14:textId="58CDC4F1" w:rsidR="00B05151" w:rsidRDefault="00B05151" w:rsidP="00B05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2,044.50</w:t>
            </w:r>
          </w:p>
        </w:tc>
        <w:tc>
          <w:tcPr>
            <w:tcW w:w="263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21EF0D" w14:textId="282A2251" w:rsidR="00B05151" w:rsidRDefault="0092186E" w:rsidP="00B05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2,044.50</w:t>
            </w:r>
          </w:p>
        </w:tc>
        <w:tc>
          <w:tcPr>
            <w:tcW w:w="263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19831" w14:textId="204776BD" w:rsidR="00B05151" w:rsidRDefault="0092186E" w:rsidP="00B05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2,064.98</w:t>
            </w:r>
          </w:p>
        </w:tc>
      </w:tr>
    </w:tbl>
    <w:p w14:paraId="4BE44209" w14:textId="77777777" w:rsidR="003332B8" w:rsidRDefault="003332B8"/>
    <w:p w14:paraId="282E0E48" w14:textId="7EF0A780" w:rsidR="0048695E" w:rsidRDefault="006A342C">
      <w:r>
        <w:t xml:space="preserve">The last </w:t>
      </w:r>
      <w:r w:rsidR="00F623D3">
        <w:t xml:space="preserve">metric we used to compare </w:t>
      </w:r>
      <w:r w:rsidR="0027254E">
        <w:t xml:space="preserve">the three </w:t>
      </w:r>
      <w:r w:rsidR="00842E10">
        <w:t>data sources</w:t>
      </w:r>
      <w:r w:rsidR="0027254E">
        <w:t xml:space="preserve"> is the average </w:t>
      </w:r>
      <w:r w:rsidR="00964020">
        <w:t>and case-mix adjusted average length of stay</w:t>
      </w:r>
      <w:r w:rsidR="00053A7D">
        <w:t xml:space="preserve">. </w:t>
      </w:r>
      <w:r w:rsidR="00E80E18">
        <w:t>The</w:t>
      </w:r>
      <w:r w:rsidR="00053A7D">
        <w:t xml:space="preserve"> difference between this case-mix adjusted average and that of Exhibit 1</w:t>
      </w:r>
      <w:r w:rsidR="00E80E18">
        <w:t xml:space="preserve"> is that in this exhibit,</w:t>
      </w:r>
      <w:r w:rsidR="00CA6088">
        <w:t xml:space="preserve"> the case-mix is adjusted by</w:t>
      </w:r>
      <w:r w:rsidR="00A10A1B">
        <w:t xml:space="preserve"> the case count distribution of the</w:t>
      </w:r>
      <w:r w:rsidR="00CA6088">
        <w:t xml:space="preserve"> birth weight range</w:t>
      </w:r>
      <w:r w:rsidR="00027222">
        <w:t>s</w:t>
      </w:r>
      <w:r w:rsidR="00CA6088">
        <w:t xml:space="preserve">, while that of Exhibit 1 is adjusted by </w:t>
      </w:r>
      <w:r w:rsidR="006D65AB">
        <w:t xml:space="preserve">the </w:t>
      </w:r>
      <w:r w:rsidR="00027222">
        <w:t>case count distributio</w:t>
      </w:r>
      <w:r w:rsidR="00A10A1B">
        <w:t xml:space="preserve">n of </w:t>
      </w:r>
      <w:r w:rsidR="00027222">
        <w:t xml:space="preserve">the </w:t>
      </w:r>
      <w:r w:rsidR="006D65AB">
        <w:t>APR DRG</w:t>
      </w:r>
      <w:r w:rsidR="009E59BE">
        <w:t xml:space="preserve">s, as seen in Table 8. </w:t>
      </w:r>
      <w:r w:rsidR="00D80688">
        <w:t xml:space="preserve">For the case-mix adjusted </w:t>
      </w:r>
      <w:r w:rsidR="006C215D">
        <w:t xml:space="preserve">by birth weight range average LOS, the </w:t>
      </w:r>
      <w:r w:rsidR="00782CEA">
        <w:t>highest value would be that of MANAGED cases of 27.71 days, while the lowest would be that of UNMANAGED cases of 24.57 days.</w:t>
      </w:r>
    </w:p>
    <w:p w14:paraId="7156C698" w14:textId="77777777" w:rsidR="009E59BE" w:rsidRDefault="009E59BE"/>
    <w:p w14:paraId="6635C064" w14:textId="77777777" w:rsidR="003332B8" w:rsidRDefault="003332B8"/>
    <w:tbl>
      <w:tblPr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2772"/>
        <w:gridCol w:w="2637"/>
        <w:gridCol w:w="2639"/>
      </w:tblGrid>
      <w:tr w:rsidR="006D65AB" w:rsidRPr="00FD5D7E" w14:paraId="61EA5BFB" w14:textId="77777777" w:rsidTr="00A05382">
        <w:trPr>
          <w:trHeight w:val="245"/>
        </w:trPr>
        <w:tc>
          <w:tcPr>
            <w:tcW w:w="9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</w:tcPr>
          <w:p w14:paraId="27E39C27" w14:textId="19D0E06F" w:rsidR="006D65AB" w:rsidRPr="00FD5D7E" w:rsidRDefault="00E57263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</w:t>
            </w:r>
            <w:r w:rsidR="006D65A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8</w:t>
            </w:r>
          </w:p>
        </w:tc>
      </w:tr>
      <w:tr w:rsidR="006D65AB" w:rsidRPr="00FD5D7E" w14:paraId="417E3A2A" w14:textId="77777777" w:rsidTr="00A05382">
        <w:trPr>
          <w:trHeight w:val="221"/>
        </w:trPr>
        <w:tc>
          <w:tcPr>
            <w:tcW w:w="133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A7E3" w14:textId="77777777" w:rsidR="006D65AB" w:rsidRPr="00FD5D7E" w:rsidRDefault="006D65AB" w:rsidP="00A0538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sz w:val="20"/>
                <w:szCs w:val="20"/>
              </w:rPr>
              <w:t>SOURCE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0AB65" w14:textId="77777777" w:rsidR="006D65AB" w:rsidRPr="00FD5D7E" w:rsidRDefault="006D65AB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MANAGED</w:t>
            </w:r>
          </w:p>
        </w:tc>
        <w:tc>
          <w:tcPr>
            <w:tcW w:w="2637" w:type="dxa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C2C51" w14:textId="77777777" w:rsidR="006D65AB" w:rsidRPr="00FD5D7E" w:rsidRDefault="006D65AB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UNMANAGED</w:t>
            </w:r>
          </w:p>
        </w:tc>
        <w:tc>
          <w:tcPr>
            <w:tcW w:w="2639" w:type="dxa"/>
            <w:tcBorders>
              <w:top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CCE51D" w14:textId="77777777" w:rsidR="006D65AB" w:rsidRPr="00FD5D7E" w:rsidRDefault="006D65AB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NPIC</w:t>
            </w:r>
          </w:p>
        </w:tc>
      </w:tr>
      <w:tr w:rsidR="006D65AB" w:rsidRPr="00FD5D7E" w14:paraId="2FE4B657" w14:textId="77777777" w:rsidTr="00617D11">
        <w:trPr>
          <w:trHeight w:val="422"/>
        </w:trPr>
        <w:tc>
          <w:tcPr>
            <w:tcW w:w="1331" w:type="dxa"/>
            <w:tcBorders>
              <w:left w:val="nil"/>
              <w:bottom w:val="nil"/>
            </w:tcBorders>
            <w:shd w:val="clear" w:color="auto" w:fill="E7E6E6" w:themeFill="background2"/>
            <w:vAlign w:val="center"/>
            <w:hideMark/>
          </w:tcPr>
          <w:p w14:paraId="228A32AE" w14:textId="3AFE1A48" w:rsidR="006D65AB" w:rsidRPr="00FD5D7E" w:rsidRDefault="006D65AB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Avg LOS</w:t>
            </w:r>
          </w:p>
        </w:tc>
        <w:tc>
          <w:tcPr>
            <w:tcW w:w="2772" w:type="dxa"/>
            <w:tcBorders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14:paraId="2AC6F363" w14:textId="2A975DE7" w:rsidR="006D65AB" w:rsidRPr="00FD5D7E" w:rsidRDefault="006D65AB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27.71</w:t>
            </w:r>
          </w:p>
        </w:tc>
        <w:tc>
          <w:tcPr>
            <w:tcW w:w="2637" w:type="dxa"/>
            <w:tcBorders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14:paraId="2D73DCF4" w14:textId="2D39E071" w:rsidR="006D65AB" w:rsidRPr="00FD5D7E" w:rsidRDefault="0070318F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22.09</w:t>
            </w:r>
          </w:p>
        </w:tc>
        <w:tc>
          <w:tcPr>
            <w:tcW w:w="2639" w:type="dxa"/>
            <w:tcBorders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F05B20" w14:textId="0EDD11C0" w:rsidR="0070318F" w:rsidRPr="00FD5D7E" w:rsidRDefault="0070318F" w:rsidP="0070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25.70</w:t>
            </w:r>
          </w:p>
        </w:tc>
      </w:tr>
      <w:tr w:rsidR="006D65AB" w:rsidRPr="00FD5D7E" w14:paraId="7709C79D" w14:textId="77777777" w:rsidTr="00617D11">
        <w:trPr>
          <w:trHeight w:val="1278"/>
        </w:trPr>
        <w:tc>
          <w:tcPr>
            <w:tcW w:w="133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433E7AB" w14:textId="525BE6FF" w:rsidR="006D65AB" w:rsidRPr="00FD5D7E" w:rsidRDefault="006D65AB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Case-Mix Adjusted</w:t>
            </w:r>
            <w:r w:rsidR="00617D11">
              <w:rPr>
                <w:rFonts w:ascii="Arial" w:eastAsia="Times New Roman" w:hAnsi="Arial" w:cs="Arial"/>
                <w:sz w:val="20"/>
                <w:szCs w:val="20"/>
              </w:rPr>
              <w:t xml:space="preserve"> by Birth Weight Range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Avg LOS</w:t>
            </w:r>
          </w:p>
        </w:tc>
        <w:tc>
          <w:tcPr>
            <w:tcW w:w="277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4B7094" w14:textId="4DD6579A" w:rsidR="006D65AB" w:rsidRDefault="0070318F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27.71</w:t>
            </w:r>
          </w:p>
        </w:tc>
        <w:tc>
          <w:tcPr>
            <w:tcW w:w="263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2A8F25" w14:textId="3F692CED" w:rsidR="006D65AB" w:rsidRDefault="0070318F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24.57</w:t>
            </w:r>
          </w:p>
        </w:tc>
        <w:tc>
          <w:tcPr>
            <w:tcW w:w="263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24CD1" w14:textId="7865BEA5" w:rsidR="006D65AB" w:rsidRDefault="0070318F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27.26</w:t>
            </w:r>
          </w:p>
        </w:tc>
      </w:tr>
      <w:tr w:rsidR="0070318F" w:rsidRPr="00FD5D7E" w14:paraId="4D91F8F7" w14:textId="77777777" w:rsidTr="00617D11">
        <w:trPr>
          <w:trHeight w:val="381"/>
        </w:trPr>
        <w:tc>
          <w:tcPr>
            <w:tcW w:w="1331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24E26C3" w14:textId="225498A3" w:rsidR="0070318F" w:rsidRDefault="00617D11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Case-Mix Adjusted by APR DRG Avg LOS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B31F85B" w14:textId="22F35832" w:rsidR="0070318F" w:rsidRDefault="00D80688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27.71</w:t>
            </w:r>
          </w:p>
        </w:tc>
        <w:tc>
          <w:tcPr>
            <w:tcW w:w="2637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07119C18" w14:textId="4E7A438F" w:rsidR="0070318F" w:rsidRDefault="00D80688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25.</w:t>
            </w:r>
            <w:r w:rsidR="00807840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2639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99E00D0" w14:textId="3BE14C34" w:rsidR="0070318F" w:rsidRDefault="00D80688" w:rsidP="00A053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29.06</w:t>
            </w:r>
          </w:p>
        </w:tc>
      </w:tr>
    </w:tbl>
    <w:p w14:paraId="49939908" w14:textId="2E116B6D" w:rsidR="006D65AB" w:rsidRDefault="006D65AB"/>
    <w:p w14:paraId="6D530EA9" w14:textId="3D13772F" w:rsidR="00871E3C" w:rsidRDefault="00F86935">
      <w:r>
        <w:t xml:space="preserve">Finally, </w:t>
      </w:r>
      <w:r w:rsidR="002E7CEF">
        <w:t>one last data that we compared is the case count for each birth weight range</w:t>
      </w:r>
      <w:r w:rsidR="0032029E">
        <w:t xml:space="preserve">. </w:t>
      </w:r>
      <w:r w:rsidR="00E57263">
        <w:t>Table</w:t>
      </w:r>
      <w:r w:rsidR="0032029E">
        <w:t xml:space="preserve"> 9 shows that the </w:t>
      </w:r>
      <w:r w:rsidR="0037676E">
        <w:t xml:space="preserve">birth weight </w:t>
      </w:r>
      <w:r w:rsidR="0032029E">
        <w:t xml:space="preserve">range of </w:t>
      </w:r>
      <w:r w:rsidR="009E59BE">
        <w:t>“</w:t>
      </w:r>
      <w:r w:rsidR="0032029E">
        <w:t>&gt;2499 grams</w:t>
      </w:r>
      <w:r w:rsidR="009E59BE">
        <w:t>”</w:t>
      </w:r>
      <w:r w:rsidR="0037676E">
        <w:t xml:space="preserve"> has the highest case count with a value of 5,811 cases, while the weight range of </w:t>
      </w:r>
      <w:r w:rsidR="009E59BE">
        <w:t>“</w:t>
      </w:r>
      <w:r w:rsidR="0037676E">
        <w:t>&lt;749 grams</w:t>
      </w:r>
      <w:r w:rsidR="00157A6B">
        <w:t>”</w:t>
      </w:r>
      <w:r w:rsidR="0037676E">
        <w:t xml:space="preserve"> has the lowest value of </w:t>
      </w:r>
      <w:r w:rsidR="00494A25">
        <w:t>606 cases.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173"/>
        <w:gridCol w:w="6187"/>
      </w:tblGrid>
      <w:tr w:rsidR="00157A6B" w:rsidRPr="00494A25" w14:paraId="7FB078F2" w14:textId="77777777" w:rsidTr="00157A6B">
        <w:trPr>
          <w:trHeight w:val="249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000000" w:fill="DDEBF7"/>
            <w:vAlign w:val="center"/>
          </w:tcPr>
          <w:p w14:paraId="21136257" w14:textId="273445DF" w:rsidR="00157A6B" w:rsidRPr="00494A25" w:rsidRDefault="00157A6B" w:rsidP="00157A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 9</w:t>
            </w:r>
          </w:p>
        </w:tc>
      </w:tr>
      <w:tr w:rsidR="00157A6B" w:rsidRPr="00494A25" w14:paraId="5D916417" w14:textId="77777777" w:rsidTr="00157A6B">
        <w:trPr>
          <w:trHeight w:val="249"/>
        </w:trPr>
        <w:tc>
          <w:tcPr>
            <w:tcW w:w="3173" w:type="dxa"/>
            <w:tcBorders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42CCD4F" w14:textId="0647F463" w:rsidR="00157A6B" w:rsidRPr="001C22C1" w:rsidRDefault="001C22C1" w:rsidP="00157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22C1">
              <w:rPr>
                <w:rFonts w:ascii="Arial" w:eastAsia="Times New Roman" w:hAnsi="Arial" w:cs="Arial"/>
                <w:sz w:val="20"/>
                <w:szCs w:val="20"/>
              </w:rPr>
              <w:t>Birth Weight Range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(in grams)</w:t>
            </w:r>
          </w:p>
        </w:tc>
        <w:tc>
          <w:tcPr>
            <w:tcW w:w="6187" w:type="dxa"/>
            <w:tcBorders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1CD7D9" w14:textId="30CC9996" w:rsidR="00157A6B" w:rsidRPr="00494A25" w:rsidRDefault="00157A6B" w:rsidP="00157A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4A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Case Count by Range</w:t>
            </w:r>
          </w:p>
        </w:tc>
      </w:tr>
      <w:tr w:rsidR="001C22C1" w:rsidRPr="00494A25" w14:paraId="47FDF069" w14:textId="77777777" w:rsidTr="00237B67">
        <w:trPr>
          <w:trHeight w:val="249"/>
        </w:trPr>
        <w:tc>
          <w:tcPr>
            <w:tcW w:w="3173" w:type="dxa"/>
            <w:tcBorders>
              <w:top w:val="single" w:sz="4" w:space="0" w:color="auto"/>
              <w:bottom w:val="nil"/>
            </w:tcBorders>
            <w:shd w:val="clear" w:color="000000" w:fill="E7E6E6"/>
            <w:vAlign w:val="bottom"/>
          </w:tcPr>
          <w:p w14:paraId="69055C16" w14:textId="657C9734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&lt;750</w:t>
            </w:r>
          </w:p>
        </w:tc>
        <w:tc>
          <w:tcPr>
            <w:tcW w:w="6187" w:type="dxa"/>
            <w:tcBorders>
              <w:top w:val="single" w:sz="4" w:space="0" w:color="auto"/>
              <w:bottom w:val="nil"/>
            </w:tcBorders>
            <w:shd w:val="clear" w:color="000000" w:fill="E7E6E6"/>
            <w:noWrap/>
            <w:vAlign w:val="center"/>
          </w:tcPr>
          <w:p w14:paraId="2DB9B267" w14:textId="77C1941B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A25">
              <w:rPr>
                <w:rFonts w:ascii="Arial" w:eastAsia="Times New Roman" w:hAnsi="Arial" w:cs="Arial"/>
                <w:sz w:val="20"/>
                <w:szCs w:val="20"/>
              </w:rPr>
              <w:t>606</w:t>
            </w:r>
          </w:p>
        </w:tc>
      </w:tr>
      <w:tr w:rsidR="001C22C1" w:rsidRPr="00494A25" w14:paraId="429A8DD9" w14:textId="77777777" w:rsidTr="00157A6B">
        <w:trPr>
          <w:trHeight w:val="249"/>
        </w:trPr>
        <w:tc>
          <w:tcPr>
            <w:tcW w:w="3173" w:type="dxa"/>
            <w:tcBorders>
              <w:top w:val="nil"/>
              <w:bottom w:val="nil"/>
            </w:tcBorders>
            <w:vAlign w:val="bottom"/>
          </w:tcPr>
          <w:p w14:paraId="784AD2B1" w14:textId="585BD76D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750 - 999</w:t>
            </w:r>
          </w:p>
        </w:tc>
        <w:tc>
          <w:tcPr>
            <w:tcW w:w="61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FCC18F" w14:textId="5664681B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A25">
              <w:rPr>
                <w:rFonts w:ascii="Arial" w:eastAsia="Times New Roman" w:hAnsi="Arial" w:cs="Arial"/>
                <w:sz w:val="20"/>
                <w:szCs w:val="20"/>
              </w:rPr>
              <w:t>1,106</w:t>
            </w:r>
          </w:p>
        </w:tc>
      </w:tr>
      <w:tr w:rsidR="001C22C1" w:rsidRPr="00494A25" w14:paraId="50EA5D6E" w14:textId="77777777" w:rsidTr="00157A6B">
        <w:trPr>
          <w:trHeight w:val="249"/>
        </w:trPr>
        <w:tc>
          <w:tcPr>
            <w:tcW w:w="3173" w:type="dxa"/>
            <w:tcBorders>
              <w:top w:val="nil"/>
              <w:bottom w:val="nil"/>
            </w:tcBorders>
            <w:shd w:val="clear" w:color="000000" w:fill="E7E6E6"/>
            <w:vAlign w:val="bottom"/>
          </w:tcPr>
          <w:p w14:paraId="0FFEF651" w14:textId="64FAC925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1000 - 1249</w:t>
            </w:r>
          </w:p>
        </w:tc>
        <w:tc>
          <w:tcPr>
            <w:tcW w:w="6187" w:type="dxa"/>
            <w:tcBorders>
              <w:top w:val="nil"/>
              <w:bottom w:val="nil"/>
            </w:tcBorders>
            <w:shd w:val="clear" w:color="000000" w:fill="E7E6E6"/>
            <w:noWrap/>
            <w:vAlign w:val="center"/>
          </w:tcPr>
          <w:p w14:paraId="3E40A442" w14:textId="04037B85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A25">
              <w:rPr>
                <w:rFonts w:ascii="Arial" w:eastAsia="Times New Roman" w:hAnsi="Arial" w:cs="Arial"/>
                <w:sz w:val="20"/>
                <w:szCs w:val="20"/>
              </w:rPr>
              <w:t>1,396</w:t>
            </w:r>
          </w:p>
        </w:tc>
      </w:tr>
      <w:tr w:rsidR="001C22C1" w:rsidRPr="00494A25" w14:paraId="40C73406" w14:textId="77777777" w:rsidTr="00157A6B">
        <w:trPr>
          <w:trHeight w:val="249"/>
        </w:trPr>
        <w:tc>
          <w:tcPr>
            <w:tcW w:w="3173" w:type="dxa"/>
            <w:tcBorders>
              <w:top w:val="nil"/>
              <w:bottom w:val="nil"/>
            </w:tcBorders>
            <w:vAlign w:val="bottom"/>
          </w:tcPr>
          <w:p w14:paraId="398B74F6" w14:textId="14A64016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1250 - 1499</w:t>
            </w:r>
          </w:p>
        </w:tc>
        <w:tc>
          <w:tcPr>
            <w:tcW w:w="61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A0F1C8D" w14:textId="48F54A42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A25">
              <w:rPr>
                <w:rFonts w:ascii="Arial" w:eastAsia="Times New Roman" w:hAnsi="Arial" w:cs="Arial"/>
                <w:sz w:val="20"/>
                <w:szCs w:val="20"/>
              </w:rPr>
              <w:t>1,858</w:t>
            </w:r>
          </w:p>
        </w:tc>
      </w:tr>
      <w:tr w:rsidR="001C22C1" w:rsidRPr="00494A25" w14:paraId="348E9786" w14:textId="77777777" w:rsidTr="00157A6B">
        <w:trPr>
          <w:trHeight w:val="249"/>
        </w:trPr>
        <w:tc>
          <w:tcPr>
            <w:tcW w:w="3173" w:type="dxa"/>
            <w:tcBorders>
              <w:top w:val="nil"/>
              <w:bottom w:val="nil"/>
            </w:tcBorders>
            <w:shd w:val="clear" w:color="000000" w:fill="E7E6E6"/>
            <w:vAlign w:val="bottom"/>
          </w:tcPr>
          <w:p w14:paraId="0479C732" w14:textId="052E9DA6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1500 - 1999</w:t>
            </w:r>
          </w:p>
        </w:tc>
        <w:tc>
          <w:tcPr>
            <w:tcW w:w="6187" w:type="dxa"/>
            <w:tcBorders>
              <w:top w:val="nil"/>
              <w:bottom w:val="nil"/>
            </w:tcBorders>
            <w:shd w:val="clear" w:color="000000" w:fill="E7E6E6"/>
            <w:noWrap/>
            <w:vAlign w:val="center"/>
          </w:tcPr>
          <w:p w14:paraId="3523AC1D" w14:textId="68628A59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A25">
              <w:rPr>
                <w:rFonts w:ascii="Arial" w:eastAsia="Times New Roman" w:hAnsi="Arial" w:cs="Arial"/>
                <w:sz w:val="20"/>
                <w:szCs w:val="20"/>
              </w:rPr>
              <w:t>5,792</w:t>
            </w:r>
          </w:p>
        </w:tc>
      </w:tr>
      <w:tr w:rsidR="001C22C1" w:rsidRPr="00494A25" w14:paraId="08542D9A" w14:textId="77777777" w:rsidTr="00157A6B">
        <w:trPr>
          <w:trHeight w:val="249"/>
        </w:trPr>
        <w:tc>
          <w:tcPr>
            <w:tcW w:w="3173" w:type="dxa"/>
            <w:tcBorders>
              <w:top w:val="nil"/>
              <w:bottom w:val="nil"/>
            </w:tcBorders>
            <w:vAlign w:val="bottom"/>
          </w:tcPr>
          <w:p w14:paraId="691F045E" w14:textId="27625625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2000 - 2499</w:t>
            </w:r>
          </w:p>
        </w:tc>
        <w:tc>
          <w:tcPr>
            <w:tcW w:w="61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57B1FD" w14:textId="028F8CCE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A25">
              <w:rPr>
                <w:rFonts w:ascii="Arial" w:eastAsia="Times New Roman" w:hAnsi="Arial" w:cs="Arial"/>
                <w:sz w:val="20"/>
                <w:szCs w:val="20"/>
              </w:rPr>
              <w:t>5,460</w:t>
            </w:r>
          </w:p>
        </w:tc>
      </w:tr>
      <w:tr w:rsidR="001C22C1" w:rsidRPr="00494A25" w14:paraId="0758B388" w14:textId="77777777" w:rsidTr="00157A6B">
        <w:trPr>
          <w:trHeight w:val="249"/>
        </w:trPr>
        <w:tc>
          <w:tcPr>
            <w:tcW w:w="3173" w:type="dxa"/>
            <w:tcBorders>
              <w:top w:val="nil"/>
              <w:bottom w:val="nil"/>
            </w:tcBorders>
            <w:shd w:val="clear" w:color="000000" w:fill="E7E6E6"/>
            <w:vAlign w:val="bottom"/>
          </w:tcPr>
          <w:p w14:paraId="3EF57C18" w14:textId="581979A0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D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&gt;2499</w:t>
            </w:r>
          </w:p>
        </w:tc>
        <w:tc>
          <w:tcPr>
            <w:tcW w:w="6187" w:type="dxa"/>
            <w:tcBorders>
              <w:top w:val="nil"/>
              <w:bottom w:val="nil"/>
            </w:tcBorders>
            <w:shd w:val="clear" w:color="000000" w:fill="E7E6E6"/>
            <w:noWrap/>
            <w:vAlign w:val="center"/>
          </w:tcPr>
          <w:p w14:paraId="206615A2" w14:textId="645BD135" w:rsidR="001C22C1" w:rsidRPr="00494A25" w:rsidRDefault="001C22C1" w:rsidP="001C22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4A25">
              <w:rPr>
                <w:rFonts w:ascii="Arial" w:eastAsia="Times New Roman" w:hAnsi="Arial" w:cs="Arial"/>
                <w:sz w:val="20"/>
                <w:szCs w:val="20"/>
              </w:rPr>
              <w:t>5,811</w:t>
            </w:r>
          </w:p>
        </w:tc>
      </w:tr>
    </w:tbl>
    <w:p w14:paraId="780A15CD" w14:textId="77777777" w:rsidR="00300899" w:rsidRDefault="00300899">
      <w:pPr>
        <w:rPr>
          <w:b/>
          <w:bCs/>
          <w:sz w:val="36"/>
          <w:szCs w:val="36"/>
        </w:rPr>
      </w:pPr>
    </w:p>
    <w:p w14:paraId="582FEA41" w14:textId="4F3D26E6" w:rsidR="00AA0B92" w:rsidRDefault="00AA0B92">
      <w:pPr>
        <w:rPr>
          <w:b/>
          <w:bCs/>
          <w:sz w:val="36"/>
          <w:szCs w:val="36"/>
        </w:rPr>
      </w:pPr>
      <w:r w:rsidRPr="00AA0B92">
        <w:rPr>
          <w:b/>
          <w:bCs/>
          <w:sz w:val="36"/>
          <w:szCs w:val="36"/>
        </w:rPr>
        <w:t>Data</w:t>
      </w:r>
    </w:p>
    <w:p w14:paraId="640BA52B" w14:textId="7FD8F376" w:rsidR="00FE2E75" w:rsidRDefault="00DA1EE0" w:rsidP="00F4794A">
      <w:r>
        <w:t xml:space="preserve">The data that we were provided with came in with </w:t>
      </w:r>
      <w:r w:rsidR="008551FC">
        <w:t>5 variables</w:t>
      </w:r>
      <w:r w:rsidR="00B26D0E">
        <w:t xml:space="preserve"> </w:t>
      </w:r>
      <w:r w:rsidR="00461543">
        <w:t>and</w:t>
      </w:r>
      <w:r w:rsidR="00701560">
        <w:t xml:space="preserve"> a total</w:t>
      </w:r>
      <w:r w:rsidR="00E808CE">
        <w:t xml:space="preserve"> of 22,029</w:t>
      </w:r>
      <w:r w:rsidR="00B26D0E">
        <w:t xml:space="preserve"> cases</w:t>
      </w:r>
      <w:r w:rsidR="00E808CE">
        <w:t xml:space="preserve">. </w:t>
      </w:r>
      <w:r w:rsidR="008551FC">
        <w:t>As a disc</w:t>
      </w:r>
      <w:r w:rsidR="000F070B">
        <w:t xml:space="preserve">laimer, </w:t>
      </w:r>
      <w:r w:rsidR="0004101A">
        <w:t>3 cases</w:t>
      </w:r>
      <w:r w:rsidR="000F070B">
        <w:t xml:space="preserve"> </w:t>
      </w:r>
      <w:r w:rsidR="00701560">
        <w:t>do not hav</w:t>
      </w:r>
      <w:r w:rsidR="00893E91">
        <w:t>e what</w:t>
      </w:r>
      <w:r w:rsidR="000F070B">
        <w:t xml:space="preserve"> APR DRG</w:t>
      </w:r>
      <w:r w:rsidR="00893E91">
        <w:t xml:space="preserve"> is assigned to them, so</w:t>
      </w:r>
      <w:r w:rsidR="00B96740">
        <w:t xml:space="preserve"> </w:t>
      </w:r>
      <w:r w:rsidR="00893E91">
        <w:t>w</w:t>
      </w:r>
      <w:r w:rsidR="001B3C67">
        <w:t>e</w:t>
      </w:r>
      <w:r w:rsidR="00E95181">
        <w:t xml:space="preserve"> have decided to exclude </w:t>
      </w:r>
      <w:r w:rsidR="001B3C67">
        <w:t>these 3 cases</w:t>
      </w:r>
      <w:r w:rsidR="00E95181">
        <w:t xml:space="preserve"> from our analysis. Below is a </w:t>
      </w:r>
      <w:r w:rsidR="00E57263">
        <w:t>Table</w:t>
      </w:r>
      <w:r w:rsidR="00E95181">
        <w:t xml:space="preserve"> </w:t>
      </w:r>
      <w:r w:rsidR="00FE2E75">
        <w:t>of the variables that are used, as well as their respective values</w:t>
      </w:r>
      <w:r w:rsidR="00336C5A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6840"/>
      </w:tblGrid>
      <w:tr w:rsidR="0039631D" w14:paraId="2ECBC8B9" w14:textId="77777777" w:rsidTr="0039631D"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vAlign w:val="center"/>
          </w:tcPr>
          <w:p w14:paraId="2B8BD735" w14:textId="27759F03" w:rsidR="0039631D" w:rsidRPr="009340A2" w:rsidRDefault="00E57263" w:rsidP="003963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  <w:r w:rsidR="0039631D">
              <w:rPr>
                <w:b/>
                <w:bCs/>
              </w:rPr>
              <w:t xml:space="preserve"> 10</w:t>
            </w:r>
          </w:p>
        </w:tc>
      </w:tr>
      <w:tr w:rsidR="00F4794A" w14:paraId="132CAB82" w14:textId="77777777" w:rsidTr="0039631D">
        <w:tc>
          <w:tcPr>
            <w:tcW w:w="1615" w:type="dxa"/>
            <w:tcBorders>
              <w:top w:val="nil"/>
              <w:left w:val="nil"/>
            </w:tcBorders>
          </w:tcPr>
          <w:p w14:paraId="769FFDE8" w14:textId="77777777" w:rsidR="00F4794A" w:rsidRPr="009340A2" w:rsidRDefault="00F4794A" w:rsidP="001D4A56">
            <w:pPr>
              <w:rPr>
                <w:b/>
                <w:bCs/>
              </w:rPr>
            </w:pPr>
            <w:r w:rsidRPr="009340A2">
              <w:rPr>
                <w:b/>
                <w:bCs/>
              </w:rPr>
              <w:t>Variable</w:t>
            </w:r>
          </w:p>
        </w:tc>
        <w:tc>
          <w:tcPr>
            <w:tcW w:w="6840" w:type="dxa"/>
            <w:tcBorders>
              <w:top w:val="nil"/>
              <w:right w:val="nil"/>
            </w:tcBorders>
          </w:tcPr>
          <w:p w14:paraId="72DC9428" w14:textId="77777777" w:rsidR="00F4794A" w:rsidRPr="009340A2" w:rsidRDefault="00F4794A" w:rsidP="001D4A56">
            <w:pPr>
              <w:rPr>
                <w:b/>
                <w:bCs/>
              </w:rPr>
            </w:pPr>
            <w:r w:rsidRPr="009340A2">
              <w:rPr>
                <w:b/>
                <w:bCs/>
              </w:rPr>
              <w:t>Value</w:t>
            </w:r>
          </w:p>
        </w:tc>
      </w:tr>
      <w:tr w:rsidR="00F4794A" w14:paraId="6F01344D" w14:textId="77777777" w:rsidTr="00760F0E">
        <w:tc>
          <w:tcPr>
            <w:tcW w:w="1615" w:type="dxa"/>
            <w:tcBorders>
              <w:left w:val="nil"/>
            </w:tcBorders>
            <w:shd w:val="clear" w:color="auto" w:fill="EDEDED" w:themeFill="accent3" w:themeFillTint="33"/>
          </w:tcPr>
          <w:p w14:paraId="33BC6023" w14:textId="77777777" w:rsidR="00F4794A" w:rsidRDefault="00F4794A" w:rsidP="001D4A56">
            <w:r>
              <w:t>Source of Data:</w:t>
            </w:r>
          </w:p>
        </w:tc>
        <w:tc>
          <w:tcPr>
            <w:tcW w:w="6840" w:type="dxa"/>
            <w:tcBorders>
              <w:right w:val="nil"/>
            </w:tcBorders>
            <w:shd w:val="clear" w:color="auto" w:fill="EDEDED" w:themeFill="accent3" w:themeFillTint="33"/>
          </w:tcPr>
          <w:p w14:paraId="5CC0E43F" w14:textId="77777777" w:rsidR="00F4794A" w:rsidRDefault="00F4794A" w:rsidP="001D4A56">
            <w:r>
              <w:t>MANAGED, UNMANAGED, NPIC</w:t>
            </w:r>
          </w:p>
        </w:tc>
      </w:tr>
      <w:tr w:rsidR="00F4794A" w14:paraId="22621F60" w14:textId="77777777" w:rsidTr="0039631D">
        <w:tc>
          <w:tcPr>
            <w:tcW w:w="1615" w:type="dxa"/>
            <w:tcBorders>
              <w:left w:val="nil"/>
            </w:tcBorders>
          </w:tcPr>
          <w:p w14:paraId="1C407200" w14:textId="77777777" w:rsidR="00F4794A" w:rsidRDefault="00F4794A" w:rsidP="001D4A56">
            <w:r>
              <w:t>Length of Stay:</w:t>
            </w:r>
          </w:p>
        </w:tc>
        <w:tc>
          <w:tcPr>
            <w:tcW w:w="6840" w:type="dxa"/>
            <w:tcBorders>
              <w:right w:val="nil"/>
            </w:tcBorders>
          </w:tcPr>
          <w:p w14:paraId="6F621F92" w14:textId="77777777" w:rsidR="00F4794A" w:rsidRDefault="00F4794A" w:rsidP="001D4A56">
            <w:r>
              <w:t>7 – 200 days</w:t>
            </w:r>
          </w:p>
        </w:tc>
      </w:tr>
      <w:tr w:rsidR="00F4794A" w14:paraId="7BAED769" w14:textId="77777777" w:rsidTr="00760F0E">
        <w:tc>
          <w:tcPr>
            <w:tcW w:w="1615" w:type="dxa"/>
            <w:tcBorders>
              <w:left w:val="nil"/>
            </w:tcBorders>
            <w:shd w:val="clear" w:color="auto" w:fill="EDEDED" w:themeFill="accent3" w:themeFillTint="33"/>
          </w:tcPr>
          <w:p w14:paraId="295A58C1" w14:textId="77777777" w:rsidR="00F4794A" w:rsidRDefault="00F4794A" w:rsidP="001D4A56">
            <w:r>
              <w:t>Birth Weight:</w:t>
            </w:r>
          </w:p>
        </w:tc>
        <w:tc>
          <w:tcPr>
            <w:tcW w:w="6840" w:type="dxa"/>
            <w:tcBorders>
              <w:right w:val="nil"/>
            </w:tcBorders>
            <w:shd w:val="clear" w:color="auto" w:fill="EDEDED" w:themeFill="accent3" w:themeFillTint="33"/>
          </w:tcPr>
          <w:p w14:paraId="0A0BA468" w14:textId="77777777" w:rsidR="00F4794A" w:rsidRDefault="00F4794A" w:rsidP="001D4A56">
            <w:r>
              <w:t>6 – 9999 grams</w:t>
            </w:r>
          </w:p>
        </w:tc>
      </w:tr>
      <w:tr w:rsidR="00F4794A" w14:paraId="5198AE26" w14:textId="77777777" w:rsidTr="0039631D">
        <w:tc>
          <w:tcPr>
            <w:tcW w:w="1615" w:type="dxa"/>
            <w:tcBorders>
              <w:left w:val="nil"/>
            </w:tcBorders>
          </w:tcPr>
          <w:p w14:paraId="7D8AC8BB" w14:textId="77777777" w:rsidR="00F4794A" w:rsidRDefault="00F4794A" w:rsidP="001D4A56">
            <w:r>
              <w:t>Case Year:</w:t>
            </w:r>
          </w:p>
        </w:tc>
        <w:tc>
          <w:tcPr>
            <w:tcW w:w="6840" w:type="dxa"/>
            <w:tcBorders>
              <w:right w:val="nil"/>
            </w:tcBorders>
          </w:tcPr>
          <w:p w14:paraId="5043BC39" w14:textId="77777777" w:rsidR="00F4794A" w:rsidRDefault="00F4794A" w:rsidP="001D4A56">
            <w:r>
              <w:t>2014, 2015</w:t>
            </w:r>
          </w:p>
        </w:tc>
      </w:tr>
      <w:tr w:rsidR="00F4794A" w14:paraId="61F007D8" w14:textId="77777777" w:rsidTr="00760F0E">
        <w:trPr>
          <w:trHeight w:val="1097"/>
        </w:trPr>
        <w:tc>
          <w:tcPr>
            <w:tcW w:w="1615" w:type="dxa"/>
            <w:tcBorders>
              <w:left w:val="nil"/>
            </w:tcBorders>
            <w:shd w:val="clear" w:color="auto" w:fill="EDEDED" w:themeFill="accent3" w:themeFillTint="33"/>
          </w:tcPr>
          <w:p w14:paraId="695DC0AB" w14:textId="77777777" w:rsidR="00F4794A" w:rsidRDefault="00F4794A" w:rsidP="001D4A56">
            <w:r>
              <w:t>APR DRG:</w:t>
            </w:r>
          </w:p>
        </w:tc>
        <w:tc>
          <w:tcPr>
            <w:tcW w:w="6840" w:type="dxa"/>
            <w:tcBorders>
              <w:right w:val="nil"/>
            </w:tcBorders>
            <w:shd w:val="clear" w:color="auto" w:fill="EDEDED" w:themeFill="accent3" w:themeFillTint="33"/>
          </w:tcPr>
          <w:p w14:paraId="4CB54A4B" w14:textId="77777777" w:rsidR="00F4794A" w:rsidRDefault="00F4794A" w:rsidP="001D4A56">
            <w:r w:rsidRPr="00602D2C">
              <w:t>004, 021, 044, 058, 115, 120, 121, 132, 137, 138, 143, 167, 169, 173, 197, 200, 221, 246, 248, 254, 283, 421, 425, 484, 588, 589, 591, 593, 602, 603, 607, 608, 609, 611, 612, 613, 614, 621, 622, 623, 625, 626, 630, 631, 633, 634, 636, 639, 640, 663, 690, 710, 722, 724, 850, 861, 863, 950, 952</w:t>
            </w:r>
          </w:p>
        </w:tc>
      </w:tr>
    </w:tbl>
    <w:p w14:paraId="4206D5C6" w14:textId="2A59112F" w:rsidR="00336C5A" w:rsidRDefault="00336C5A" w:rsidP="00336C5A">
      <w:r>
        <w:lastRenderedPageBreak/>
        <w:t xml:space="preserve">The APR DRG stands for </w:t>
      </w:r>
      <w:r>
        <w:rPr>
          <w:i/>
          <w:iCs/>
        </w:rPr>
        <w:t>All Patient Refined Diagnosis Related Groups</w:t>
      </w:r>
      <w:r>
        <w:t>, which in this case is a categorical variable with values ranging from 001 to 956</w:t>
      </w:r>
      <w:r w:rsidR="0039631D">
        <w:t xml:space="preserve"> as shown above in </w:t>
      </w:r>
      <w:r w:rsidR="00E57263">
        <w:t>Table</w:t>
      </w:r>
      <w:r w:rsidR="0039631D">
        <w:t xml:space="preserve"> 10</w:t>
      </w:r>
      <w:r>
        <w:t>. For further information regarding APR DRG, please refer to the file</w:t>
      </w:r>
      <w:r>
        <w:rPr>
          <w:i/>
          <w:iCs/>
        </w:rPr>
        <w:t xml:space="preserve"> </w:t>
      </w:r>
      <w:r w:rsidRPr="00D32C47">
        <w:rPr>
          <w:i/>
          <w:iCs/>
        </w:rPr>
        <w:t>APR-DRGsV20MethodologyOverviewandBibliography.pdf</w:t>
      </w:r>
      <w:r>
        <w:t>.</w:t>
      </w:r>
    </w:p>
    <w:p w14:paraId="63C230E9" w14:textId="25757877" w:rsidR="00B74DE4" w:rsidRPr="009A12D5" w:rsidRDefault="009167CC" w:rsidP="00336C5A">
      <w:r>
        <w:t xml:space="preserve">One </w:t>
      </w:r>
      <w:r w:rsidR="00066153">
        <w:t xml:space="preserve">issue </w:t>
      </w:r>
      <w:r w:rsidR="005811DF">
        <w:t>with the data is that the NPIC cases ha</w:t>
      </w:r>
      <w:r w:rsidR="00B96740">
        <w:t>ve</w:t>
      </w:r>
      <w:r w:rsidR="005811DF">
        <w:t xml:space="preserve"> more </w:t>
      </w:r>
      <w:r w:rsidR="00164FC5">
        <w:t>types of APR DRG handled compared to the MANAGED and UNMANAGED cases</w:t>
      </w:r>
      <w:r w:rsidR="00184E9D">
        <w:t>, with both MANAGED and UNMANAGED having the same APR DRGs</w:t>
      </w:r>
      <w:r w:rsidR="005F565D">
        <w:t xml:space="preserve">. On top of that, </w:t>
      </w:r>
      <w:r w:rsidR="00C01CCB">
        <w:t xml:space="preserve">the case count of the NPIC </w:t>
      </w:r>
      <w:r w:rsidR="000F15AF">
        <w:t xml:space="preserve">cases </w:t>
      </w:r>
      <w:r w:rsidR="00C01CCB">
        <w:t>seems to be much higher than the MANAGED and UNMANAGED cases</w:t>
      </w:r>
      <w:r w:rsidR="000F15AF">
        <w:t xml:space="preserve">, with </w:t>
      </w:r>
      <w:r w:rsidR="00EB6E83">
        <w:t>18,641 NPIC cases compared to 1,774</w:t>
      </w:r>
      <w:r w:rsidR="00DC5F7F">
        <w:t xml:space="preserve"> MANAGED cases and 1,614 UNMANAGED cases.</w:t>
      </w:r>
      <w:r w:rsidR="009A12D5">
        <w:t xml:space="preserve"> However, this issue, along with the different distribution of each APR DRG for each data source, will not be a</w:t>
      </w:r>
      <w:r w:rsidR="00FB1E65">
        <w:t xml:space="preserve"> problem</w:t>
      </w:r>
      <w:r w:rsidR="009A12D5">
        <w:t xml:space="preserve"> </w:t>
      </w:r>
      <w:r w:rsidR="005951C2">
        <w:t>when comparing the data using their Case-Mix Adjusted Average, since</w:t>
      </w:r>
      <w:r w:rsidR="001E3EE0">
        <w:t xml:space="preserve"> </w:t>
      </w:r>
      <w:r w:rsidR="00B96740">
        <w:t xml:space="preserve">we </w:t>
      </w:r>
      <w:r w:rsidR="001E3EE0">
        <w:t>compensate</w:t>
      </w:r>
      <w:r w:rsidR="00B96740">
        <w:t>d</w:t>
      </w:r>
      <w:r w:rsidR="001E3EE0">
        <w:t xml:space="preserve"> </w:t>
      </w:r>
      <w:r w:rsidR="00B96740">
        <w:t xml:space="preserve">for </w:t>
      </w:r>
      <w:r w:rsidR="001E3EE0">
        <w:t>th</w:t>
      </w:r>
      <w:r w:rsidR="00134F55">
        <w:t>is discrepancy by</w:t>
      </w:r>
      <w:r w:rsidR="005951C2">
        <w:t xml:space="preserve"> normaliz</w:t>
      </w:r>
      <w:r w:rsidR="00134F55">
        <w:t xml:space="preserve">ing the </w:t>
      </w:r>
      <w:r w:rsidR="009F7D07">
        <w:t>UNMANAGED and NPIC case distribution</w:t>
      </w:r>
      <w:r w:rsidR="00707F4C">
        <w:t xml:space="preserve"> using MANAGED cases’ distribution as a reference</w:t>
      </w:r>
      <w:r w:rsidR="007B3034">
        <w:t>, which is further explained in the Metho</w:t>
      </w:r>
      <w:r w:rsidR="00B26D0E">
        <w:t>dolog</w:t>
      </w:r>
      <w:r w:rsidR="007B3034">
        <w:t>y section.</w:t>
      </w:r>
    </w:p>
    <w:p w14:paraId="3FA1DF58" w14:textId="0249267F" w:rsidR="00AA0B92" w:rsidRDefault="00AA0B92">
      <w:pPr>
        <w:rPr>
          <w:b/>
          <w:bCs/>
          <w:sz w:val="36"/>
          <w:szCs w:val="36"/>
        </w:rPr>
      </w:pPr>
      <w:r w:rsidRPr="00AA0B92">
        <w:rPr>
          <w:b/>
          <w:bCs/>
          <w:sz w:val="36"/>
          <w:szCs w:val="36"/>
        </w:rPr>
        <w:t>Methodology</w:t>
      </w:r>
    </w:p>
    <w:p w14:paraId="6D9E3ED6" w14:textId="27D4FDCB" w:rsidR="0078510F" w:rsidRDefault="00C05D9F">
      <w:r>
        <w:t xml:space="preserve">The data is directly provided to </w:t>
      </w:r>
      <w:r w:rsidR="003354FA">
        <w:t>us;</w:t>
      </w:r>
      <w:r>
        <w:t xml:space="preserve"> </w:t>
      </w:r>
      <w:r w:rsidR="003354FA">
        <w:t>thus,</w:t>
      </w:r>
      <w:r>
        <w:t xml:space="preserve"> this section only covers how the data is processed, rather than how the data was obtained.</w:t>
      </w:r>
      <w:r w:rsidR="003354FA">
        <w:t xml:space="preserve"> </w:t>
      </w:r>
      <w:r w:rsidR="007460CA">
        <w:t xml:space="preserve">The data is </w:t>
      </w:r>
      <w:r w:rsidR="003354FA">
        <w:t xml:space="preserve">mainly </w:t>
      </w:r>
      <w:r w:rsidR="007460CA">
        <w:t>p</w:t>
      </w:r>
      <w:r w:rsidR="005A4200">
        <w:t xml:space="preserve">rocessed using </w:t>
      </w:r>
      <w:r w:rsidR="00016248">
        <w:t>conditional</w:t>
      </w:r>
      <w:r w:rsidR="00597118">
        <w:t xml:space="preserve"> arithmetic</w:t>
      </w:r>
      <w:r w:rsidR="005A4200">
        <w:t xml:space="preserve"> formulas such as COUNTIF</w:t>
      </w:r>
      <w:r w:rsidR="00081EA6">
        <w:t>(</w:t>
      </w:r>
      <w:r w:rsidR="005A4200">
        <w:t>S</w:t>
      </w:r>
      <w:r w:rsidR="00081EA6">
        <w:t>), AVERAGEIF(S),</w:t>
      </w:r>
      <w:r w:rsidR="006375B0">
        <w:t xml:space="preserve"> arithmetic formulas </w:t>
      </w:r>
      <w:r w:rsidR="00DC30F7">
        <w:t xml:space="preserve">such as </w:t>
      </w:r>
      <w:r w:rsidR="00103BEF">
        <w:t>SUMPRODUCT</w:t>
      </w:r>
      <w:r w:rsidR="00DC30F7">
        <w:t xml:space="preserve"> and SUM</w:t>
      </w:r>
      <w:r w:rsidR="00103BEF">
        <w:t>, as well as</w:t>
      </w:r>
      <w:r w:rsidR="00BE337D">
        <w:t xml:space="preserve"> data organization formulas such as UNIQUE and SORT. </w:t>
      </w:r>
      <w:r w:rsidR="00D025F2">
        <w:t>The</w:t>
      </w:r>
      <w:r w:rsidR="00265145">
        <w:t xml:space="preserve"> arithmetic formulas would perform </w:t>
      </w:r>
      <w:r w:rsidR="00B96740">
        <w:t xml:space="preserve">a </w:t>
      </w:r>
      <w:r w:rsidR="00265145">
        <w:t>normal calculation of a certain selected dataset, while the</w:t>
      </w:r>
      <w:r w:rsidR="00D025F2">
        <w:t xml:space="preserve"> conditional arithmetic formulas </w:t>
      </w:r>
      <w:r w:rsidR="00265145">
        <w:t xml:space="preserve">would </w:t>
      </w:r>
      <w:r w:rsidR="0079553E">
        <w:t xml:space="preserve">perform </w:t>
      </w:r>
      <w:r w:rsidR="00265145">
        <w:t>them</w:t>
      </w:r>
      <w:r w:rsidR="00332916">
        <w:t xml:space="preserve"> under a </w:t>
      </w:r>
      <w:r w:rsidR="00265145">
        <w:t xml:space="preserve">provided </w:t>
      </w:r>
      <w:r w:rsidR="00332916">
        <w:t>condition</w:t>
      </w:r>
      <w:r w:rsidR="00265145">
        <w:t>. Meanwhile,</w:t>
      </w:r>
      <w:r w:rsidR="00332916">
        <w:t xml:space="preserve"> </w:t>
      </w:r>
      <w:r w:rsidR="00265145">
        <w:t>the</w:t>
      </w:r>
      <w:r w:rsidR="00E763C2">
        <w:t xml:space="preserve"> data organization formulas, particularly UNIQUE and SORT, were used to obtain the unique values </w:t>
      </w:r>
      <w:r w:rsidR="00267174">
        <w:t>in a dataset as well as sort them accordingly.</w:t>
      </w:r>
    </w:p>
    <w:p w14:paraId="68083786" w14:textId="4D0D504D" w:rsidR="00071D4E" w:rsidRPr="00071D4E" w:rsidRDefault="00071D4E">
      <w:pPr>
        <w:rPr>
          <w:i/>
          <w:iCs/>
          <w:sz w:val="24"/>
          <w:szCs w:val="24"/>
          <w:u w:val="single"/>
        </w:rPr>
      </w:pPr>
      <w:r w:rsidRPr="00071D4E">
        <w:rPr>
          <w:i/>
          <w:iCs/>
          <w:sz w:val="24"/>
          <w:szCs w:val="24"/>
          <w:u w:val="single"/>
        </w:rPr>
        <w:t>Exhibit 1</w:t>
      </w:r>
    </w:p>
    <w:p w14:paraId="5D604A25" w14:textId="05AF3668" w:rsidR="009D2079" w:rsidRDefault="005A1CC5">
      <w:r>
        <w:t xml:space="preserve">The </w:t>
      </w:r>
      <w:r w:rsidR="00FA07DF">
        <w:t xml:space="preserve">first metric of Exhibit 1, the Average LOS </w:t>
      </w:r>
      <w:r w:rsidR="006E6393">
        <w:t xml:space="preserve">by APR DRG, </w:t>
      </w:r>
      <w:r w:rsidR="00FA07DF">
        <w:t xml:space="preserve">by Year, by Source, is calculated by taking the </w:t>
      </w:r>
      <w:r w:rsidR="008B3C01">
        <w:t>average</w:t>
      </w:r>
      <w:r w:rsidR="009E1642">
        <w:t xml:space="preserve"> of each LOS</w:t>
      </w:r>
      <w:r w:rsidR="0097367A">
        <w:t xml:space="preserve"> for a specific APR DRG </w:t>
      </w:r>
      <w:proofErr w:type="gramStart"/>
      <w:r w:rsidR="0097367A">
        <w:t>in a given year</w:t>
      </w:r>
      <w:proofErr w:type="gramEnd"/>
      <w:r w:rsidR="0097367A">
        <w:t xml:space="preserve"> from one of the </w:t>
      </w:r>
      <w:r w:rsidR="008B3C01">
        <w:t>data sources</w:t>
      </w:r>
      <w:r w:rsidR="00FA58B6">
        <w:t xml:space="preserve">. For example, </w:t>
      </w:r>
      <w:r w:rsidR="00B51B17">
        <w:t xml:space="preserve">the </w:t>
      </w:r>
      <w:r w:rsidR="00F90EA9">
        <w:t xml:space="preserve">MANAGED case has </w:t>
      </w:r>
      <w:r w:rsidR="0071408E">
        <w:t>six</w:t>
      </w:r>
      <w:r w:rsidR="001B56DC">
        <w:t xml:space="preserve"> </w:t>
      </w:r>
      <w:r w:rsidR="00B51B17">
        <w:t>APR DRG</w:t>
      </w:r>
      <w:r w:rsidR="00D15080">
        <w:t>s</w:t>
      </w:r>
      <w:r w:rsidR="00B51B17">
        <w:t xml:space="preserve"> of 603 </w:t>
      </w:r>
      <w:r w:rsidR="00F90EA9">
        <w:t>in the year 2014</w:t>
      </w:r>
      <w:r w:rsidR="001B56DC">
        <w:t>,</w:t>
      </w:r>
      <w:r w:rsidR="00732906">
        <w:t xml:space="preserve"> and each case has a value of 17, 26, 25, </w:t>
      </w:r>
      <w:r w:rsidR="00750C15">
        <w:t>32, 28, and 39; thus, the average of these</w:t>
      </w:r>
      <w:r w:rsidR="00452EF2">
        <w:t xml:space="preserve"> six APR DRGs in the year 2014 from the MANAGED cases is 27.83</w:t>
      </w:r>
      <w:r w:rsidR="009D2079">
        <w:t xml:space="preserve"> (refer to c</w:t>
      </w:r>
      <w:r w:rsidR="00C824E3">
        <w:t>ell</w:t>
      </w:r>
      <w:r w:rsidR="009D2079">
        <w:t xml:space="preserve"> D36 Exhibit 1).</w:t>
      </w:r>
    </w:p>
    <w:p w14:paraId="3135CA68" w14:textId="29F4B2BD" w:rsidR="00265145" w:rsidRDefault="001C203A">
      <w:r>
        <w:t xml:space="preserve">Similarly, the Average LOS by Year, by Source, </w:t>
      </w:r>
      <w:r w:rsidR="00BA45C7">
        <w:t xml:space="preserve">has the same calculation concept as that of the Average LOS by APR DRG, by Year, by Source, but the average is </w:t>
      </w:r>
      <w:r w:rsidR="00AE0579">
        <w:t>combined</w:t>
      </w:r>
      <w:r w:rsidR="00BA45C7">
        <w:t xml:space="preserve"> over all APR DRGs</w:t>
      </w:r>
      <w:r w:rsidR="00E77DC9">
        <w:t xml:space="preserve">. Lastly, the Average LOS by source </w:t>
      </w:r>
      <w:r w:rsidR="00466631">
        <w:t>also has the same concept as the two, more detailed, preceding averages</w:t>
      </w:r>
      <w:r w:rsidR="00496639">
        <w:t xml:space="preserve">, but for this one, the data is averaged over all APR DRGs and </w:t>
      </w:r>
      <w:r w:rsidR="00A02667">
        <w:t>year, for each data source.</w:t>
      </w:r>
    </w:p>
    <w:p w14:paraId="492F977F" w14:textId="2A978511" w:rsidR="001732DB" w:rsidRDefault="009B20D8">
      <w:r>
        <w:t>The Case-Mix Adjusted</w:t>
      </w:r>
      <w:r w:rsidR="00071D4E">
        <w:t xml:space="preserve"> (by APR DRG)</w:t>
      </w:r>
      <w:r>
        <w:t xml:space="preserve"> Average LOS by Source, however, is </w:t>
      </w:r>
      <w:r w:rsidR="00003338">
        <w:t>different</w:t>
      </w:r>
      <w:r>
        <w:t xml:space="preserve"> </w:t>
      </w:r>
      <w:r w:rsidR="002E6BAE">
        <w:t>from</w:t>
      </w:r>
      <w:r>
        <w:t xml:space="preserve"> the raw </w:t>
      </w:r>
      <w:r w:rsidR="00E64F07">
        <w:t xml:space="preserve">Average LOS by Source. </w:t>
      </w:r>
      <w:r w:rsidR="00D700B9">
        <w:t xml:space="preserve">Since </w:t>
      </w:r>
      <w:r w:rsidR="00323366">
        <w:t>the</w:t>
      </w:r>
      <w:r w:rsidR="00DE56F0">
        <w:t xml:space="preserve"> APR DRG</w:t>
      </w:r>
      <w:r w:rsidR="00751F9C">
        <w:t>s</w:t>
      </w:r>
      <w:r w:rsidR="00DE56F0">
        <w:t xml:space="preserve"> </w:t>
      </w:r>
      <w:r w:rsidR="00751F9C">
        <w:t xml:space="preserve">in each data source </w:t>
      </w:r>
      <w:r w:rsidR="00DE56F0">
        <w:t>ha</w:t>
      </w:r>
      <w:r w:rsidR="00751F9C">
        <w:t>ve</w:t>
      </w:r>
      <w:r w:rsidR="00DE56F0">
        <w:t xml:space="preserve"> different </w:t>
      </w:r>
      <w:r w:rsidR="00751F9C">
        <w:t xml:space="preserve">case </w:t>
      </w:r>
      <w:r w:rsidR="00DE56F0">
        <w:t xml:space="preserve">counts, </w:t>
      </w:r>
      <w:r w:rsidR="00374D2F">
        <w:t xml:space="preserve">it would be more accurate </w:t>
      </w:r>
      <w:r w:rsidR="00860EF9">
        <w:t>when</w:t>
      </w:r>
      <w:r w:rsidR="00374D2F">
        <w:t xml:space="preserve"> </w:t>
      </w:r>
      <w:r w:rsidR="00860EF9">
        <w:t>the comparison is done</w:t>
      </w:r>
      <w:r w:rsidR="00374D2F">
        <w:t xml:space="preserve"> </w:t>
      </w:r>
      <w:r w:rsidR="006718F9">
        <w:t>if</w:t>
      </w:r>
      <w:r w:rsidR="00374D2F">
        <w:t xml:space="preserve"> </w:t>
      </w:r>
      <w:r w:rsidR="00BB3E81">
        <w:t xml:space="preserve">they are the same; </w:t>
      </w:r>
      <w:r w:rsidR="006E73F4">
        <w:t>thi</w:t>
      </w:r>
      <w:r w:rsidR="00BB3E81">
        <w:t>s</w:t>
      </w:r>
      <w:r w:rsidR="006E73F4">
        <w:t xml:space="preserve"> is called</w:t>
      </w:r>
      <w:r w:rsidR="00BB3E81">
        <w:t xml:space="preserve"> normalizing</w:t>
      </w:r>
      <w:r w:rsidR="006E73F4">
        <w:t xml:space="preserve"> the case-count distribution by the APR DRG. </w:t>
      </w:r>
      <w:r w:rsidR="002C36B5">
        <w:t xml:space="preserve">Since we want to compare the MANAGED cases to the others, </w:t>
      </w:r>
      <w:r w:rsidR="00555467">
        <w:t>we normalize the other data sources</w:t>
      </w:r>
      <w:r w:rsidR="002E6BAE">
        <w:t>'</w:t>
      </w:r>
      <w:r w:rsidR="00555467">
        <w:t xml:space="preserve"> APR DRG </w:t>
      </w:r>
      <w:r w:rsidR="0030613B">
        <w:t xml:space="preserve">case </w:t>
      </w:r>
      <w:r w:rsidR="00555467">
        <w:t>counts to that of MANAGED</w:t>
      </w:r>
      <w:r w:rsidR="00AD5091">
        <w:t xml:space="preserve">. </w:t>
      </w:r>
      <w:r w:rsidR="001C1307">
        <w:t xml:space="preserve">This is done by taking the </w:t>
      </w:r>
      <w:r w:rsidR="004F2064">
        <w:t xml:space="preserve">sum of the </w:t>
      </w:r>
      <w:r w:rsidR="001C1307">
        <w:t xml:space="preserve">product </w:t>
      </w:r>
      <w:r w:rsidR="004F2064">
        <w:t>between</w:t>
      </w:r>
      <w:r w:rsidR="001C1307">
        <w:t xml:space="preserve"> </w:t>
      </w:r>
      <w:r w:rsidR="00556C70">
        <w:t xml:space="preserve">each data source’s </w:t>
      </w:r>
      <w:r w:rsidR="004F3C11">
        <w:t>average LOS</w:t>
      </w:r>
      <w:r w:rsidR="004F2064">
        <w:t xml:space="preserve"> and MANAGED’s case count for </w:t>
      </w:r>
      <w:r w:rsidR="00556C70">
        <w:t>all</w:t>
      </w:r>
      <w:r w:rsidR="004F2064">
        <w:t xml:space="preserve"> APR DRG</w:t>
      </w:r>
      <w:r w:rsidR="00FA282A">
        <w:t xml:space="preserve"> and dividing it by MANAGED’s total case count.</w:t>
      </w:r>
      <w:r w:rsidR="001732DB">
        <w:t xml:space="preserve"> </w:t>
      </w:r>
      <w:r w:rsidR="000E3A53">
        <w:t xml:space="preserve">For </w:t>
      </w:r>
      <w:r w:rsidR="001732DB">
        <w:t>example</w:t>
      </w:r>
      <w:r w:rsidR="000E3A53">
        <w:t xml:space="preserve">, </w:t>
      </w:r>
      <w:r w:rsidR="001732DB">
        <w:t xml:space="preserve">the Case-Mix Adjusted Average for </w:t>
      </w:r>
      <w:r w:rsidR="00993CAC">
        <w:t>the UNMANAGED cases</w:t>
      </w:r>
      <w:r w:rsidR="00F57563">
        <w:t xml:space="preserve"> is calculated by taking the product </w:t>
      </w:r>
      <w:r w:rsidR="001B583D">
        <w:t>between</w:t>
      </w:r>
      <w:r w:rsidR="00B95E11">
        <w:t xml:space="preserve"> </w:t>
      </w:r>
      <w:r w:rsidR="001B583D">
        <w:t xml:space="preserve">the UNMANAGED’s </w:t>
      </w:r>
      <w:r w:rsidR="00A477D0">
        <w:t xml:space="preserve">average </w:t>
      </w:r>
      <w:r w:rsidR="0030382D">
        <w:t xml:space="preserve">LOS </w:t>
      </w:r>
      <w:r w:rsidR="00027DB6">
        <w:t xml:space="preserve">for a specific </w:t>
      </w:r>
      <w:r w:rsidR="00B95E11">
        <w:t>APR DRG</w:t>
      </w:r>
      <w:r w:rsidR="00A477D0">
        <w:t xml:space="preserve"> and MANAGED</w:t>
      </w:r>
      <w:r w:rsidR="00C87AD1">
        <w:t>’s case count</w:t>
      </w:r>
      <w:r w:rsidR="00112229">
        <w:t xml:space="preserve"> for the same</w:t>
      </w:r>
      <w:r w:rsidR="00C87AD1">
        <w:t xml:space="preserve"> APR DRG</w:t>
      </w:r>
      <w:r w:rsidR="00112229">
        <w:t xml:space="preserve"> and then</w:t>
      </w:r>
      <w:r w:rsidR="00735559">
        <w:t xml:space="preserve"> taking the sum</w:t>
      </w:r>
      <w:r w:rsidR="00112229">
        <w:t xml:space="preserve"> across all APR DRGs</w:t>
      </w:r>
      <w:r w:rsidR="006077EE">
        <w:t>, and lastly dividing it by MANAGED’s total case count.</w:t>
      </w:r>
    </w:p>
    <w:p w14:paraId="0147FF1B" w14:textId="50A40397" w:rsidR="00941AAE" w:rsidRDefault="00941AAE">
      <w:r>
        <w:lastRenderedPageBreak/>
        <w:t xml:space="preserve">In </w:t>
      </w:r>
      <w:r w:rsidR="00645D81">
        <w:t>short</w:t>
      </w:r>
      <w:r>
        <w:t>, the Case-Mix Adjusted Average LOS by Source would have this equation:</w:t>
      </w:r>
    </w:p>
    <w:p w14:paraId="185378BD" w14:textId="0B135DF9" w:rsidR="000C3E8A" w:rsidRPr="003B47A9" w:rsidRDefault="007C4A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Mix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Adjusted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Average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LOS</m:t>
              </m:r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Source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APR DRG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Average LOS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Data Source,  APR DRG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Case Count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MANAGED,APR DRG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Case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Count</m:t>
                  </m:r>
                </m:e>
                <m:sub>
                  <m:r>
                    <w:rPr>
                      <w:rFonts w:ascii="Cambria Math" w:hAnsi="Cambria Math"/>
                    </w:rPr>
                    <m:t>MANAGED</m:t>
                  </m:r>
                </m:sub>
              </m:sSub>
            </m:den>
          </m:f>
        </m:oMath>
      </m:oMathPara>
    </w:p>
    <w:p w14:paraId="52DCDC22" w14:textId="59C65BA6" w:rsidR="008B0079" w:rsidRPr="00071D4E" w:rsidRDefault="008B0079" w:rsidP="008B0079">
      <w:pPr>
        <w:rPr>
          <w:i/>
          <w:iCs/>
          <w:sz w:val="24"/>
          <w:szCs w:val="24"/>
          <w:u w:val="single"/>
        </w:rPr>
      </w:pPr>
      <w:r w:rsidRPr="00071D4E">
        <w:rPr>
          <w:i/>
          <w:iCs/>
          <w:sz w:val="24"/>
          <w:szCs w:val="24"/>
          <w:u w:val="single"/>
        </w:rPr>
        <w:t xml:space="preserve">Exhibit </w:t>
      </w:r>
      <w:r>
        <w:rPr>
          <w:i/>
          <w:iCs/>
          <w:sz w:val="24"/>
          <w:szCs w:val="24"/>
          <w:u w:val="single"/>
        </w:rPr>
        <w:t>2</w:t>
      </w:r>
    </w:p>
    <w:p w14:paraId="438DE35A" w14:textId="5C4E53AC" w:rsidR="0094568B" w:rsidRDefault="00726766">
      <w:r>
        <w:t xml:space="preserve">The </w:t>
      </w:r>
      <w:r w:rsidR="00A92D01">
        <w:t xml:space="preserve">method of calculating the </w:t>
      </w:r>
      <w:r w:rsidR="00CA0E91">
        <w:t>Average LOS</w:t>
      </w:r>
      <w:r w:rsidR="00A92D01">
        <w:t xml:space="preserve"> in Exhibits 2 is </w:t>
      </w:r>
      <w:r w:rsidR="00101537">
        <w:t>very similar to that of Exhibit 1, including the method of calculating the Case-Mix Adjusted Averages</w:t>
      </w:r>
      <w:r w:rsidR="008E49D3">
        <w:t>.</w:t>
      </w:r>
      <w:r w:rsidR="006355D2">
        <w:t xml:space="preserve"> For example, </w:t>
      </w:r>
      <w:r w:rsidR="003A277D">
        <w:t>in</w:t>
      </w:r>
      <w:r w:rsidR="006355D2">
        <w:t xml:space="preserve"> Exhibit 1, the average LOS of the MANAGED </w:t>
      </w:r>
      <w:r w:rsidR="004804B7">
        <w:t xml:space="preserve">case in the birth weight range of </w:t>
      </w:r>
      <w:r w:rsidR="00DD6858">
        <w:t xml:space="preserve">750 – 999 grams in Exhibit 2 is calculated by taking the </w:t>
      </w:r>
      <w:r w:rsidR="001D0905">
        <w:t>average</w:t>
      </w:r>
      <w:r w:rsidR="00A7399F">
        <w:t xml:space="preserve"> LOS </w:t>
      </w:r>
      <w:r w:rsidR="009C4AE0">
        <w:t>for all</w:t>
      </w:r>
      <w:r w:rsidR="008F38A3">
        <w:t xml:space="preserve"> birth weight</w:t>
      </w:r>
      <w:r w:rsidR="002E6BAE">
        <w:t>s</w:t>
      </w:r>
      <w:r w:rsidR="008F38A3">
        <w:t xml:space="preserve"> inside this range</w:t>
      </w:r>
      <w:r w:rsidR="00E23BB0">
        <w:t xml:space="preserve">. </w:t>
      </w:r>
    </w:p>
    <w:p w14:paraId="3CD1EC9D" w14:textId="43ECC860" w:rsidR="00265145" w:rsidRDefault="00E23BB0">
      <w:proofErr w:type="gramStart"/>
      <w:r>
        <w:t>Similar to</w:t>
      </w:r>
      <w:proofErr w:type="gramEnd"/>
      <w:r>
        <w:t xml:space="preserve"> Exhibit 1, </w:t>
      </w:r>
      <w:r w:rsidR="009B1C8E">
        <w:t>instead of using</w:t>
      </w:r>
      <w:r w:rsidR="0099415C">
        <w:t xml:space="preserve"> </w:t>
      </w:r>
      <w:r w:rsidR="00E73234">
        <w:t>each</w:t>
      </w:r>
      <w:r w:rsidR="009B1C8E">
        <w:t xml:space="preserve"> data source’s case count</w:t>
      </w:r>
      <w:r w:rsidR="0099415C">
        <w:t xml:space="preserve"> by birth weight range and the total </w:t>
      </w:r>
      <w:r w:rsidR="00E73234">
        <w:t>data source case count</w:t>
      </w:r>
      <w:r w:rsidR="009B1C8E">
        <w:t xml:space="preserve">, the Case-Mix Adjusted Average LOS for </w:t>
      </w:r>
      <w:r w:rsidR="00734ECC">
        <w:t xml:space="preserve">the UNMANAGED and NPIC in </w:t>
      </w:r>
      <w:r w:rsidR="009B1C8E">
        <w:t>Exhibit 2 is calculated</w:t>
      </w:r>
      <w:r w:rsidR="00F61DA6">
        <w:t xml:space="preserve"> by normalizing </w:t>
      </w:r>
      <w:r w:rsidR="002C4973">
        <w:t>their case count for each of the birth weight range to that of the MANAGED case</w:t>
      </w:r>
      <w:r w:rsidR="0099415C">
        <w:t>.</w:t>
      </w:r>
      <w:r w:rsidR="007E1FB5">
        <w:t xml:space="preserve"> Lastly, the Case-Mix Adjusted Average Birth weight has also the same </w:t>
      </w:r>
      <w:r w:rsidR="00B739E7">
        <w:t xml:space="preserve">calculation method as the Case-Mix Adjusted Average LOS in Exhibit 2; the only difference is </w:t>
      </w:r>
      <w:r w:rsidR="002C747C">
        <w:t xml:space="preserve">that the Average </w:t>
      </w:r>
      <w:r w:rsidR="003C2941">
        <w:t xml:space="preserve">Birth </w:t>
      </w:r>
      <w:r w:rsidR="002C747C">
        <w:t>Weight</w:t>
      </w:r>
      <w:r w:rsidR="003C2941">
        <w:t xml:space="preserve"> (BW)</w:t>
      </w:r>
      <w:r w:rsidR="002C747C">
        <w:t xml:space="preserve"> of each birth weight range </w:t>
      </w:r>
      <w:r w:rsidR="005B3A26">
        <w:t>replaces</w:t>
      </w:r>
      <w:r w:rsidR="007F276B">
        <w:t xml:space="preserve"> the Average LOS of each birth weight range in the equation.</w:t>
      </w:r>
    </w:p>
    <w:p w14:paraId="3A9442FB" w14:textId="01DD28BE" w:rsidR="00156236" w:rsidRDefault="00CA6C31">
      <w:r>
        <w:t xml:space="preserve">Below are the equations for both the Case-Mix Adjusted Average LOS and Birth Weight </w:t>
      </w:r>
      <w:r w:rsidR="003C2941">
        <w:t xml:space="preserve">by Source </w:t>
      </w:r>
      <w:r>
        <w:t>for Exhibit 2</w:t>
      </w:r>
      <w:r w:rsidR="003B47A9">
        <w:t>, respectively:</w:t>
      </w:r>
    </w:p>
    <w:p w14:paraId="56C2EC81" w14:textId="245291A4" w:rsidR="00CA6C31" w:rsidRPr="00156236" w:rsidRDefault="007C4AA0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Mix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Adjusted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Average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LOS</m:t>
              </m:r>
            </m:e>
            <m:sub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Source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Birt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Weig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Range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Average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LOS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Data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Source</m:t>
                      </m:r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</w:rPr>
                        <m:t>Birt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Weig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Range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Case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Count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MANAGED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Birt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Weig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Range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Case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Count</m:t>
                  </m:r>
                </m:e>
                <m:sub>
                  <m:r>
                    <w:rPr>
                      <w:rFonts w:ascii="Cambria Math" w:hAnsi="Cambria Math"/>
                    </w:rPr>
                    <m:t>MANAGED</m:t>
                  </m:r>
                </m:sub>
              </m:sSub>
            </m:den>
          </m:f>
        </m:oMath>
      </m:oMathPara>
    </w:p>
    <w:p w14:paraId="619AA0F3" w14:textId="2461735F" w:rsidR="003B47A9" w:rsidRPr="00156236" w:rsidRDefault="007C4AA0" w:rsidP="003B47A9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Mix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Ad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usted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Average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Source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Birth Weight Range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Average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Data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Source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Birt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Weig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Range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Case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Count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MANAGED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Birt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Weig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Range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Case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unt</m:t>
                  </m:r>
                </m:e>
                <m:sub>
                  <m:r>
                    <w:rPr>
                      <w:rFonts w:ascii="Cambria Math" w:hAnsi="Cambria Math"/>
                    </w:rPr>
                    <m:t>MANAGED</m:t>
                  </m:r>
                </m:sub>
              </m:sSub>
            </m:den>
          </m:f>
        </m:oMath>
      </m:oMathPara>
    </w:p>
    <w:p w14:paraId="78E814DF" w14:textId="28468FE5" w:rsidR="00AA0B92" w:rsidRPr="00AA0B92" w:rsidRDefault="00AA0B92">
      <w:pPr>
        <w:rPr>
          <w:b/>
          <w:bCs/>
          <w:sz w:val="36"/>
          <w:szCs w:val="36"/>
        </w:rPr>
      </w:pPr>
      <w:r w:rsidRPr="00AA0B92">
        <w:rPr>
          <w:b/>
          <w:bCs/>
          <w:sz w:val="36"/>
          <w:szCs w:val="36"/>
        </w:rPr>
        <w:t>Conclusion</w:t>
      </w:r>
    </w:p>
    <w:p w14:paraId="0834EDBE" w14:textId="2E17807D" w:rsidR="00DB5473" w:rsidRDefault="009B6FE5">
      <w:r>
        <w:t xml:space="preserve">By looking at </w:t>
      </w:r>
      <w:r w:rsidR="0015477A">
        <w:t xml:space="preserve">the </w:t>
      </w:r>
      <w:r w:rsidR="004C5400">
        <w:t xml:space="preserve">raw Average </w:t>
      </w:r>
      <w:r w:rsidR="00F7515D">
        <w:t>LOS</w:t>
      </w:r>
      <w:r w:rsidR="004C5400">
        <w:t xml:space="preserve"> </w:t>
      </w:r>
      <w:r w:rsidR="0048097E">
        <w:t xml:space="preserve">of the neonate cases in each </w:t>
      </w:r>
      <w:r w:rsidR="00A2394C">
        <w:t xml:space="preserve">data </w:t>
      </w:r>
      <w:r w:rsidR="00D40DFE">
        <w:t>source,</w:t>
      </w:r>
      <w:r w:rsidR="004C5400">
        <w:t xml:space="preserve"> we can conclude that the MANAGED </w:t>
      </w:r>
      <w:r w:rsidR="008D122C">
        <w:t>case</w:t>
      </w:r>
      <w:r w:rsidR="00D40DFE">
        <w:t>s</w:t>
      </w:r>
      <w:r w:rsidR="00A55620">
        <w:t xml:space="preserve"> ha</w:t>
      </w:r>
      <w:r w:rsidR="00AF1467">
        <w:t>ve</w:t>
      </w:r>
      <w:r w:rsidR="00A55620">
        <w:t xml:space="preserve"> the most</w:t>
      </w:r>
      <w:r w:rsidR="008D122C">
        <w:t xml:space="preserve"> average</w:t>
      </w:r>
      <w:r w:rsidR="00A55620">
        <w:t xml:space="preserve"> </w:t>
      </w:r>
      <w:r w:rsidR="00D40DFE">
        <w:t>length of stay</w:t>
      </w:r>
      <w:r w:rsidR="00A55620">
        <w:t xml:space="preserve">, with </w:t>
      </w:r>
      <w:r w:rsidR="002059C2">
        <w:t xml:space="preserve">27.71 days </w:t>
      </w:r>
      <w:r w:rsidR="003A277D">
        <w:t>o</w:t>
      </w:r>
      <w:r w:rsidR="002059C2">
        <w:t xml:space="preserve">n average, compared to </w:t>
      </w:r>
      <w:r w:rsidR="003A277D">
        <w:t xml:space="preserve">the </w:t>
      </w:r>
      <w:r w:rsidR="002059C2">
        <w:t>UNMANAGED case</w:t>
      </w:r>
      <w:r w:rsidR="00D40DFE">
        <w:t>s’</w:t>
      </w:r>
      <w:r w:rsidR="002059C2">
        <w:t xml:space="preserve"> average of 22.09 days and NPIC case’</w:t>
      </w:r>
      <w:r w:rsidR="006C5B6E">
        <w:t>s</w:t>
      </w:r>
      <w:r w:rsidR="002059C2">
        <w:t xml:space="preserve"> average of 25.70 days.</w:t>
      </w:r>
      <w:r w:rsidR="001B2947">
        <w:t xml:space="preserve"> </w:t>
      </w:r>
      <w:r w:rsidR="003F0E78">
        <w:t xml:space="preserve">Similarly, </w:t>
      </w:r>
      <w:r w:rsidR="006C638D">
        <w:t xml:space="preserve">if we </w:t>
      </w:r>
      <w:r w:rsidR="00E62AE2">
        <w:t xml:space="preserve">compare </w:t>
      </w:r>
      <w:r w:rsidR="00745C92">
        <w:t>their</w:t>
      </w:r>
      <w:r w:rsidR="006C638D">
        <w:t xml:space="preserve"> Case-Mix Adjusted </w:t>
      </w:r>
      <w:r w:rsidR="00E62AE2">
        <w:t>by Birth Weight</w:t>
      </w:r>
      <w:r w:rsidR="00FA025A">
        <w:t xml:space="preserve"> Range </w:t>
      </w:r>
      <w:r w:rsidR="006C638D">
        <w:t>Average LOS</w:t>
      </w:r>
      <w:r w:rsidR="00846EF3">
        <w:t>, the MANAGED case</w:t>
      </w:r>
      <w:r w:rsidR="006F76B1">
        <w:t xml:space="preserve">s </w:t>
      </w:r>
      <w:r w:rsidR="00300899">
        <w:t>still</w:t>
      </w:r>
      <w:r w:rsidR="00846EF3">
        <w:t xml:space="preserve"> hav</w:t>
      </w:r>
      <w:r w:rsidR="006F76B1">
        <w:t>e</w:t>
      </w:r>
      <w:r w:rsidR="00846EF3">
        <w:t xml:space="preserve"> the highest </w:t>
      </w:r>
      <w:r w:rsidR="00DE569D">
        <w:t>Case-Mix Adjusted Average LOS of 27.71</w:t>
      </w:r>
      <w:r w:rsidR="00530F0F">
        <w:t xml:space="preserve"> days</w:t>
      </w:r>
      <w:r w:rsidR="00DE569D">
        <w:t xml:space="preserve">, </w:t>
      </w:r>
      <w:r w:rsidR="00F107A6">
        <w:t xml:space="preserve">while </w:t>
      </w:r>
      <w:r w:rsidR="00CF3EAE">
        <w:t>the NPIC case</w:t>
      </w:r>
      <w:r w:rsidR="008C4AD9">
        <w:t>s</w:t>
      </w:r>
      <w:r w:rsidR="00CF3EAE">
        <w:t xml:space="preserve"> plac</w:t>
      </w:r>
      <w:r w:rsidR="009275D3">
        <w:t>e</w:t>
      </w:r>
      <w:r w:rsidR="00CF3EAE">
        <w:t xml:space="preserve"> 2</w:t>
      </w:r>
      <w:r w:rsidR="00CF3EAE" w:rsidRPr="00CF3EAE">
        <w:rPr>
          <w:vertAlign w:val="superscript"/>
        </w:rPr>
        <w:t>nd</w:t>
      </w:r>
      <w:r w:rsidR="00CF3EAE">
        <w:t xml:space="preserve"> </w:t>
      </w:r>
      <w:r w:rsidR="00530F0F">
        <w:t xml:space="preserve">with an average of 27.26 days, and lastly the UNMANAGED case </w:t>
      </w:r>
      <w:r w:rsidR="002D3233">
        <w:t xml:space="preserve">for having the smallest Case-Mix Adjusted Average LOS of 24.57 days. </w:t>
      </w:r>
      <w:r w:rsidR="00DB5473">
        <w:t xml:space="preserve">However, the Case-Mix Adjusted </w:t>
      </w:r>
      <w:r w:rsidR="00FA025A">
        <w:t xml:space="preserve">by APR DRG </w:t>
      </w:r>
      <w:r w:rsidR="00DB5473">
        <w:t xml:space="preserve">Average LOS of the </w:t>
      </w:r>
      <w:r w:rsidR="00685981">
        <w:t>UNMANAGED and NPIC</w:t>
      </w:r>
      <w:r w:rsidR="00DB5473">
        <w:t xml:space="preserve"> </w:t>
      </w:r>
      <w:r w:rsidR="00270781">
        <w:t xml:space="preserve">changes to 29.06 days and 25.48 days, respectively. </w:t>
      </w:r>
      <w:r w:rsidR="00353B81">
        <w:t>Since</w:t>
      </w:r>
      <w:r w:rsidR="00B31F77">
        <w:t xml:space="preserve"> </w:t>
      </w:r>
      <w:r w:rsidR="00301625">
        <w:t xml:space="preserve">the </w:t>
      </w:r>
      <w:r w:rsidR="00B31F77">
        <w:t>MANAGED case</w:t>
      </w:r>
      <w:r w:rsidR="00F06327">
        <w:t>s</w:t>
      </w:r>
      <w:r w:rsidR="00353B81">
        <w:t xml:space="preserve"> </w:t>
      </w:r>
      <w:r w:rsidR="00270781">
        <w:t>ha</w:t>
      </w:r>
      <w:r w:rsidR="009275D3">
        <w:t>ve</w:t>
      </w:r>
      <w:r w:rsidR="00270781">
        <w:t xml:space="preserve"> </w:t>
      </w:r>
      <w:r w:rsidR="00353B81">
        <w:t>the same</w:t>
      </w:r>
      <w:r w:rsidR="00301625">
        <w:t xml:space="preserve"> average of 27.71 days, </w:t>
      </w:r>
      <w:r w:rsidR="00353B81">
        <w:t xml:space="preserve">it becomes the second </w:t>
      </w:r>
      <w:r w:rsidR="00D37703">
        <w:t>highest now</w:t>
      </w:r>
      <w:r w:rsidR="00393066">
        <w:t>,</w:t>
      </w:r>
      <w:r w:rsidR="00D37703">
        <w:t xml:space="preserve"> </w:t>
      </w:r>
      <w:r w:rsidR="00DB021C">
        <w:t>as</w:t>
      </w:r>
      <w:r w:rsidR="00D37703">
        <w:t xml:space="preserve"> </w:t>
      </w:r>
      <w:r w:rsidR="000B4BAD">
        <w:t>the</w:t>
      </w:r>
      <w:r w:rsidR="00404B76">
        <w:t xml:space="preserve"> NPIC cases</w:t>
      </w:r>
      <w:r w:rsidR="00B4588F">
        <w:t xml:space="preserve"> would have the highest average of 29.06 days</w:t>
      </w:r>
      <w:r w:rsidR="00BC4FFF">
        <w:t>, while the</w:t>
      </w:r>
      <w:r w:rsidR="000B4BAD">
        <w:t xml:space="preserve"> UNMANAGED cases would </w:t>
      </w:r>
      <w:r w:rsidR="00BC4FFF">
        <w:t xml:space="preserve">still have the lowest average of </w:t>
      </w:r>
      <w:r w:rsidR="0050661B">
        <w:t>25.</w:t>
      </w:r>
      <w:r w:rsidR="00807840">
        <w:t>48</w:t>
      </w:r>
      <w:r w:rsidR="0050661B">
        <w:t xml:space="preserve"> days.</w:t>
      </w:r>
    </w:p>
    <w:p w14:paraId="17C5D5DD" w14:textId="7BB0CA21" w:rsidR="00AA0B92" w:rsidRDefault="00550033">
      <w:r>
        <w:t xml:space="preserve">This </w:t>
      </w:r>
      <w:r w:rsidR="00FF2EB0">
        <w:t>concludes</w:t>
      </w:r>
      <w:r>
        <w:t xml:space="preserve"> that the MANAGED cases would have the highest </w:t>
      </w:r>
      <w:r w:rsidR="006E0B5E">
        <w:t xml:space="preserve">raw </w:t>
      </w:r>
      <w:r w:rsidR="00105664">
        <w:t>A</w:t>
      </w:r>
      <w:r>
        <w:t xml:space="preserve">verage </w:t>
      </w:r>
      <w:r w:rsidR="00105664">
        <w:t>L</w:t>
      </w:r>
      <w:r>
        <w:t xml:space="preserve">ength of </w:t>
      </w:r>
      <w:r w:rsidR="00105664">
        <w:t>S</w:t>
      </w:r>
      <w:r>
        <w:t>tay</w:t>
      </w:r>
      <w:r w:rsidR="006E0B5E">
        <w:t xml:space="preserve"> and Case-Mix Adjusted by </w:t>
      </w:r>
      <w:r w:rsidR="00105664">
        <w:t>Birth Weight Range Average Length of Stay</w:t>
      </w:r>
      <w:r w:rsidR="006E7603">
        <w:t xml:space="preserve"> compare</w:t>
      </w:r>
      <w:r w:rsidR="000F6AD4">
        <w:t>d to those of</w:t>
      </w:r>
      <w:r w:rsidR="006E7603">
        <w:t xml:space="preserve"> UNMANAGED and NPIC</w:t>
      </w:r>
      <w:r w:rsidR="00465127">
        <w:t xml:space="preserve"> cases</w:t>
      </w:r>
      <w:r w:rsidR="006E7603">
        <w:t xml:space="preserve">, </w:t>
      </w:r>
      <w:r w:rsidR="00EE202B">
        <w:t xml:space="preserve">but </w:t>
      </w:r>
      <w:r w:rsidR="006E7603">
        <w:t xml:space="preserve">the MANAGED cases would be in the middle </w:t>
      </w:r>
      <w:r w:rsidR="00EE202B">
        <w:t>if we compare</w:t>
      </w:r>
      <w:r w:rsidR="00C94F36">
        <w:t xml:space="preserve"> it with the other data source cases according to</w:t>
      </w:r>
      <w:r w:rsidR="00EE202B">
        <w:t xml:space="preserve"> </w:t>
      </w:r>
      <w:r w:rsidR="005C54B4">
        <w:t>the</w:t>
      </w:r>
      <w:r w:rsidR="00C94F36">
        <w:t>ir respective</w:t>
      </w:r>
      <w:r w:rsidR="005C54B4">
        <w:t xml:space="preserve"> Case-Mix Adjusted by APR DRG Average Length of Stay.</w:t>
      </w:r>
    </w:p>
    <w:sectPr w:rsidR="00AA0B9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6A93" w14:textId="77777777" w:rsidR="00487702" w:rsidRDefault="00487702" w:rsidP="00A00FB3">
      <w:pPr>
        <w:spacing w:after="0" w:line="240" w:lineRule="auto"/>
      </w:pPr>
      <w:r>
        <w:separator/>
      </w:r>
    </w:p>
  </w:endnote>
  <w:endnote w:type="continuationSeparator" w:id="0">
    <w:p w14:paraId="5D4993E6" w14:textId="77777777" w:rsidR="00487702" w:rsidRDefault="00487702" w:rsidP="00A00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8903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2E621" w14:textId="600C5B7B" w:rsidR="00A00FB3" w:rsidRDefault="00A00F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24F9E3" w14:textId="77777777" w:rsidR="00A00FB3" w:rsidRDefault="00A00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156A" w14:textId="77777777" w:rsidR="00487702" w:rsidRDefault="00487702" w:rsidP="00A00FB3">
      <w:pPr>
        <w:spacing w:after="0" w:line="240" w:lineRule="auto"/>
      </w:pPr>
      <w:r>
        <w:separator/>
      </w:r>
    </w:p>
  </w:footnote>
  <w:footnote w:type="continuationSeparator" w:id="0">
    <w:p w14:paraId="686A3881" w14:textId="77777777" w:rsidR="00487702" w:rsidRDefault="00487702" w:rsidP="00A00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tzQ3MTIysLA0MzVV0lEKTi0uzszPAykwrQUAwCeeTywAAAA="/>
  </w:docVars>
  <w:rsids>
    <w:rsidRoot w:val="00AA0B92"/>
    <w:rsid w:val="00003338"/>
    <w:rsid w:val="00004550"/>
    <w:rsid w:val="00014D63"/>
    <w:rsid w:val="00016248"/>
    <w:rsid w:val="00020FEE"/>
    <w:rsid w:val="000210CE"/>
    <w:rsid w:val="00023E10"/>
    <w:rsid w:val="0002506E"/>
    <w:rsid w:val="00027222"/>
    <w:rsid w:val="00027DB6"/>
    <w:rsid w:val="00034DC9"/>
    <w:rsid w:val="00040C39"/>
    <w:rsid w:val="0004101A"/>
    <w:rsid w:val="000440B1"/>
    <w:rsid w:val="00050AE5"/>
    <w:rsid w:val="00051A89"/>
    <w:rsid w:val="00053A7D"/>
    <w:rsid w:val="00062B2C"/>
    <w:rsid w:val="00064CB8"/>
    <w:rsid w:val="00066153"/>
    <w:rsid w:val="0006636C"/>
    <w:rsid w:val="00071D4E"/>
    <w:rsid w:val="000804A4"/>
    <w:rsid w:val="0008158C"/>
    <w:rsid w:val="00081EA6"/>
    <w:rsid w:val="00087A3E"/>
    <w:rsid w:val="00094A7F"/>
    <w:rsid w:val="00095CB6"/>
    <w:rsid w:val="000A3A72"/>
    <w:rsid w:val="000A49BB"/>
    <w:rsid w:val="000B4BAD"/>
    <w:rsid w:val="000B52DA"/>
    <w:rsid w:val="000C0115"/>
    <w:rsid w:val="000C19F5"/>
    <w:rsid w:val="000C3E8A"/>
    <w:rsid w:val="000C52AD"/>
    <w:rsid w:val="000C7605"/>
    <w:rsid w:val="000C7CDE"/>
    <w:rsid w:val="000D08BA"/>
    <w:rsid w:val="000D2D2F"/>
    <w:rsid w:val="000D4192"/>
    <w:rsid w:val="000E3A53"/>
    <w:rsid w:val="000E6234"/>
    <w:rsid w:val="000E7522"/>
    <w:rsid w:val="000F070B"/>
    <w:rsid w:val="000F15AF"/>
    <w:rsid w:val="000F488B"/>
    <w:rsid w:val="000F6AD4"/>
    <w:rsid w:val="00101537"/>
    <w:rsid w:val="001028E9"/>
    <w:rsid w:val="001029EB"/>
    <w:rsid w:val="00103BEF"/>
    <w:rsid w:val="00103EC6"/>
    <w:rsid w:val="0010512F"/>
    <w:rsid w:val="001052E0"/>
    <w:rsid w:val="00105664"/>
    <w:rsid w:val="00112049"/>
    <w:rsid w:val="00112229"/>
    <w:rsid w:val="001122B0"/>
    <w:rsid w:val="00113278"/>
    <w:rsid w:val="00113623"/>
    <w:rsid w:val="00114A30"/>
    <w:rsid w:val="00123446"/>
    <w:rsid w:val="00127A95"/>
    <w:rsid w:val="00132FDD"/>
    <w:rsid w:val="00134F55"/>
    <w:rsid w:val="0013783A"/>
    <w:rsid w:val="001435DE"/>
    <w:rsid w:val="00145DFD"/>
    <w:rsid w:val="00146DF1"/>
    <w:rsid w:val="0015477A"/>
    <w:rsid w:val="00155603"/>
    <w:rsid w:val="00156236"/>
    <w:rsid w:val="00157A6B"/>
    <w:rsid w:val="00164FC5"/>
    <w:rsid w:val="001732DB"/>
    <w:rsid w:val="00177664"/>
    <w:rsid w:val="0018294E"/>
    <w:rsid w:val="00183262"/>
    <w:rsid w:val="00184E9D"/>
    <w:rsid w:val="0018690A"/>
    <w:rsid w:val="001869A3"/>
    <w:rsid w:val="001A1774"/>
    <w:rsid w:val="001A4D7D"/>
    <w:rsid w:val="001B0C13"/>
    <w:rsid w:val="001B1C7C"/>
    <w:rsid w:val="001B2947"/>
    <w:rsid w:val="001B39BF"/>
    <w:rsid w:val="001B39C8"/>
    <w:rsid w:val="001B3C67"/>
    <w:rsid w:val="001B56DC"/>
    <w:rsid w:val="001B583D"/>
    <w:rsid w:val="001C1307"/>
    <w:rsid w:val="001C203A"/>
    <w:rsid w:val="001C22C1"/>
    <w:rsid w:val="001C7EF9"/>
    <w:rsid w:val="001D0905"/>
    <w:rsid w:val="001D1B0C"/>
    <w:rsid w:val="001D28C4"/>
    <w:rsid w:val="001D3377"/>
    <w:rsid w:val="001D598A"/>
    <w:rsid w:val="001D635A"/>
    <w:rsid w:val="001E0B94"/>
    <w:rsid w:val="001E3EE0"/>
    <w:rsid w:val="001E58A0"/>
    <w:rsid w:val="001F3092"/>
    <w:rsid w:val="001F684A"/>
    <w:rsid w:val="001F6922"/>
    <w:rsid w:val="00202682"/>
    <w:rsid w:val="002059C2"/>
    <w:rsid w:val="00206793"/>
    <w:rsid w:val="00207761"/>
    <w:rsid w:val="002100D8"/>
    <w:rsid w:val="0021130D"/>
    <w:rsid w:val="00211686"/>
    <w:rsid w:val="00211D9D"/>
    <w:rsid w:val="002232CA"/>
    <w:rsid w:val="00224E81"/>
    <w:rsid w:val="00230E5B"/>
    <w:rsid w:val="0023520B"/>
    <w:rsid w:val="002371A6"/>
    <w:rsid w:val="002414DC"/>
    <w:rsid w:val="002449AA"/>
    <w:rsid w:val="00252F21"/>
    <w:rsid w:val="002540AA"/>
    <w:rsid w:val="00257AE0"/>
    <w:rsid w:val="0026073A"/>
    <w:rsid w:val="00265145"/>
    <w:rsid w:val="00267174"/>
    <w:rsid w:val="00270433"/>
    <w:rsid w:val="00270781"/>
    <w:rsid w:val="0027254E"/>
    <w:rsid w:val="002748F0"/>
    <w:rsid w:val="0028297E"/>
    <w:rsid w:val="002A0F86"/>
    <w:rsid w:val="002A2327"/>
    <w:rsid w:val="002B054D"/>
    <w:rsid w:val="002B6C3A"/>
    <w:rsid w:val="002C322D"/>
    <w:rsid w:val="002C36B5"/>
    <w:rsid w:val="002C4973"/>
    <w:rsid w:val="002C747C"/>
    <w:rsid w:val="002D063C"/>
    <w:rsid w:val="002D3233"/>
    <w:rsid w:val="002E08CA"/>
    <w:rsid w:val="002E0FFE"/>
    <w:rsid w:val="002E112D"/>
    <w:rsid w:val="002E6BAE"/>
    <w:rsid w:val="002E7CEF"/>
    <w:rsid w:val="002F10AB"/>
    <w:rsid w:val="002F5C89"/>
    <w:rsid w:val="00300899"/>
    <w:rsid w:val="003009CC"/>
    <w:rsid w:val="00300E6E"/>
    <w:rsid w:val="00301625"/>
    <w:rsid w:val="0030382D"/>
    <w:rsid w:val="0030613B"/>
    <w:rsid w:val="003061F4"/>
    <w:rsid w:val="00307421"/>
    <w:rsid w:val="00313E82"/>
    <w:rsid w:val="00315812"/>
    <w:rsid w:val="00315F59"/>
    <w:rsid w:val="0032029E"/>
    <w:rsid w:val="00322292"/>
    <w:rsid w:val="00322A9D"/>
    <w:rsid w:val="00323366"/>
    <w:rsid w:val="00324502"/>
    <w:rsid w:val="00330A46"/>
    <w:rsid w:val="00332916"/>
    <w:rsid w:val="003332B8"/>
    <w:rsid w:val="00334B35"/>
    <w:rsid w:val="003354FA"/>
    <w:rsid w:val="00336C5A"/>
    <w:rsid w:val="003435D8"/>
    <w:rsid w:val="0034568F"/>
    <w:rsid w:val="00350109"/>
    <w:rsid w:val="00353B81"/>
    <w:rsid w:val="00354005"/>
    <w:rsid w:val="003543E8"/>
    <w:rsid w:val="00360AA8"/>
    <w:rsid w:val="00362D0D"/>
    <w:rsid w:val="00373940"/>
    <w:rsid w:val="00374D2F"/>
    <w:rsid w:val="0037676E"/>
    <w:rsid w:val="003773C1"/>
    <w:rsid w:val="00384385"/>
    <w:rsid w:val="003868F6"/>
    <w:rsid w:val="00390131"/>
    <w:rsid w:val="00392538"/>
    <w:rsid w:val="00393066"/>
    <w:rsid w:val="003944B8"/>
    <w:rsid w:val="0039631D"/>
    <w:rsid w:val="00396834"/>
    <w:rsid w:val="003A12E7"/>
    <w:rsid w:val="003A277D"/>
    <w:rsid w:val="003A4668"/>
    <w:rsid w:val="003B0C21"/>
    <w:rsid w:val="003B47A9"/>
    <w:rsid w:val="003B6220"/>
    <w:rsid w:val="003B6489"/>
    <w:rsid w:val="003C2941"/>
    <w:rsid w:val="003C34E2"/>
    <w:rsid w:val="003D11DB"/>
    <w:rsid w:val="003D1A2E"/>
    <w:rsid w:val="003D2C16"/>
    <w:rsid w:val="003D43F0"/>
    <w:rsid w:val="003E7CE5"/>
    <w:rsid w:val="003F0623"/>
    <w:rsid w:val="003F0E78"/>
    <w:rsid w:val="003F2E74"/>
    <w:rsid w:val="003F33CB"/>
    <w:rsid w:val="003F39C2"/>
    <w:rsid w:val="003F5FB5"/>
    <w:rsid w:val="004036A4"/>
    <w:rsid w:val="00404B76"/>
    <w:rsid w:val="004067F7"/>
    <w:rsid w:val="00410B1B"/>
    <w:rsid w:val="00413334"/>
    <w:rsid w:val="004339CC"/>
    <w:rsid w:val="00435940"/>
    <w:rsid w:val="0044169D"/>
    <w:rsid w:val="0044392C"/>
    <w:rsid w:val="004459AF"/>
    <w:rsid w:val="00450762"/>
    <w:rsid w:val="00452EF2"/>
    <w:rsid w:val="00453344"/>
    <w:rsid w:val="00454ADD"/>
    <w:rsid w:val="004554DA"/>
    <w:rsid w:val="00461543"/>
    <w:rsid w:val="00463ED9"/>
    <w:rsid w:val="00465127"/>
    <w:rsid w:val="00466631"/>
    <w:rsid w:val="0047135E"/>
    <w:rsid w:val="00471F2D"/>
    <w:rsid w:val="004804B7"/>
    <w:rsid w:val="0048097E"/>
    <w:rsid w:val="0048695E"/>
    <w:rsid w:val="00487702"/>
    <w:rsid w:val="004900B7"/>
    <w:rsid w:val="0049017E"/>
    <w:rsid w:val="00492950"/>
    <w:rsid w:val="00494A25"/>
    <w:rsid w:val="00496639"/>
    <w:rsid w:val="004A5FCE"/>
    <w:rsid w:val="004B6DF0"/>
    <w:rsid w:val="004B7CA6"/>
    <w:rsid w:val="004C1913"/>
    <w:rsid w:val="004C1CC1"/>
    <w:rsid w:val="004C4CF1"/>
    <w:rsid w:val="004C4EE5"/>
    <w:rsid w:val="004C5400"/>
    <w:rsid w:val="004D07B8"/>
    <w:rsid w:val="004D1616"/>
    <w:rsid w:val="004D3129"/>
    <w:rsid w:val="004E1C3F"/>
    <w:rsid w:val="004E3F28"/>
    <w:rsid w:val="004E3F29"/>
    <w:rsid w:val="004F1389"/>
    <w:rsid w:val="004F1C6F"/>
    <w:rsid w:val="004F2064"/>
    <w:rsid w:val="004F3448"/>
    <w:rsid w:val="004F3482"/>
    <w:rsid w:val="004F3C11"/>
    <w:rsid w:val="00500F76"/>
    <w:rsid w:val="0050394C"/>
    <w:rsid w:val="0050661B"/>
    <w:rsid w:val="0050694A"/>
    <w:rsid w:val="005103D5"/>
    <w:rsid w:val="00512006"/>
    <w:rsid w:val="00512412"/>
    <w:rsid w:val="00515A68"/>
    <w:rsid w:val="005221E8"/>
    <w:rsid w:val="00522C1A"/>
    <w:rsid w:val="00530F0F"/>
    <w:rsid w:val="00531763"/>
    <w:rsid w:val="00531FC4"/>
    <w:rsid w:val="00532E00"/>
    <w:rsid w:val="005405D3"/>
    <w:rsid w:val="00541A28"/>
    <w:rsid w:val="005420F9"/>
    <w:rsid w:val="00550033"/>
    <w:rsid w:val="00550989"/>
    <w:rsid w:val="00555467"/>
    <w:rsid w:val="00556A87"/>
    <w:rsid w:val="00556C70"/>
    <w:rsid w:val="00562DF6"/>
    <w:rsid w:val="00563DD0"/>
    <w:rsid w:val="00572009"/>
    <w:rsid w:val="005734DD"/>
    <w:rsid w:val="00573B9A"/>
    <w:rsid w:val="0057675A"/>
    <w:rsid w:val="00577B41"/>
    <w:rsid w:val="005811DF"/>
    <w:rsid w:val="0058445B"/>
    <w:rsid w:val="00586D1A"/>
    <w:rsid w:val="00587AF7"/>
    <w:rsid w:val="0059043B"/>
    <w:rsid w:val="00590D50"/>
    <w:rsid w:val="005951C2"/>
    <w:rsid w:val="0059647A"/>
    <w:rsid w:val="00597118"/>
    <w:rsid w:val="00597878"/>
    <w:rsid w:val="005A1CC5"/>
    <w:rsid w:val="005A4200"/>
    <w:rsid w:val="005A7581"/>
    <w:rsid w:val="005B29BA"/>
    <w:rsid w:val="005B3A26"/>
    <w:rsid w:val="005B3DEF"/>
    <w:rsid w:val="005C326B"/>
    <w:rsid w:val="005C4B41"/>
    <w:rsid w:val="005C54B4"/>
    <w:rsid w:val="005C6AB7"/>
    <w:rsid w:val="005C77CF"/>
    <w:rsid w:val="005D4151"/>
    <w:rsid w:val="005D41C3"/>
    <w:rsid w:val="005D473B"/>
    <w:rsid w:val="005D5F62"/>
    <w:rsid w:val="005E0BC1"/>
    <w:rsid w:val="005E4ADB"/>
    <w:rsid w:val="005E6D1F"/>
    <w:rsid w:val="005F07C1"/>
    <w:rsid w:val="005F565D"/>
    <w:rsid w:val="00602D2C"/>
    <w:rsid w:val="00603331"/>
    <w:rsid w:val="00604E4F"/>
    <w:rsid w:val="0060696B"/>
    <w:rsid w:val="006077EE"/>
    <w:rsid w:val="00607EF3"/>
    <w:rsid w:val="0061296B"/>
    <w:rsid w:val="00617D11"/>
    <w:rsid w:val="00620C9E"/>
    <w:rsid w:val="006336F1"/>
    <w:rsid w:val="006355D2"/>
    <w:rsid w:val="00635BE0"/>
    <w:rsid w:val="006375B0"/>
    <w:rsid w:val="0064162F"/>
    <w:rsid w:val="006436B2"/>
    <w:rsid w:val="00645D81"/>
    <w:rsid w:val="00661E4D"/>
    <w:rsid w:val="00662E3D"/>
    <w:rsid w:val="00665EEA"/>
    <w:rsid w:val="00670850"/>
    <w:rsid w:val="00670D8B"/>
    <w:rsid w:val="006718F9"/>
    <w:rsid w:val="00675818"/>
    <w:rsid w:val="00677D67"/>
    <w:rsid w:val="00681D4E"/>
    <w:rsid w:val="00683BBD"/>
    <w:rsid w:val="00685981"/>
    <w:rsid w:val="00690348"/>
    <w:rsid w:val="00690EDB"/>
    <w:rsid w:val="006950DF"/>
    <w:rsid w:val="00697772"/>
    <w:rsid w:val="00697A02"/>
    <w:rsid w:val="006A1313"/>
    <w:rsid w:val="006A223C"/>
    <w:rsid w:val="006A2B8D"/>
    <w:rsid w:val="006A342C"/>
    <w:rsid w:val="006A7EB6"/>
    <w:rsid w:val="006B3BFF"/>
    <w:rsid w:val="006B5A2D"/>
    <w:rsid w:val="006B72C0"/>
    <w:rsid w:val="006C215D"/>
    <w:rsid w:val="006C2975"/>
    <w:rsid w:val="006C353D"/>
    <w:rsid w:val="006C5B6E"/>
    <w:rsid w:val="006C638D"/>
    <w:rsid w:val="006D65AB"/>
    <w:rsid w:val="006D7E7D"/>
    <w:rsid w:val="006E0B5E"/>
    <w:rsid w:val="006E4B40"/>
    <w:rsid w:val="006E4DED"/>
    <w:rsid w:val="006E4EE7"/>
    <w:rsid w:val="006E6393"/>
    <w:rsid w:val="006E71CE"/>
    <w:rsid w:val="006E73F4"/>
    <w:rsid w:val="006E7603"/>
    <w:rsid w:val="006E7D43"/>
    <w:rsid w:val="006E7F3E"/>
    <w:rsid w:val="006F1ED4"/>
    <w:rsid w:val="006F2D09"/>
    <w:rsid w:val="006F43A7"/>
    <w:rsid w:val="006F665F"/>
    <w:rsid w:val="006F76B1"/>
    <w:rsid w:val="00701560"/>
    <w:rsid w:val="0070318F"/>
    <w:rsid w:val="00705F07"/>
    <w:rsid w:val="00707F4C"/>
    <w:rsid w:val="0071019E"/>
    <w:rsid w:val="007132B7"/>
    <w:rsid w:val="0071408E"/>
    <w:rsid w:val="00715FDD"/>
    <w:rsid w:val="007172A5"/>
    <w:rsid w:val="007174FC"/>
    <w:rsid w:val="00723529"/>
    <w:rsid w:val="00724197"/>
    <w:rsid w:val="00726766"/>
    <w:rsid w:val="007314C0"/>
    <w:rsid w:val="00732906"/>
    <w:rsid w:val="00734ECC"/>
    <w:rsid w:val="0073551B"/>
    <w:rsid w:val="00735559"/>
    <w:rsid w:val="00745C92"/>
    <w:rsid w:val="007460CA"/>
    <w:rsid w:val="0074625D"/>
    <w:rsid w:val="0074694B"/>
    <w:rsid w:val="00750C15"/>
    <w:rsid w:val="00751F9C"/>
    <w:rsid w:val="00753979"/>
    <w:rsid w:val="00756267"/>
    <w:rsid w:val="00760F0E"/>
    <w:rsid w:val="00764AC4"/>
    <w:rsid w:val="00771F3A"/>
    <w:rsid w:val="00777954"/>
    <w:rsid w:val="00782CEA"/>
    <w:rsid w:val="0078510F"/>
    <w:rsid w:val="0079553E"/>
    <w:rsid w:val="00795641"/>
    <w:rsid w:val="007B3034"/>
    <w:rsid w:val="007B44B4"/>
    <w:rsid w:val="007B4AA5"/>
    <w:rsid w:val="007B5C76"/>
    <w:rsid w:val="007C1979"/>
    <w:rsid w:val="007C4474"/>
    <w:rsid w:val="007C4AA0"/>
    <w:rsid w:val="007D4EDB"/>
    <w:rsid w:val="007D6B74"/>
    <w:rsid w:val="007E1FB5"/>
    <w:rsid w:val="007E307B"/>
    <w:rsid w:val="007F276B"/>
    <w:rsid w:val="007F3FC2"/>
    <w:rsid w:val="00805076"/>
    <w:rsid w:val="008055E1"/>
    <w:rsid w:val="00807840"/>
    <w:rsid w:val="008105C5"/>
    <w:rsid w:val="00816EF5"/>
    <w:rsid w:val="00823B98"/>
    <w:rsid w:val="00823F83"/>
    <w:rsid w:val="00824FFE"/>
    <w:rsid w:val="0082646A"/>
    <w:rsid w:val="008355DA"/>
    <w:rsid w:val="00842E10"/>
    <w:rsid w:val="008431B2"/>
    <w:rsid w:val="00843F80"/>
    <w:rsid w:val="008447ED"/>
    <w:rsid w:val="00845E27"/>
    <w:rsid w:val="00846EF3"/>
    <w:rsid w:val="00847B54"/>
    <w:rsid w:val="008547A2"/>
    <w:rsid w:val="00854C9A"/>
    <w:rsid w:val="008551FC"/>
    <w:rsid w:val="0085521E"/>
    <w:rsid w:val="00856254"/>
    <w:rsid w:val="00860EF9"/>
    <w:rsid w:val="00860FEE"/>
    <w:rsid w:val="0086604F"/>
    <w:rsid w:val="00871E3C"/>
    <w:rsid w:val="00872E6D"/>
    <w:rsid w:val="008812F0"/>
    <w:rsid w:val="00891AA5"/>
    <w:rsid w:val="008925B5"/>
    <w:rsid w:val="0089339E"/>
    <w:rsid w:val="00893E91"/>
    <w:rsid w:val="008A3801"/>
    <w:rsid w:val="008B0079"/>
    <w:rsid w:val="008B24FA"/>
    <w:rsid w:val="008B3C01"/>
    <w:rsid w:val="008B6BC7"/>
    <w:rsid w:val="008B7781"/>
    <w:rsid w:val="008C4AD9"/>
    <w:rsid w:val="008C5A98"/>
    <w:rsid w:val="008C7EAA"/>
    <w:rsid w:val="008D0D16"/>
    <w:rsid w:val="008D122C"/>
    <w:rsid w:val="008D33F7"/>
    <w:rsid w:val="008D3C74"/>
    <w:rsid w:val="008D47E3"/>
    <w:rsid w:val="008D55A2"/>
    <w:rsid w:val="008D7999"/>
    <w:rsid w:val="008E06B5"/>
    <w:rsid w:val="008E49D3"/>
    <w:rsid w:val="008F38A3"/>
    <w:rsid w:val="008F55C4"/>
    <w:rsid w:val="00901AAB"/>
    <w:rsid w:val="0091247A"/>
    <w:rsid w:val="00913A9B"/>
    <w:rsid w:val="009167CC"/>
    <w:rsid w:val="009217A6"/>
    <w:rsid w:val="0092186E"/>
    <w:rsid w:val="009275D3"/>
    <w:rsid w:val="009337B5"/>
    <w:rsid w:val="009340A2"/>
    <w:rsid w:val="00941AAE"/>
    <w:rsid w:val="009447EA"/>
    <w:rsid w:val="0094502A"/>
    <w:rsid w:val="0094568B"/>
    <w:rsid w:val="009475A9"/>
    <w:rsid w:val="00955344"/>
    <w:rsid w:val="009606BB"/>
    <w:rsid w:val="00964020"/>
    <w:rsid w:val="009653A9"/>
    <w:rsid w:val="0096686C"/>
    <w:rsid w:val="00967FBB"/>
    <w:rsid w:val="00970079"/>
    <w:rsid w:val="00970EB3"/>
    <w:rsid w:val="00971FED"/>
    <w:rsid w:val="0097367A"/>
    <w:rsid w:val="009775C5"/>
    <w:rsid w:val="00982D17"/>
    <w:rsid w:val="009905F3"/>
    <w:rsid w:val="00993CAC"/>
    <w:rsid w:val="0099415C"/>
    <w:rsid w:val="00996B75"/>
    <w:rsid w:val="009A01ED"/>
    <w:rsid w:val="009A12D5"/>
    <w:rsid w:val="009A2FD5"/>
    <w:rsid w:val="009A3CFA"/>
    <w:rsid w:val="009A3D88"/>
    <w:rsid w:val="009B109A"/>
    <w:rsid w:val="009B1C8E"/>
    <w:rsid w:val="009B20D8"/>
    <w:rsid w:val="009B5252"/>
    <w:rsid w:val="009B6FE5"/>
    <w:rsid w:val="009C3D92"/>
    <w:rsid w:val="009C4AE0"/>
    <w:rsid w:val="009C6E82"/>
    <w:rsid w:val="009D2079"/>
    <w:rsid w:val="009D2BA6"/>
    <w:rsid w:val="009D4F2D"/>
    <w:rsid w:val="009E1642"/>
    <w:rsid w:val="009E59BE"/>
    <w:rsid w:val="009E5A3C"/>
    <w:rsid w:val="009F0917"/>
    <w:rsid w:val="009F6FD4"/>
    <w:rsid w:val="009F7D07"/>
    <w:rsid w:val="009F7EB5"/>
    <w:rsid w:val="00A00177"/>
    <w:rsid w:val="00A00FB3"/>
    <w:rsid w:val="00A02667"/>
    <w:rsid w:val="00A05B7F"/>
    <w:rsid w:val="00A10A1B"/>
    <w:rsid w:val="00A23576"/>
    <w:rsid w:val="00A2394C"/>
    <w:rsid w:val="00A3054C"/>
    <w:rsid w:val="00A339E2"/>
    <w:rsid w:val="00A41F3D"/>
    <w:rsid w:val="00A4270D"/>
    <w:rsid w:val="00A43803"/>
    <w:rsid w:val="00A477D0"/>
    <w:rsid w:val="00A5016B"/>
    <w:rsid w:val="00A5175E"/>
    <w:rsid w:val="00A55620"/>
    <w:rsid w:val="00A617C5"/>
    <w:rsid w:val="00A71266"/>
    <w:rsid w:val="00A71F1D"/>
    <w:rsid w:val="00A7399F"/>
    <w:rsid w:val="00A76A55"/>
    <w:rsid w:val="00A76EAB"/>
    <w:rsid w:val="00A801E3"/>
    <w:rsid w:val="00A81232"/>
    <w:rsid w:val="00A84733"/>
    <w:rsid w:val="00A85488"/>
    <w:rsid w:val="00A90C2E"/>
    <w:rsid w:val="00A92D01"/>
    <w:rsid w:val="00A93D67"/>
    <w:rsid w:val="00A93ECF"/>
    <w:rsid w:val="00A972C6"/>
    <w:rsid w:val="00AA01EC"/>
    <w:rsid w:val="00AA0B92"/>
    <w:rsid w:val="00AA42A8"/>
    <w:rsid w:val="00AB5B4D"/>
    <w:rsid w:val="00AB627B"/>
    <w:rsid w:val="00AB6451"/>
    <w:rsid w:val="00AC23A5"/>
    <w:rsid w:val="00AD42DD"/>
    <w:rsid w:val="00AD5091"/>
    <w:rsid w:val="00AE02A9"/>
    <w:rsid w:val="00AE0579"/>
    <w:rsid w:val="00AE4270"/>
    <w:rsid w:val="00AE6EEE"/>
    <w:rsid w:val="00AF1467"/>
    <w:rsid w:val="00AF1645"/>
    <w:rsid w:val="00B0185E"/>
    <w:rsid w:val="00B05151"/>
    <w:rsid w:val="00B05411"/>
    <w:rsid w:val="00B065CC"/>
    <w:rsid w:val="00B06F69"/>
    <w:rsid w:val="00B15745"/>
    <w:rsid w:val="00B22926"/>
    <w:rsid w:val="00B2645E"/>
    <w:rsid w:val="00B2658A"/>
    <w:rsid w:val="00B26D0E"/>
    <w:rsid w:val="00B30B3B"/>
    <w:rsid w:val="00B31F77"/>
    <w:rsid w:val="00B355F3"/>
    <w:rsid w:val="00B4588F"/>
    <w:rsid w:val="00B46171"/>
    <w:rsid w:val="00B47DFE"/>
    <w:rsid w:val="00B51B17"/>
    <w:rsid w:val="00B560E3"/>
    <w:rsid w:val="00B57252"/>
    <w:rsid w:val="00B57911"/>
    <w:rsid w:val="00B70773"/>
    <w:rsid w:val="00B739E7"/>
    <w:rsid w:val="00B74DE4"/>
    <w:rsid w:val="00B847AA"/>
    <w:rsid w:val="00B87B31"/>
    <w:rsid w:val="00B90693"/>
    <w:rsid w:val="00B93A0D"/>
    <w:rsid w:val="00B95E11"/>
    <w:rsid w:val="00B96740"/>
    <w:rsid w:val="00BA09F7"/>
    <w:rsid w:val="00BA12DD"/>
    <w:rsid w:val="00BA43C4"/>
    <w:rsid w:val="00BA45C7"/>
    <w:rsid w:val="00BB3E81"/>
    <w:rsid w:val="00BB68DC"/>
    <w:rsid w:val="00BB7919"/>
    <w:rsid w:val="00BC1761"/>
    <w:rsid w:val="00BC4FFF"/>
    <w:rsid w:val="00BD2942"/>
    <w:rsid w:val="00BE009B"/>
    <w:rsid w:val="00BE337D"/>
    <w:rsid w:val="00BE3526"/>
    <w:rsid w:val="00BE61FB"/>
    <w:rsid w:val="00BF230B"/>
    <w:rsid w:val="00BF32BC"/>
    <w:rsid w:val="00BF3C11"/>
    <w:rsid w:val="00C00B97"/>
    <w:rsid w:val="00C01CCB"/>
    <w:rsid w:val="00C05D9F"/>
    <w:rsid w:val="00C07F5F"/>
    <w:rsid w:val="00C1331B"/>
    <w:rsid w:val="00C16BA4"/>
    <w:rsid w:val="00C25B1C"/>
    <w:rsid w:val="00C27E12"/>
    <w:rsid w:val="00C320EF"/>
    <w:rsid w:val="00C44767"/>
    <w:rsid w:val="00C54640"/>
    <w:rsid w:val="00C5528B"/>
    <w:rsid w:val="00C5542B"/>
    <w:rsid w:val="00C62A5D"/>
    <w:rsid w:val="00C67060"/>
    <w:rsid w:val="00C702D0"/>
    <w:rsid w:val="00C73B13"/>
    <w:rsid w:val="00C824E3"/>
    <w:rsid w:val="00C84E9B"/>
    <w:rsid w:val="00C869EF"/>
    <w:rsid w:val="00C87AD1"/>
    <w:rsid w:val="00C90959"/>
    <w:rsid w:val="00C93970"/>
    <w:rsid w:val="00C94585"/>
    <w:rsid w:val="00C94F36"/>
    <w:rsid w:val="00C9624C"/>
    <w:rsid w:val="00CA0E91"/>
    <w:rsid w:val="00CA1606"/>
    <w:rsid w:val="00CA52F4"/>
    <w:rsid w:val="00CA5B02"/>
    <w:rsid w:val="00CA6088"/>
    <w:rsid w:val="00CA6C31"/>
    <w:rsid w:val="00CA7F36"/>
    <w:rsid w:val="00CB0387"/>
    <w:rsid w:val="00CB1606"/>
    <w:rsid w:val="00CC0420"/>
    <w:rsid w:val="00CC08A5"/>
    <w:rsid w:val="00CD63C7"/>
    <w:rsid w:val="00CD76BF"/>
    <w:rsid w:val="00CE3B4F"/>
    <w:rsid w:val="00CE3CE3"/>
    <w:rsid w:val="00CE4C94"/>
    <w:rsid w:val="00CF31C0"/>
    <w:rsid w:val="00CF3EAE"/>
    <w:rsid w:val="00D025F2"/>
    <w:rsid w:val="00D04A09"/>
    <w:rsid w:val="00D05E28"/>
    <w:rsid w:val="00D15080"/>
    <w:rsid w:val="00D157AB"/>
    <w:rsid w:val="00D15FA2"/>
    <w:rsid w:val="00D32C47"/>
    <w:rsid w:val="00D32F12"/>
    <w:rsid w:val="00D33942"/>
    <w:rsid w:val="00D341B8"/>
    <w:rsid w:val="00D354BE"/>
    <w:rsid w:val="00D37703"/>
    <w:rsid w:val="00D377A6"/>
    <w:rsid w:val="00D40DFE"/>
    <w:rsid w:val="00D47786"/>
    <w:rsid w:val="00D521B3"/>
    <w:rsid w:val="00D53F81"/>
    <w:rsid w:val="00D61826"/>
    <w:rsid w:val="00D61CF1"/>
    <w:rsid w:val="00D63A72"/>
    <w:rsid w:val="00D67612"/>
    <w:rsid w:val="00D700B9"/>
    <w:rsid w:val="00D73E87"/>
    <w:rsid w:val="00D7447A"/>
    <w:rsid w:val="00D75122"/>
    <w:rsid w:val="00D80688"/>
    <w:rsid w:val="00D86133"/>
    <w:rsid w:val="00DA0F3A"/>
    <w:rsid w:val="00DA1EE0"/>
    <w:rsid w:val="00DA367A"/>
    <w:rsid w:val="00DB021C"/>
    <w:rsid w:val="00DB02B4"/>
    <w:rsid w:val="00DB5473"/>
    <w:rsid w:val="00DB770F"/>
    <w:rsid w:val="00DC30F7"/>
    <w:rsid w:val="00DC5F7F"/>
    <w:rsid w:val="00DD19EF"/>
    <w:rsid w:val="00DD1CDB"/>
    <w:rsid w:val="00DD4177"/>
    <w:rsid w:val="00DD6858"/>
    <w:rsid w:val="00DE15D5"/>
    <w:rsid w:val="00DE1C9A"/>
    <w:rsid w:val="00DE569D"/>
    <w:rsid w:val="00DE56F0"/>
    <w:rsid w:val="00DE5B0F"/>
    <w:rsid w:val="00DE7D3E"/>
    <w:rsid w:val="00E02B73"/>
    <w:rsid w:val="00E03BA3"/>
    <w:rsid w:val="00E150CB"/>
    <w:rsid w:val="00E23BB0"/>
    <w:rsid w:val="00E30C85"/>
    <w:rsid w:val="00E35199"/>
    <w:rsid w:val="00E41231"/>
    <w:rsid w:val="00E44CE3"/>
    <w:rsid w:val="00E4727D"/>
    <w:rsid w:val="00E50728"/>
    <w:rsid w:val="00E544D1"/>
    <w:rsid w:val="00E550E6"/>
    <w:rsid w:val="00E57263"/>
    <w:rsid w:val="00E57A76"/>
    <w:rsid w:val="00E60936"/>
    <w:rsid w:val="00E62AE2"/>
    <w:rsid w:val="00E63296"/>
    <w:rsid w:val="00E64F07"/>
    <w:rsid w:val="00E66E37"/>
    <w:rsid w:val="00E73234"/>
    <w:rsid w:val="00E763C2"/>
    <w:rsid w:val="00E77DC9"/>
    <w:rsid w:val="00E808CE"/>
    <w:rsid w:val="00E80E18"/>
    <w:rsid w:val="00E83C7A"/>
    <w:rsid w:val="00E87EF1"/>
    <w:rsid w:val="00E93FD4"/>
    <w:rsid w:val="00E95181"/>
    <w:rsid w:val="00EA60C7"/>
    <w:rsid w:val="00EB2BEE"/>
    <w:rsid w:val="00EB6E83"/>
    <w:rsid w:val="00EC6448"/>
    <w:rsid w:val="00ED3430"/>
    <w:rsid w:val="00ED5E78"/>
    <w:rsid w:val="00EE202B"/>
    <w:rsid w:val="00EE27FC"/>
    <w:rsid w:val="00EE4269"/>
    <w:rsid w:val="00EE631E"/>
    <w:rsid w:val="00EE71A3"/>
    <w:rsid w:val="00EF01B7"/>
    <w:rsid w:val="00EF1614"/>
    <w:rsid w:val="00EF22F1"/>
    <w:rsid w:val="00EF5939"/>
    <w:rsid w:val="00EF633F"/>
    <w:rsid w:val="00F03C95"/>
    <w:rsid w:val="00F03EA0"/>
    <w:rsid w:val="00F06327"/>
    <w:rsid w:val="00F065E7"/>
    <w:rsid w:val="00F06759"/>
    <w:rsid w:val="00F107A6"/>
    <w:rsid w:val="00F14F1E"/>
    <w:rsid w:val="00F17279"/>
    <w:rsid w:val="00F22DD1"/>
    <w:rsid w:val="00F30A43"/>
    <w:rsid w:val="00F36E92"/>
    <w:rsid w:val="00F3762D"/>
    <w:rsid w:val="00F4304E"/>
    <w:rsid w:val="00F4794A"/>
    <w:rsid w:val="00F507E1"/>
    <w:rsid w:val="00F52435"/>
    <w:rsid w:val="00F5414A"/>
    <w:rsid w:val="00F55D9A"/>
    <w:rsid w:val="00F57563"/>
    <w:rsid w:val="00F61DA6"/>
    <w:rsid w:val="00F623D3"/>
    <w:rsid w:val="00F65DDF"/>
    <w:rsid w:val="00F65EE7"/>
    <w:rsid w:val="00F746CF"/>
    <w:rsid w:val="00F7515D"/>
    <w:rsid w:val="00F82C30"/>
    <w:rsid w:val="00F86935"/>
    <w:rsid w:val="00F87EEA"/>
    <w:rsid w:val="00F90134"/>
    <w:rsid w:val="00F90EA9"/>
    <w:rsid w:val="00F93787"/>
    <w:rsid w:val="00F97A91"/>
    <w:rsid w:val="00FA025A"/>
    <w:rsid w:val="00FA07DF"/>
    <w:rsid w:val="00FA0F9D"/>
    <w:rsid w:val="00FA282A"/>
    <w:rsid w:val="00FA58B6"/>
    <w:rsid w:val="00FB1E65"/>
    <w:rsid w:val="00FB49E4"/>
    <w:rsid w:val="00FC1D37"/>
    <w:rsid w:val="00FC3D29"/>
    <w:rsid w:val="00FC4DF0"/>
    <w:rsid w:val="00FD5D7E"/>
    <w:rsid w:val="00FE2E75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892F"/>
  <w15:chartTrackingRefBased/>
  <w15:docId w15:val="{9E8E8A89-440E-46A5-9791-D360DE7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3D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0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FB3"/>
  </w:style>
  <w:style w:type="paragraph" w:styleId="Footer">
    <w:name w:val="footer"/>
    <w:basedOn w:val="Normal"/>
    <w:link w:val="FooterChar"/>
    <w:uiPriority w:val="99"/>
    <w:unhideWhenUsed/>
    <w:rsid w:val="00A00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FB3"/>
  </w:style>
  <w:style w:type="character" w:styleId="PlaceholderText">
    <w:name w:val="Placeholder Text"/>
    <w:basedOn w:val="DefaultParagraphFont"/>
    <w:uiPriority w:val="99"/>
    <w:semiHidden/>
    <w:rsid w:val="000C3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7</Pages>
  <Words>2590</Words>
  <Characters>14768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Santosa</dc:creator>
  <cp:keywords/>
  <dc:description/>
  <cp:lastModifiedBy>Thomas Santosa</cp:lastModifiedBy>
  <cp:revision>479</cp:revision>
  <dcterms:created xsi:type="dcterms:W3CDTF">2022-09-24T00:25:00Z</dcterms:created>
  <dcterms:modified xsi:type="dcterms:W3CDTF">2022-09-26T21:57:00Z</dcterms:modified>
</cp:coreProperties>
</file>