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96"/>
      </w:tblGrid>
      <w:tr>
        <w:tc>
          <w:tcPr>
            <w:tcW w:type="dxa" w:w="10368"/>
            <w:shd w:fill="00A499"/>
          </w:tcPr>
          <w:p>
            <w:r>
              <w:t xml:space="preserve"> 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rPr>
          <w:rFonts w:ascii="Aptos Display" w:hAnsi="Aptos Display"/>
          <w:b/>
          <w:color w:val="00A499"/>
          <w:sz w:val="44"/>
        </w:rPr>
        <w:t>Checklist de revisión: Portafolio Unidad 1</w:t>
      </w:r>
    </w:p>
    <w:p>
      <w:pPr>
        <w:spacing w:after="160"/>
      </w:pPr>
      <w:r>
        <w:rPr>
          <w:rFonts w:ascii="Aptos" w:hAnsi="Aptos"/>
          <w:b w:val="0"/>
          <w:color w:val="394049"/>
          <w:sz w:val="23"/>
        </w:rPr>
        <w:t>Lista de verificación previa a la entrega. No reemplaza la rúbrica de evaluación.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Conservé los archivos originales sin sobrescribirlos.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La estructura del repositorio distingue datos, procesos/análisis, resultados/figuras y documentación.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El README identifica propósito, entradas, pasos, salidas, herramientas, unidades/supuestos y limitaciones.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El historial contiene cambios significativos y puedo explicar qué cambió entre versiones.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La URL del repositorio funciona y el commit de entrega está identificado.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Una persona distinta puede comprender cómo continuar el proyecto sin preguntarme qué archivo usar.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Revisé unidades, nombres de archivos y relación entre datos y resultados.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Declaré el uso de IA y expliqué cómo verifiqué cualquier contenido incorporado, o declaré no haberla utilizado.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La bitácora contiene evidencia concreta y no solo descripciones generales.</w:t>
      </w:r>
    </w:p>
    <w:p>
      <w:pPr>
        <w:spacing w:after="80"/>
      </w:pPr>
      <w:r>
        <w:rPr>
          <w:rFonts w:ascii="Aptos" w:hAnsi="Aptos"/>
          <w:b w:val="0"/>
          <w:color w:val="00A499"/>
          <w:sz w:val="24"/>
        </w:rPr>
        <w:t xml:space="preserve">☐ </w:t>
      </w:r>
      <w:r>
        <w:rPr>
          <w:rFonts w:ascii="Aptos" w:hAnsi="Aptos"/>
          <w:color w:val="222222"/>
          <w:sz w:val="21"/>
        </w:rPr>
        <w:t>El ZIP de respaldo corresponde al mismo estado indicado por el commit entregado.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777777"/>
        <w:sz w:val="16"/>
      </w:rPr>
      <w:t>Unidad 1 · Entorno de trabajo computacional reproducible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057400" cy="923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923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52" w:lineRule="auto"/>
    </w:pPr>
    <w:r>
      <w:rPr>
        <w:rFonts w:ascii="Aptos" w:hAnsi="Aptos"/>
        <w:color w:val="394049"/>
        <w:sz w:val="17"/>
      </w:rPr>
      <w:t>Universidad de Santiago de Chile · Herramientas Computacionales para Ingeniería 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A49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EA76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9404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00A49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