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t>Commentary on the Relationship Between the Unified Modeling Proposal and the Adaptive Two-Party NetLogo Model</w:t>
      </w:r>
    </w:p>
    <w:p>
      <w:pPr>
        <w:pStyle w:val="Subtitle"/>
        <w:spacing w:after="60"/>
        <w:jc w:val="center"/>
      </w:pPr>
      <w:r>
        <w:t>Based on Modeling.pdf and adaptive_two_party_model_production_rules_commented.nlogo</w:t>
      </w:r>
    </w:p>
    <w:p>
      <w:pPr>
        <w:pStyle w:val="Subtitle"/>
        <w:spacing w:after="280"/>
        <w:jc w:val="center"/>
      </w:pPr>
      <w:r>
        <w:t>5 August 2026</w:t>
      </w:r>
    </w:p>
    <w:tbl>
      <w:tblPr>
        <w:tblW w:type="auto" w:w="0"/>
        <w:jc w:val="center"/>
        <w:tblLayout w:type="fixed"/>
        <w:tblLook w:firstColumn="1" w:firstRow="1" w:lastColumn="0" w:lastRow="0" w:noHBand="0" w:noVBand="1" w:val="04A0"/>
      </w:tblPr>
      <w:tblGrid>
        <w:gridCol w:w="9994"/>
      </w:tblGrid>
      <w:tr>
        <w:tc>
          <w:tcPr>
            <w:tcW w:type="dxa" w:w="9648"/>
            <w:shd w:fill="EAF2F8"/>
            <w:tcMar>
              <w:top w:w="130" w:type="dxa"/>
              <w:start w:w="160" w:type="dxa"/>
              <w:bottom w:w="130" w:type="dxa"/>
              <w:end w:w="160" w:type="dxa"/>
            </w:tcMar>
          </w:tcPr>
          <w:p>
            <w:pPr>
              <w:spacing w:after="0"/>
            </w:pPr>
            <w:r>
              <w:rPr>
                <w:rFonts w:ascii="Carlito" w:hAnsi="Carlito"/>
                <w:b/>
                <w:sz w:val="21"/>
              </w:rPr>
              <w:t xml:space="preserve">Summary judgment. </w:t>
            </w:r>
            <w:r>
              <w:rPr>
                <w:sz w:val="21"/>
              </w:rPr>
              <w:t>The NetLogo model is not a direct implementation of the supplied proposal, nor is its political theory derived from the proposal. Its relationship is architectural: it is a small, domain-specific hybrid model that combines agents, conditional rules, numerical state updates, and an explicit social network. The new voter production system makes that family resemblance substantially stronger. At the same time, the model is implemented inside NetLogo's procedural agent-based language, so it also illustrates the exact limitation that the proposal identified: equations, rules, and networks can be embedded in an agent program without becoming equal, first-class components of a unified formalism.</w:t>
            </w:r>
          </w:p>
        </w:tc>
      </w:tr>
    </w:tbl>
    <w:p>
      <w:pPr>
        <w:pStyle w:val="Heading1"/>
        <w:keepNext/>
        <w:spacing w:before="200" w:after="80"/>
      </w:pPr>
      <w:r>
        <w:t>1. The Relationship Is Architectural, Not Substantive</w:t>
      </w:r>
    </w:p>
    <w:p>
      <w:pPr>
        <w:keepLines w:val="0"/>
        <w:spacing w:after="80" w:line="247" w:lineRule="auto"/>
      </w:pPr>
      <w:r>
        <w:t>The supplied PDF is best read as a proposal for a general computational modeling architecture, not as a political-science model from which the present two-party simulation was mathematically derived. Its central claim is that complex social and life-science models often need to combine four explanatory traditions: agent-based models, differential equations, rule-based systems, and social networks. It proposes a neutral formalism in which these traditions can be represented together, plus a Web environment for constructing, simulating, sharing, and automatically searching such models (Project Summary, p. 6; Research Strategy, pp. 25-26).</w:t>
      </w:r>
    </w:p>
    <w:p>
      <w:pPr>
        <w:keepLines w:val="0"/>
        <w:spacing w:after="80" w:line="247" w:lineRule="auto"/>
      </w:pPr>
      <w:r>
        <w:t>The NetLogo model addresses a quite different substantive problem: whether adaptive competition between two parties can generate persistent electoral parity, and under what conditions parity breaks down. No corresponding election model, voter-choice rule, or party-adaptation mechanism appears in the proposal. The proposal uses infectious disease as its motivating example. The current model therefore inherits a modeling idea rather than a domain theory. It asks, in effect, what a compact political model looks like when several modeling metaphors are deliberately combined.</w:t>
      </w:r>
    </w:p>
    <w:p>
      <w:pPr>
        <w:keepLines w:val="0"/>
        <w:spacing w:after="80" w:line="247" w:lineRule="auto"/>
      </w:pPr>
      <w:r>
        <w:t>That distinction matters. Calling the model a direct descendant of the proposal would overstate the connection. Calling it unrelated would miss the genuine design continuity. The most accurate description is that the model is a manually coded, domain-specific demonstration of the proposal's representational thesis, built in an existing agent-based platform rather than in the proposed unified environment.</w:t>
      </w:r>
    </w:p>
    <w:p>
      <w:pPr>
        <w:pStyle w:val="Heading1"/>
        <w:keepNext/>
        <w:spacing w:before="200" w:after="80"/>
      </w:pPr>
      <w:r>
        <w:t>2. The Proposal's Four-Part Modeling Architecture</w:t>
      </w:r>
    </w:p>
    <w:p>
      <w:pPr>
        <w:keepLines w:val="0"/>
        <w:spacing w:after="80" w:line="247" w:lineRule="auto"/>
      </w:pPr>
      <w:r>
        <w:t>The proposal organizes its unified formalism around four constructs. First, a model contains typed agents or entities with attributes, some fixed and some changing over time. Agent types specify distributions of initial values; simulation creates concrete instances by sampling from those distributions (Research Strategy, pp. 28-29). Second, dynamic behavior is expressed through processes containing algebraic equations, differential equations, or discrete updates. A process can have several effects that occur together (p. 29). Third, processes can have conjunctive conditions that determine when they are active, importing the central conditionality of rule-based systems (p. 30). Fourth, agents can stand in explicit social relations, including potentially asymmetric relations with attributes such as strength or duration (p. 30).</w:t>
      </w:r>
    </w:p>
    <w:p>
      <w:pPr>
        <w:keepLines w:val="0"/>
        <w:spacing w:after="80" w:line="247" w:lineRule="auto"/>
      </w:pPr>
      <w:r>
        <w:t>The proposal also makes a stronger methodological claim. It does not merely advocate putting several techniques in one program. It seeks a representation in which none of the four traditions has priority over the others. It criticizes conventional agent-based platforms because equations and conditional statements can be placed inside agent code but remain "second-class" elements of a procedural program (Research Strategy, pp. 26-27). The proposed environment would also support model editing, visualization, repeated simulation, aggregation of agent attributes, comparison with data, and automated search over both model structure and parameters (pp. 31-34).</w:t>
      </w:r>
    </w:p>
    <w:p>
      <w:pPr>
        <w:pStyle w:val="Heading1"/>
        <w:keepNext/>
        <w:spacing w:before="200" w:after="80"/>
      </w:pPr>
      <w:r>
        <w:t>3. Construct-by-Construct Correspondence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tcMar>
              <w:top w:w="80" w:type="dxa"/>
              <w:start w:w="100" w:type="dxa"/>
              <w:bottom w:w="80" w:type="dxa"/>
              <w:end w:w="100" w:type="dxa"/>
            </w:tcMar>
            <w:vAlign w:val="top"/>
            <w:shd w:fill="D9EAF7"/>
          </w:tcPr>
          <w:p>
            <w:pPr>
              <w:spacing w:after="0" w:line="240" w:lineRule="auto"/>
            </w:pPr>
            <w:r>
              <w:rPr>
                <w:rFonts w:ascii="Carlito" w:hAnsi="Carlito"/>
                <w:b/>
                <w:sz w:val="19"/>
              </w:rPr>
              <w:t>Proposal element</w:t>
            </w:r>
          </w:p>
        </w:tc>
        <w:tc>
          <w:tcPr>
            <w:tcW w:type="dxa" w:w="3816"/>
            <w:tcMar>
              <w:top w:w="80" w:type="dxa"/>
              <w:start w:w="100" w:type="dxa"/>
              <w:bottom w:w="80" w:type="dxa"/>
              <w:end w:w="100" w:type="dxa"/>
            </w:tcMar>
            <w:vAlign w:val="top"/>
            <w:shd w:fill="D9EAF7"/>
          </w:tcPr>
          <w:p>
            <w:pPr>
              <w:spacing w:after="0" w:line="240" w:lineRule="auto"/>
            </w:pPr>
            <w:r>
              <w:rPr>
                <w:rFonts w:ascii="Carlito" w:hAnsi="Carlito"/>
                <w:b/>
                <w:sz w:val="19"/>
              </w:rPr>
              <w:t>Current NetLogo realization</w:t>
            </w:r>
          </w:p>
        </w:tc>
        <w:tc>
          <w:tcPr>
            <w:tcW w:type="dxa" w:w="3672"/>
            <w:tcMar>
              <w:top w:w="80" w:type="dxa"/>
              <w:start w:w="100" w:type="dxa"/>
              <w:bottom w:w="80" w:type="dxa"/>
              <w:end w:w="100" w:type="dxa"/>
            </w:tcMar>
            <w:vAlign w:val="top"/>
            <w:shd w:fill="D9EAF7"/>
          </w:tcPr>
          <w:p>
            <w:pPr>
              <w:spacing w:after="0" w:line="240" w:lineRule="auto"/>
            </w:pPr>
            <w:r>
              <w:rPr>
                <w:rFonts w:ascii="Carlito" w:hAnsi="Carlito"/>
                <w:b/>
                <w:sz w:val="19"/>
              </w:rPr>
              <w:t>Assessment</w:t>
            </w:r>
          </w:p>
        </w:tc>
      </w:tr>
      <w:tr>
        <w:tc>
          <w:tcPr>
            <w:tcW w:type="dxa" w:w="2088"/>
            <w:tcMar>
              <w:top w:w="80" w:type="dxa"/>
              <w:start w:w="100" w:type="dxa"/>
              <w:bottom w:w="80" w:type="dxa"/>
              <w:end w:w="100" w:type="dxa"/>
            </w:tcMar>
            <w:vAlign w:val="top"/>
          </w:tcPr>
          <w:p>
            <w:pPr>
              <w:spacing w:after="0" w:line="240" w:lineRule="auto"/>
            </w:pPr>
            <w:r>
              <w:rPr>
                <w:rFonts w:ascii="Liberation Serif" w:hAnsi="Liberation Serif"/>
                <w:b w:val="0"/>
                <w:sz w:val="18"/>
              </w:rPr>
              <w:t>Typed agents and attributes</w:t>
            </w:r>
          </w:p>
        </w:tc>
        <w:tc>
          <w:tcPr>
            <w:tcW w:type="dxa" w:w="3816"/>
            <w:tcMar>
              <w:top w:w="80" w:type="dxa"/>
              <w:start w:w="100" w:type="dxa"/>
              <w:bottom w:w="80" w:type="dxa"/>
              <w:end w:w="100" w:type="dxa"/>
            </w:tcMar>
            <w:vAlign w:val="top"/>
          </w:tcPr>
          <w:p>
            <w:pPr>
              <w:spacing w:after="0" w:line="240" w:lineRule="auto"/>
            </w:pPr>
            <w:r>
              <w:rPr>
                <w:rFonts w:ascii="Liberation Serif" w:hAnsi="Liberation Serif"/>
                <w:b w:val="0"/>
                <w:sz w:val="18"/>
              </w:rPr>
              <w:t>The model defines voter and party breeds. Voters have ideology, party identity, vote history, turnout state, and production-system working memory; parties have an identifier and global policy positions.</w:t>
            </w:r>
          </w:p>
        </w:tc>
        <w:tc>
          <w:tcPr>
            <w:tcW w:type="dxa" w:w="3672"/>
            <w:tcMar>
              <w:top w:w="80" w:type="dxa"/>
              <w:start w:w="100" w:type="dxa"/>
              <w:bottom w:w="80" w:type="dxa"/>
              <w:end w:w="100" w:type="dxa"/>
            </w:tcMar>
            <w:vAlign w:val="top"/>
          </w:tcPr>
          <w:p>
            <w:pPr>
              <w:spacing w:after="0" w:line="240" w:lineRule="auto"/>
            </w:pPr>
            <w:r>
              <w:rPr>
                <w:rFonts w:ascii="Liberation Serif" w:hAnsi="Liberation Serif"/>
                <w:b w:val="0"/>
                <w:sz w:val="18"/>
              </w:rPr>
              <w:t>Strong correspondence at the level of concrete agent instances. The model does not separately represent reusable type templates or distributions as declarative objects.</w:t>
            </w:r>
          </w:p>
        </w:tc>
      </w:tr>
      <w:tr>
        <w:tc>
          <w:tcPr>
            <w:tcW w:type="dxa" w:w="2088"/>
            <w:tcMar>
              <w:top w:w="80" w:type="dxa"/>
              <w:start w:w="100" w:type="dxa"/>
              <w:bottom w:w="80" w:type="dxa"/>
              <w:end w:w="100" w:type="dxa"/>
            </w:tcMar>
            <w:vAlign w:val="top"/>
          </w:tcPr>
          <w:p>
            <w:pPr>
              <w:spacing w:after="0" w:line="240" w:lineRule="auto"/>
            </w:pPr>
            <w:r>
              <w:rPr>
                <w:rFonts w:ascii="Liberation Serif" w:hAnsi="Liberation Serif"/>
                <w:b w:val="0"/>
                <w:sz w:val="18"/>
              </w:rPr>
              <w:t>Processes and numerical change</w:t>
            </w:r>
          </w:p>
        </w:tc>
        <w:tc>
          <w:tcPr>
            <w:tcW w:type="dxa" w:w="3816"/>
            <w:tcMar>
              <w:top w:w="80" w:type="dxa"/>
              <w:start w:w="100" w:type="dxa"/>
              <w:bottom w:w="80" w:type="dxa"/>
              <w:end w:w="100" w:type="dxa"/>
            </w:tcMar>
            <w:vAlign w:val="top"/>
          </w:tcPr>
          <w:p>
            <w:pPr>
              <w:spacing w:after="0" w:line="240" w:lineRule="auto"/>
            </w:pPr>
            <w:r>
              <w:rPr>
                <w:rFonts w:ascii="Liberation Serif" w:hAnsi="Liberation Serif"/>
                <w:b w:val="0"/>
                <w:sz w:val="18"/>
              </w:rPr>
              <w:t>Party movement, identity reinforcement, social convergence, and opinion drift are implemented as per-election numerical updates in procedures such as adapt-parties, move-losing-party, and update-voter-states.</w:t>
            </w:r>
          </w:p>
        </w:tc>
        <w:tc>
          <w:tcPr>
            <w:tcW w:type="dxa" w:w="3672"/>
            <w:tcMar>
              <w:top w:w="80" w:type="dxa"/>
              <w:start w:w="100" w:type="dxa"/>
              <w:bottom w:w="80" w:type="dxa"/>
              <w:end w:w="100" w:type="dxa"/>
            </w:tcMar>
            <w:vAlign w:val="top"/>
          </w:tcPr>
          <w:p>
            <w:pPr>
              <w:spacing w:after="0" w:line="240" w:lineRule="auto"/>
            </w:pPr>
            <w:r>
              <w:rPr>
                <w:rFonts w:ascii="Liberation Serif" w:hAnsi="Liberation Serif"/>
                <w:b w:val="0"/>
                <w:sz w:val="18"/>
              </w:rPr>
              <w:t>Substantive correspondence, but these are discrete difference or partial-adjustment rules, not declarative process objects or continuous differential equations.</w:t>
            </w:r>
          </w:p>
        </w:tc>
      </w:tr>
      <w:tr>
        <w:tc>
          <w:tcPr>
            <w:tcW w:type="dxa" w:w="2088"/>
            <w:tcMar>
              <w:top w:w="80" w:type="dxa"/>
              <w:start w:w="100" w:type="dxa"/>
              <w:bottom w:w="80" w:type="dxa"/>
              <w:end w:w="100" w:type="dxa"/>
            </w:tcMar>
            <w:vAlign w:val="top"/>
          </w:tcPr>
          <w:p>
            <w:pPr>
              <w:spacing w:after="0" w:line="240" w:lineRule="auto"/>
            </w:pPr>
            <w:r>
              <w:rPr>
                <w:rFonts w:ascii="Liberation Serif" w:hAnsi="Liberation Serif"/>
                <w:b w:val="0"/>
                <w:sz w:val="18"/>
              </w:rPr>
              <w:t>Conditions and rule-based behavior</w:t>
            </w:r>
          </w:p>
        </w:tc>
        <w:tc>
          <w:tcPr>
            <w:tcW w:type="dxa" w:w="3816"/>
            <w:tcMar>
              <w:top w:w="80" w:type="dxa"/>
              <w:start w:w="100" w:type="dxa"/>
              <w:bottom w:w="80" w:type="dxa"/>
              <w:end w:w="100" w:type="dxa"/>
            </w:tcMar>
            <w:vAlign w:val="top"/>
          </w:tcPr>
          <w:p>
            <w:pPr>
              <w:spacing w:after="0" w:line="240" w:lineRule="auto"/>
            </w:pPr>
            <w:r>
              <w:rPr>
                <w:rFonts w:ascii="Liberation Serif" w:hAnsi="Liberation Serif"/>
                <w:b w:val="0"/>
                <w:sz w:val="18"/>
              </w:rPr>
              <w:t>run-production-system contains separate switchable IF-THEN productions for policy, identity, habit, neighbors, engagement, indifference, alienation, and cross-pressure.</w:t>
            </w:r>
          </w:p>
        </w:tc>
        <w:tc>
          <w:tcPr>
            <w:tcW w:type="dxa" w:w="3672"/>
            <w:tcMar>
              <w:top w:w="80" w:type="dxa"/>
              <w:start w:w="100" w:type="dxa"/>
              <w:bottom w:w="80" w:type="dxa"/>
              <w:end w:w="100" w:type="dxa"/>
            </w:tcMar>
            <w:vAlign w:val="top"/>
          </w:tcPr>
          <w:p>
            <w:pPr>
              <w:spacing w:after="0" w:line="240" w:lineRule="auto"/>
            </w:pPr>
            <w:r>
              <w:rPr>
                <w:rFonts w:ascii="Liberation Serif" w:hAnsi="Liberation Serif"/>
                <w:b w:val="0"/>
                <w:sz w:val="18"/>
              </w:rPr>
              <w:t>The closest and most explicit link to the proposal. The rules are inspectable and experimentally removable, although they are still hand-coded NetLogo statements.</w:t>
            </w:r>
          </w:p>
        </w:tc>
      </w:tr>
      <w:tr>
        <w:tc>
          <w:tcPr>
            <w:tcW w:type="dxa" w:w="2088"/>
            <w:tcMar>
              <w:top w:w="80" w:type="dxa"/>
              <w:start w:w="100" w:type="dxa"/>
              <w:bottom w:w="80" w:type="dxa"/>
              <w:end w:w="100" w:type="dxa"/>
            </w:tcMar>
            <w:vAlign w:val="top"/>
          </w:tcPr>
          <w:p>
            <w:pPr>
              <w:spacing w:after="0" w:line="240" w:lineRule="auto"/>
            </w:pPr>
            <w:r>
              <w:rPr>
                <w:rFonts w:ascii="Liberation Serif" w:hAnsi="Liberation Serif"/>
                <w:b w:val="0"/>
                <w:sz w:val="18"/>
              </w:rPr>
              <w:t>Social relations</w:t>
            </w:r>
          </w:p>
        </w:tc>
        <w:tc>
          <w:tcPr>
            <w:tcW w:type="dxa" w:w="3816"/>
            <w:tcMar>
              <w:top w:w="80" w:type="dxa"/>
              <w:start w:w="100" w:type="dxa"/>
              <w:bottom w:w="80" w:type="dxa"/>
              <w:end w:w="100" w:type="dxa"/>
            </w:tcMar>
            <w:vAlign w:val="top"/>
          </w:tcPr>
          <w:p>
            <w:pPr>
              <w:spacing w:after="0" w:line="240" w:lineRule="auto"/>
            </w:pPr>
            <w:r>
              <w:rPr>
                <w:rFonts w:ascii="Liberation Serif" w:hAnsi="Liberation Serif"/>
                <w:b w:val="0"/>
                <w:sz w:val="18"/>
              </w:rPr>
              <w:t>An undirected social-link breed represents persistent voter connections. Homophily shapes link formation; linked neighbors affect voting reasons and ideological change.</w:t>
            </w:r>
          </w:p>
        </w:tc>
        <w:tc>
          <w:tcPr>
            <w:tcW w:type="dxa" w:w="3672"/>
            <w:tcMar>
              <w:top w:w="80" w:type="dxa"/>
              <w:start w:w="100" w:type="dxa"/>
              <w:bottom w:w="80" w:type="dxa"/>
              <w:end w:w="100" w:type="dxa"/>
            </w:tcMar>
            <w:vAlign w:val="top"/>
          </w:tcPr>
          <w:p>
            <w:pPr>
              <w:spacing w:after="0" w:line="240" w:lineRule="auto"/>
            </w:pPr>
            <w:r>
              <w:rPr>
                <w:rFonts w:ascii="Liberation Serif" w:hAnsi="Liberation Serif"/>
                <w:b w:val="0"/>
                <w:sz w:val="18"/>
              </w:rPr>
              <w:t>Clear network component. It lacks asymmetric relations and relationship-specific attributes such as strength or duration.</w:t>
            </w:r>
          </w:p>
        </w:tc>
      </w:tr>
      <w:tr>
        <w:tc>
          <w:tcPr>
            <w:tcW w:type="dxa" w:w="2088"/>
            <w:tcMar>
              <w:top w:w="80" w:type="dxa"/>
              <w:start w:w="100" w:type="dxa"/>
              <w:bottom w:w="80" w:type="dxa"/>
              <w:end w:w="100" w:type="dxa"/>
            </w:tcMar>
            <w:vAlign w:val="top"/>
          </w:tcPr>
          <w:p>
            <w:pPr>
              <w:spacing w:after="0" w:line="240" w:lineRule="auto"/>
            </w:pPr>
            <w:r>
              <w:rPr>
                <w:rFonts w:ascii="Liberation Serif" w:hAnsi="Liberation Serif"/>
                <w:b w:val="0"/>
                <w:sz w:val="18"/>
              </w:rPr>
              <w:t>Simulation and aggregation</w:t>
            </w:r>
          </w:p>
        </w:tc>
        <w:tc>
          <w:tcPr>
            <w:tcW w:type="dxa" w:w="3816"/>
            <w:tcMar>
              <w:top w:w="80" w:type="dxa"/>
              <w:start w:w="100" w:type="dxa"/>
              <w:bottom w:w="80" w:type="dxa"/>
              <w:end w:w="100" w:type="dxa"/>
            </w:tcMar>
            <w:vAlign w:val="top"/>
          </w:tcPr>
          <w:p>
            <w:pPr>
              <w:spacing w:after="0" w:line="240" w:lineRule="auto"/>
            </w:pPr>
            <w:r>
              <w:rPr>
                <w:rFonts w:ascii="Liberation Serif" w:hAnsi="Liberation Serif"/>
                <w:b w:val="0"/>
                <w:sz w:val="18"/>
              </w:rPr>
              <w:t>Each tick is one election. The model iterates over voters, aggregates votes and turnout, updates agents and parties, records trajectories, and supports BehaviorSpace sweeps.</w:t>
            </w:r>
          </w:p>
        </w:tc>
        <w:tc>
          <w:tcPr>
            <w:tcW w:type="dxa" w:w="3672"/>
            <w:tcMar>
              <w:top w:w="80" w:type="dxa"/>
              <w:start w:w="100" w:type="dxa"/>
              <w:bottom w:w="80" w:type="dxa"/>
              <w:end w:w="100" w:type="dxa"/>
            </w:tcMar>
            <w:vAlign w:val="top"/>
          </w:tcPr>
          <w:p>
            <w:pPr>
              <w:spacing w:after="0" w:line="240" w:lineRule="auto"/>
            </w:pPr>
            <w:r>
              <w:rPr>
                <w:rFonts w:ascii="Liberation Serif" w:hAnsi="Liberation Serif"/>
                <w:b w:val="0"/>
                <w:sz w:val="18"/>
              </w:rPr>
              <w:t>Closely parallels the proposal's operational simulation cycle and population-level summaries.</w:t>
            </w:r>
          </w:p>
        </w:tc>
      </w:tr>
      <w:tr>
        <w:tc>
          <w:tcPr>
            <w:tcW w:type="dxa" w:w="2088"/>
            <w:tcMar>
              <w:top w:w="80" w:type="dxa"/>
              <w:start w:w="100" w:type="dxa"/>
              <w:bottom w:w="80" w:type="dxa"/>
              <w:end w:w="100" w:type="dxa"/>
            </w:tcMar>
            <w:vAlign w:val="top"/>
          </w:tcPr>
          <w:p>
            <w:pPr>
              <w:spacing w:after="0" w:line="240" w:lineRule="auto"/>
            </w:pPr>
            <w:r>
              <w:rPr>
                <w:rFonts w:ascii="Liberation Serif" w:hAnsi="Liberation Serif"/>
                <w:b w:val="0"/>
                <w:sz w:val="18"/>
              </w:rPr>
              <w:t>Model construction and discovery</w:t>
            </w:r>
          </w:p>
        </w:tc>
        <w:tc>
          <w:tcPr>
            <w:tcW w:type="dxa" w:w="3816"/>
            <w:tcMar>
              <w:top w:w="80" w:type="dxa"/>
              <w:start w:w="100" w:type="dxa"/>
              <w:bottom w:w="80" w:type="dxa"/>
              <w:end w:w="100" w:type="dxa"/>
            </w:tcMar>
            <w:vAlign w:val="top"/>
          </w:tcPr>
          <w:p>
            <w:pPr>
              <w:spacing w:after="0" w:line="240" w:lineRule="auto"/>
            </w:pPr>
            <w:r>
              <w:rPr>
                <w:rFonts w:ascii="Liberation Serif" w:hAnsi="Liberation Serif"/>
                <w:b w:val="0"/>
                <w:sz w:val="18"/>
              </w:rPr>
              <w:t>Parameters and rule switches are exposed in the NetLogo Interface; two BehaviorSpace experiments sweep selected parameters.</w:t>
            </w:r>
          </w:p>
        </w:tc>
        <w:tc>
          <w:tcPr>
            <w:tcW w:type="dxa" w:w="3672"/>
            <w:tcMar>
              <w:top w:w="80" w:type="dxa"/>
              <w:start w:w="100" w:type="dxa"/>
              <w:bottom w:w="80" w:type="dxa"/>
              <w:end w:w="100" w:type="dxa"/>
            </w:tcMar>
            <w:vAlign w:val="top"/>
          </w:tcPr>
          <w:p>
            <w:pPr>
              <w:spacing w:after="0" w:line="240" w:lineRule="auto"/>
            </w:pPr>
            <w:r>
              <w:rPr>
                <w:rFonts w:ascii="Liberation Serif" w:hAnsi="Liberation Serif"/>
                <w:b w:val="0"/>
                <w:sz w:val="18"/>
              </w:rPr>
              <w:t>Useful experimentation, but no neutral model editor, structural model generator, parameter fitting to observations, or automated search through candidate model structures.</w:t>
            </w:r>
          </w:p>
        </w:tc>
      </w:tr>
    </w:tbl>
    <w:p>
      <w:pPr>
        <w:pStyle w:val="Heading1"/>
        <w:keepNext/>
        <w:spacing w:before="200" w:after="80"/>
      </w:pPr>
      <w:r>
        <w:t>4. Agents and State: A Close Match in Operational Terms</w:t>
      </w:r>
    </w:p>
    <w:p>
      <w:pPr>
        <w:keepLines w:val="0"/>
        <w:spacing w:after="80" w:line="247" w:lineRule="auto"/>
      </w:pPr>
      <w:r>
        <w:t>The most direct correspondence lies in the representation of agents as bundles of attributes. The proposal's Person entities have positions, immune-system parameters, and dynamically changing cell counts. The political model substitutes voters with ideology, partisan identity, vote history, intended choice, turnout probability, and other state variables. The party turtles and the global blue-position and red-position variables similarly represent political organizations with persistent policy locations.</w:t>
      </w:r>
    </w:p>
    <w:p>
      <w:pPr>
        <w:keepLines w:val="0"/>
        <w:spacing w:after="80" w:line="247" w:lineRule="auto"/>
      </w:pPr>
      <w:r>
        <w:t>The model's comments make an especially important distinction between internal state and screen geometry. Political calculations use ideology and party-position variables, while turtle coordinates merely display those values. This is consistent with the proposal's conception of agents as formal entities whose attributes carry causal content. It also avoids a common NetLogo ambiguity in which spatial proximity on the screen silently becomes the operative social mechanism.</w:t>
      </w:r>
    </w:p>
    <w:p>
      <w:pPr>
        <w:keepLines w:val="0"/>
        <w:spacing w:after="80" w:line="247" w:lineRule="auto"/>
      </w:pPr>
      <w:r>
        <w:t>The difference is representational level. In the proposal, an agent type is a reusable declarative specification from which instances are generated. In the NetLogo model, the breed declaration and setup code jointly play that role. The type, initialization distribution, and population-generation procedure are spread across NetLogo syntax rather than represented as a single inspectable object. Thus the model realizes the behavior of typed instances, but not the proposal's type-instance formalism in a literal way.</w:t>
      </w:r>
    </w:p>
    <w:p>
      <w:pPr>
        <w:pStyle w:val="Heading1"/>
        <w:keepNext/>
        <w:spacing w:before="200" w:after="80"/>
      </w:pPr>
      <w:r>
        <w:t>5. Processes and Equations: Present, but Procedural and Discrete</w:t>
      </w:r>
    </w:p>
    <w:p>
      <w:pPr>
        <w:keepLines w:val="0"/>
        <w:spacing w:after="80" w:line="247" w:lineRule="auto"/>
      </w:pPr>
      <w:r>
        <w:t>The political model contains several mechanisms that can be interpreted as processes. A losing party moves partway toward a target formed from narrowly lost opponents and its own supporters. A winning party may move toward its base. Voting reinforces partisan identity. Linked neighbors pull ideology toward their mean, while random drift perturbs it. Each mechanism changes one or more attributes over a tick and can therefore be mapped conceptually onto the proposal's process construct.</w:t>
      </w:r>
    </w:p>
    <w:p>
      <w:pPr>
        <w:keepLines w:val="0"/>
        <w:spacing w:after="80" w:line="247" w:lineRule="auto"/>
      </w:pPr>
      <w:r>
        <w:t>However, the mapping is not exact. The proposal treats processes as named declarative objects containing equations or discrete updates, with conditions and arguments that are grounded over agent instances. In the NetLogo model, the mechanisms are observer and turtle procedures executed in a fixed control sequence. They are equations in an informal mathematical sense, but they are encoded as assignments. There is no separate process library, no grounding of generic process templates, and no general combining function for reconciling multiple simultaneous influences on the same attribute.</w:t>
      </w:r>
    </w:p>
    <w:p>
      <w:pPr>
        <w:keepLines w:val="0"/>
        <w:spacing w:after="80" w:line="247" w:lineRule="auto"/>
      </w:pPr>
      <w:r>
        <w:t>The model also does not currently use continuous-time differential equations or a numerical integration scheme. Its numerical core consists of one-step difference equations and partial-adjustment formulas. This is entirely appropriate for a model in which one tick is one election, but it means that the differential-equation component of the proposal is represented only by a family resemblance: explicit quantitative dynamics, not literal differential equations.</w:t>
      </w:r>
    </w:p>
    <w:p>
      <w:pPr>
        <w:pStyle w:val="Heading1"/>
        <w:keepNext/>
        <w:spacing w:before="200" w:after="80"/>
      </w:pPr>
      <w:r>
        <w:t>6. The Production-System Extension Is the Strongest Link</w:t>
      </w:r>
    </w:p>
    <w:p>
      <w:pPr>
        <w:keepLines w:val="0"/>
        <w:spacing w:after="80" w:line="247" w:lineRule="auto"/>
      </w:pPr>
      <w:r>
        <w:t>The new production system substantially changes the relationship between the model and the proposal. In the weighted voter architecture, policy proximity, partisan identity, and election noise are collapsed into one continuous choice score. Conditional logic exists, but the explanatory unit is still the equation. Under production-system mode, each voter instead evaluates a common set of separate IF-THEN rules. Rules can independently add Blue reasons, Red reasons, turnout reasons, or abstention reasons, after which explicit conflict-resolution procedures determine intended choice and turnout probability.</w:t>
      </w:r>
    </w:p>
    <w:p>
      <w:pPr>
        <w:keepLines w:val="0"/>
        <w:spacing w:after="80" w:line="247" w:lineRule="auto"/>
      </w:pPr>
      <w:r>
        <w:t>This is more than a cosmetic rewrite. The individual rules become modular hypotheses. The Interface switches allow policy, identity, habit, neighbor majority, engagement, indifference, alienation, and cross-pressure to be removed one at a time. The rule-trace variable records which productions fired for an individual voter. These features support the kind of modular model comparison emphasized by the proposal: the modeler can ask whether a behavioral regularity depends on the presence of a particular mechanism rather than merely tuning the weight of a term in a single equation.</w:t>
      </w:r>
    </w:p>
    <w:p>
      <w:pPr>
        <w:keepLines w:val="0"/>
        <w:spacing w:after="80" w:line="247" w:lineRule="auto"/>
      </w:pPr>
      <w:r>
        <w:t>The production system is nevertheless not identical to the proposal's use of conditions on processes. In the proposal, a condition primarily activates or deactivates a process whose equations then produce effects. In the NetLogo model, the rules produce symbolic reasons that accumulate in working memory and are resolved by a separate decision stage. This is closer to a classical cognitive production system than to a simple conditional process. In that sense, the current model develops the rule-based component in a direction that is both faithful to the proposal's broader ambition and more psychologically explicit than the proposal's infectious-disease examples.</w:t>
      </w:r>
    </w:p>
    <w:p>
      <w:pPr>
        <w:keepLines w:val="0"/>
        <w:spacing w:after="80" w:line="247" w:lineRule="auto"/>
      </w:pPr>
      <w:r>
        <w:t>There is also an important asymmetry. Voter behavior has been rewritten as an explicit production system, but party adaptation remains procedural. A more complete realization of the proposal would represent party rules in the same modular way: for example, IF the party lost and sufficient narrowly lost voters exist, THEN move toward their mean; IF base pressure exceeds a threshold, THEN weight current supporters more heavily; IF the party won, THEN either hold position or respond to its base. Doing so would make the model's two major agent types equally rule-governed and would further separate domain theory from execution order.</w:t>
      </w:r>
    </w:p>
    <w:p>
      <w:pPr>
        <w:pStyle w:val="Heading1"/>
        <w:keepNext/>
        <w:spacing w:before="200" w:after="80"/>
      </w:pPr>
      <w:r>
        <w:t>7. Social Networks: A Genuine Component, but a Simplified One</w:t>
      </w:r>
    </w:p>
    <w:p>
      <w:pPr>
        <w:keepLines w:val="0"/>
        <w:spacing w:after="80" w:line="247" w:lineRule="auto"/>
      </w:pPr>
      <w:r>
        <w:t>The explicit social-link breed is a genuine implementation of the network component. Link formation depends probabilistically on ideological similarity, producing homophilous networks. The same persistent links are then used in two distinct mechanisms: a voter may acquire a party-choice reason from the prior votes of a linked-neighbor majority, and the voter's ideology may move toward the linked neighbors' mean. The model therefore distinguishes behavioral influence from opinion convergence even though both operate over the same topology.</w:t>
      </w:r>
    </w:p>
    <w:p>
      <w:pPr>
        <w:keepLines w:val="0"/>
        <w:spacing w:after="80" w:line="247" w:lineRule="auto"/>
      </w:pPr>
      <w:r>
        <w:t>This is conceptually close to the proposal's insistence that relations among agents should be represented directly rather than inferred from spatial proximity. Yet the current network is deliberately simpler than the proposed relation formalism. Links are undirected, untyped, and unweighted. They have no strength, duration, trust, or direction, and they do not change after construction unless the network is rebuilt. The proposal explicitly anticipated asymmetric relations and secondary attributes on relations. Those features would be natural extensions if the political theory required leaders and followers, strong and weak ties, or evolving partisan discussion networks.</w:t>
      </w:r>
    </w:p>
    <w:p>
      <w:pPr>
        <w:pStyle w:val="Heading1"/>
        <w:keepNext/>
        <w:spacing w:before="200" w:after="80"/>
      </w:pPr>
      <w:r>
        <w:t>8. The Model Both Supports and Demonstrates the Proposal's Critique of NetLogo</w:t>
      </w:r>
    </w:p>
    <w:p>
      <w:pPr>
        <w:keepLines w:val="0"/>
        <w:spacing w:after="80" w:line="247" w:lineRule="auto"/>
      </w:pPr>
      <w:r>
        <w:t>The proposal explicitly names NetLogo as an agent-based framework that permits conditional statements and equations inside agent programs while giving the agent-based metaphor priority. The present model shows both sides of that claim. On the positive side, NetLogo is flexible enough to create a coherent hybrid quickly. The model has agents, numerical adaptation, conditional rules, a persistent network, visualization, history export, and parameter sweeps in one executable file. For teaching and exploratory science, that integration is a major strength.</w:t>
      </w:r>
    </w:p>
    <w:p>
      <w:pPr>
        <w:keepLines w:val="0"/>
        <w:spacing w:after="80" w:line="247" w:lineRule="auto"/>
      </w:pPr>
      <w:r>
        <w:t>At the same time, the code structure remains procedural. The go procedure fixes the order: maintain the network, run the election, adapt parties, update voters, calculate summaries, update the display, record history, and advance the tick. Rules, equations, and network operations are not independent objects that can be rearranged or inspected through a common representation. The modeler must understand NetLogo control flow to see how they interact. This is precisely what the proposed unified formalism was designed to avoid.</w:t>
      </w:r>
    </w:p>
    <w:p>
      <w:pPr>
        <w:keepLines w:val="0"/>
        <w:spacing w:after="80" w:line="247" w:lineRule="auto"/>
      </w:pPr>
      <w:r>
        <w:t>The model is therefore not a counterexample to the proposal's critique. It is a productive illustration of it. NetLogo can express the desired hybrid, but it expresses it as a carefully organized program. The extensive comments, named procedures, grouped thresholds, rule switches, and rule traces compensate manually for the absence of a neutral declarative layer.</w:t>
      </w:r>
    </w:p>
    <w:p>
      <w:pPr>
        <w:pStyle w:val="Heading1"/>
        <w:keepNext/>
        <w:spacing w:before="200" w:after="80"/>
      </w:pPr>
      <w:r>
        <w:t>9. What the Current Model Adds That the Proposal Does Not Supply</w:t>
      </w:r>
    </w:p>
    <w:p>
      <w:pPr>
        <w:keepLines w:val="0"/>
        <w:spacing w:after="80" w:line="247" w:lineRule="auto"/>
      </w:pPr>
      <w:r>
        <w:t>The proposal supplies an architecture but not a political mechanism. The current model contributes several domain-specific commitments: one-dimensional ideology; two parties whose positions are ordered left to right; voters whose policy preferences and partisan identities may diverge; endogenous identity reinforcement; a loser-driven adaptation rule; optional winner movement toward its base; turnout as a separate decision; and a homophilous network that can influence both votes and opinions. These assumptions are the actual political theory of the model.</w:t>
      </w:r>
    </w:p>
    <w:p>
      <w:pPr>
        <w:keepLines w:val="0"/>
        <w:spacing w:after="80" w:line="247" w:lineRule="auto"/>
      </w:pPr>
      <w:r>
        <w:t>The model also sharpens a dynamic interpretation of parity. A close election need not be a static equilibrium at which neither party changes. It may be a moving outcome generated by negative feedback: the loser moves, alters the next contest, and may cause the previous winner to become the next loser. Conversely, when base pressure is high, the same adaptation machinery can create outward movement and larger party separation. This substantive claim comes from the model, not from the original proposal.</w:t>
      </w:r>
    </w:p>
    <w:p>
      <w:pPr>
        <w:keepLines w:val="0"/>
        <w:spacing w:after="80" w:line="247" w:lineRule="auto"/>
      </w:pPr>
      <w:r>
        <w:t>Likewise, the production system introduces a useful contrast between compensatory and noncompensatory accounts of voter choice. The weighted model lets a sufficiently large value on one dimension offset another continuously. The production model discretizes considerations into activated reasons. A weak difference may produce no reason at all; several rules can conflict; and turnout can be reduced by indifference, alienation, or cross-pressure even when a latent party choice exists. That contrast is a potentially important experimental contribution of the current model.</w:t>
      </w:r>
    </w:p>
    <w:p>
      <w:pPr>
        <w:pStyle w:val="Heading1"/>
        <w:keepNext/>
        <w:spacing w:before="200" w:after="80"/>
      </w:pPr>
      <w:r>
        <w:t>10. Missing Pieces Relative to the Full Proposal</w:t>
      </w:r>
    </w:p>
    <w:p>
      <w:pPr>
        <w:keepLines w:val="0"/>
        <w:spacing w:after="80" w:line="247" w:lineRule="auto"/>
      </w:pPr>
      <w:r>
        <w:t>Several major elements of the proposed system are intentionally absent. The current model has no Web-based model editor or shared repository. It does not represent models in a paradigm-neutral syntax. It does not generate grounded process instances from generic templates. It does not estimate parameters from observed election time series, search alternative model structures, rank candidate explanations by fit, or use background knowledge to constrain that search. BehaviorSpace performs systematic parameter sweeps, but that is experimental enumeration, not the proposal's inductive process modeling.</w:t>
      </w:r>
    </w:p>
    <w:p>
      <w:pPr>
        <w:keepLines w:val="0"/>
        <w:spacing w:after="80" w:line="247" w:lineRule="auto"/>
      </w:pPr>
      <w:r>
        <w:t>The model also lacks some representational details: agent subclasses, relation-specific attributes, asymmetric links, multiple simultaneous processes combined by declared aggregation functions, and multiple runs automatically averaged into predicted trajectories. Some of these can be implemented in NetLogo; others would require a layer above NetLogo. Their absence does not weaken the current model as a teaching or research prototype, but it marks the boundary between a hybrid model and the general modeling environment envisioned in the proposal.</w:t>
      </w:r>
    </w:p>
    <w:p>
      <w:pPr>
        <w:pStyle w:val="Heading1"/>
        <w:keepNext/>
        <w:spacing w:before="200" w:after="80"/>
      </w:pPr>
      <w:r>
        <w:t>11. A Useful Way to Present the Lineage</w:t>
      </w:r>
    </w:p>
    <w:p>
      <w:pPr>
        <w:keepLines w:val="0"/>
        <w:spacing w:after="80" w:line="247" w:lineRule="auto"/>
      </w:pPr>
      <w:r>
        <w:t>For documentation or a paper, the lineage can be stated without claiming more than the sources support:</w:t>
      </w:r>
    </w:p>
    <w:tbl>
      <w:tblPr>
        <w:tblW w:type="auto" w:w="0"/>
        <w:jc w:val="center"/>
        <w:tblLayout w:type="fixed"/>
        <w:tblLook w:firstColumn="1" w:firstRow="1" w:lastColumn="0" w:lastRow="0" w:noHBand="0" w:noVBand="1" w:val="04A0"/>
      </w:tblPr>
      <w:tblGrid>
        <w:gridCol w:w="9994"/>
      </w:tblGrid>
      <w:tr>
        <w:tc>
          <w:tcPr>
            <w:tcW w:type="dxa" w:w="9432"/>
            <w:shd w:fill="F3F3F3"/>
            <w:tcMar>
              <w:top w:w="120" w:type="dxa"/>
              <w:start w:w="180" w:type="dxa"/>
              <w:bottom w:w="120" w:type="dxa"/>
              <w:end w:w="180" w:type="dxa"/>
            </w:tcMar>
          </w:tcPr>
          <w:p>
            <w:pPr>
              <w:spacing w:after="0"/>
              <w:ind w:left="72" w:right="72"/>
            </w:pPr>
            <w:r>
              <w:rPr>
                <w:i/>
                <w:sz w:val="21"/>
              </w:rPr>
              <w:t>The model was inspired by a proposed unified approach to computational modeling that combines agent-based entities, quantitative processes, conditional rules, and explicit social relations. The present implementation does not reproduce that general formalism or its model-discovery environment. Instead, it explores the same integrative idea within NetLogo in a specific political domain. Voters and parties are agents; party adaptation and opinion change are numerical processes; voter decisions can be generated by explicit production rules; and social influence operates over a persistent network.</w:t>
            </w:r>
          </w:p>
        </w:tc>
      </w:tr>
    </w:tbl>
    <w:p>
      <w:pPr>
        <w:keepLines w:val="0"/>
        <w:spacing w:after="80" w:line="247" w:lineRule="auto"/>
      </w:pPr>
      <w:r>
        <w:t>This formulation captures the real intellectual relationship. It credits the architectural origin, identifies the components that were carried forward, and avoids suggesting that the political assumptions or equations were taken from the proposal.</w:t>
      </w:r>
    </w:p>
    <w:p>
      <w:pPr>
        <w:pStyle w:val="Heading1"/>
        <w:keepNext/>
        <w:spacing w:before="200" w:after="80"/>
      </w:pPr>
      <w:r>
        <w:t>12. Conclusion</w:t>
      </w:r>
    </w:p>
    <w:p>
      <w:pPr>
        <w:keepLines w:val="0"/>
        <w:spacing w:after="80" w:line="247" w:lineRule="auto"/>
      </w:pPr>
      <w:r>
        <w:t>The current model is best understood as a compact hybrid simulation in the spirit of the supplied unified-modeling proposal. Its agents, numerical dynamics, conditional voter rules, and explicit social network correspond closely to the four traditions that the proposal sought to combine. The production-system extension is especially important because it turns voter mechanisms into separable, inspectable, switchable hypotheses rather than leaving all behavior inside a single weighted equation.</w:t>
      </w:r>
    </w:p>
    <w:p>
      <w:pPr>
        <w:keepLines w:val="0"/>
        <w:spacing w:after="80" w:line="247" w:lineRule="auto"/>
      </w:pPr>
      <w:r>
        <w:t>But the model is not an implementation of the proposed formalism as such. NetLogo remains the host language and agent-based control remains primary. Processes are procedures, equations are assignments, rules are hand-coded IF statements, and relations are ordinary links. There is no common declarative syntax, model editor, or automated search over explanatory structures. The model therefore occupies an illuminating middle position: it is both evidence that the proposal's hybrid modeling goal is scientifically useful and an example of why the proposal sought a representation above and beyond a conventional agent-based programming language.</w:t>
      </w:r>
    </w:p>
    <w:p>
      <w:pPr>
        <w:pStyle w:val="Heading1"/>
        <w:keepNext/>
        <w:keepLines/>
        <w:spacing w:before="200" w:after="80"/>
      </w:pPr>
      <w:r>
        <w:t>Sources Reviewed</w:t>
      </w:r>
    </w:p>
    <w:p>
      <w:pPr>
        <w:keepLines/>
        <w:spacing w:after="60" w:line="247" w:lineRule="auto"/>
      </w:pPr>
      <w:r>
        <w:t>Langley, Patrick (Principal Investigator). Modeling.pdf. Supplied project-proposal excerpt describing a unified computational modeling environment; cited above by the printed page numbers in the document.</w:t>
      </w:r>
    </w:p>
    <w:p>
      <w:pPr>
        <w:keepLines/>
        <w:spacing w:after="60" w:line="247" w:lineRule="auto"/>
      </w:pPr>
      <w:r>
        <w:t>adaptive_two_party_model_production_rules_commented.nlogo. NetLogo 6.4.0 model supplied for review, including code, Interface definitions, model documentation, and BehaviorSpace experiments.</w:t>
      </w:r>
    </w:p>
    <w:sectPr w:rsidR="00FC693F" w:rsidRPr="0006063C" w:rsidSect="00034616">
      <w:headerReference w:type="default" r:id="rId9"/>
      <w:footerReference w:type="default" r:id="rId10"/>
      <w:pgSz w:w="12240" w:h="15840"/>
      <w:pgMar w:top="1008"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color w:val="646464"/>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rlito" w:hAnsi="Carlito"/>
        <w:color w:val="646464"/>
        <w:sz w:val="17"/>
      </w:rPr>
      <w:t>Unified modeling proposal and adaptive two-party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203864"/>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color w:val="20386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eastAsia="Carlito"/>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Inline"/>
    <w:rPr>
      <w:rFonts w:ascii="Liberation Mono" w:hAnsi="Liberation Mono" w:eastAsia="Liberation Mono"/>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Commentary on the Relationship Between the Unified Modeling Proposal and the Adaptive Two-Party NetLogo Model</dc:title>
  <dc:subject>Comparative commentary on a modeling proposal and a NetLogo implementation</dc:subject>
  <dc:creator>Prepared from supplied sources</dc:creator>
  <cp:keywords>NetLogo, agent-based modeling, production systems, social networks, unified modeling</cp:keywords>
  <dc:description>generated by python-docx</dc:description>
  <cp:lastModifiedBy/>
  <cp:revision>1</cp:revision>
  <dcterms:created xsi:type="dcterms:W3CDTF">2013-12-23T23:15:00Z</dcterms:created>
  <dcterms:modified xsi:type="dcterms:W3CDTF">2013-12-23T23:15:00Z</dcterms:modified>
  <cp:category/>
</cp:coreProperties>
</file>