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670B6" w14:textId="77777777" w:rsidR="00D21F0A" w:rsidRDefault="0035225F">
      <w:pPr>
        <w:pStyle w:val="FirstParagraph"/>
      </w:pPr>
      <w:r>
        <w:t xml:space="preserve">Summary: </w:t>
      </w:r>
      <w:r>
        <w:t>The meeting introduced Huafeng Group’s chemical business and then focused on collaborative development of functional PU-based films/fibers, including electro‑spun PU membrane composites, non‑fluorinated and bio‑based solutions, and DEF‑solvent routes. Participants reviewed current membrane performance, cost premiums of bio‑based and TPU/GPUs, and Huafeng’s R&amp;D progress (low‑temperature adhesives, bio‑based PPT for August, planned capacity in ~8 months). A major discussion topic was lowering DMAc residuals t</w:t>
      </w:r>
      <w:r>
        <w:t>o meet tightening EU/OEKO‑TEX requirements, comparing “simple” process adjustments vs. more complex post‑treatment/rewinding routes and potentially moving to solvent‑free technologies. Both sides aligned that they need clear internal and SGS‑correlated test data (including sampling methods and time‑point profiles) to judge gap vs. future limits and to build a regulatory‑robust plan and timeline.</w:t>
      </w:r>
    </w:p>
    <w:p w14:paraId="36E670B7" w14:textId="77777777" w:rsidR="00D21F0A" w:rsidRDefault="0035225F">
      <w:pPr>
        <w:pStyle w:val="a0"/>
      </w:pPr>
      <w:r>
        <w:t>Action items:</w:t>
      </w:r>
    </w:p>
    <w:p w14:paraId="36E670B8" w14:textId="77777777" w:rsidR="00D21F0A" w:rsidRDefault="0035225F">
      <w:pPr>
        <w:numPr>
          <w:ilvl w:val="0"/>
          <w:numId w:val="2"/>
        </w:numPr>
      </w:pPr>
      <w:r>
        <w:t>Share Huafeng’s process flow diagram and explanation of the “simple scheme” (adjusted spinning / quench point and hot‑air channel) for inclusion in the company introduction package to KC.</w:t>
      </w:r>
    </w:p>
    <w:p w14:paraId="36E670B9" w14:textId="77777777" w:rsidR="00D21F0A" w:rsidRDefault="0035225F">
      <w:pPr>
        <w:numPr>
          <w:ilvl w:val="0"/>
          <w:numId w:val="2"/>
        </w:numPr>
      </w:pPr>
      <w:r>
        <w:t>Huafeng to review internal DMAc (GC‑MS) test data:</w:t>
      </w:r>
    </w:p>
    <w:p w14:paraId="36E670BA" w14:textId="77777777" w:rsidR="00D21F0A" w:rsidRDefault="0035225F">
      <w:pPr>
        <w:pStyle w:val="Compact"/>
        <w:numPr>
          <w:ilvl w:val="1"/>
          <w:numId w:val="3"/>
        </w:numPr>
      </w:pPr>
      <w:r>
        <w:t>Compile existing internal DMAc data ranges for different deniers (e.g., 120–800D) and new vs. old processes.</w:t>
      </w:r>
    </w:p>
    <w:p w14:paraId="36E670BB" w14:textId="77777777" w:rsidR="00D21F0A" w:rsidRDefault="0035225F">
      <w:pPr>
        <w:pStyle w:val="Compact"/>
        <w:numPr>
          <w:ilvl w:val="1"/>
          <w:numId w:val="3"/>
        </w:numPr>
      </w:pPr>
      <w:r>
        <w:t>Check historical datasets generated for other customers against the 10 ppm-in-diaper benchmark.</w:t>
      </w:r>
    </w:p>
    <w:p w14:paraId="36E670BC" w14:textId="77777777" w:rsidR="00D21F0A" w:rsidRDefault="0035225F">
      <w:pPr>
        <w:pStyle w:val="Compact"/>
        <w:numPr>
          <w:ilvl w:val="1"/>
          <w:numId w:val="3"/>
        </w:numPr>
      </w:pPr>
      <w:r>
        <w:t>Provide an overview of internal testing SOPs, including sampling points (surface vs. inner layers, top vs. bottom of package) and storage conditions/time before testing.</w:t>
      </w:r>
    </w:p>
    <w:p w14:paraId="36E670BD" w14:textId="77777777" w:rsidR="00D21F0A" w:rsidRDefault="0035225F">
      <w:pPr>
        <w:numPr>
          <w:ilvl w:val="0"/>
          <w:numId w:val="2"/>
        </w:numPr>
      </w:pPr>
      <w:r>
        <w:t>Huafeng to compare internal GC‑MS methods with SGS:</w:t>
      </w:r>
    </w:p>
    <w:p w14:paraId="36E670BE" w14:textId="77777777" w:rsidR="00D21F0A" w:rsidRDefault="0035225F">
      <w:pPr>
        <w:pStyle w:val="Compact"/>
        <w:numPr>
          <w:ilvl w:val="1"/>
          <w:numId w:val="4"/>
        </w:numPr>
      </w:pPr>
      <w:r>
        <w:t>Clarify whether their method is aligned with EN‑17‑series requirements and SGS/Gala practice.</w:t>
      </w:r>
    </w:p>
    <w:p w14:paraId="36E670BF" w14:textId="77777777" w:rsidR="00D21F0A" w:rsidRDefault="0035225F">
      <w:pPr>
        <w:pStyle w:val="Compact"/>
        <w:numPr>
          <w:ilvl w:val="1"/>
          <w:numId w:val="4"/>
        </w:numPr>
      </w:pPr>
      <w:r>
        <w:t>Identify and document any systematic differences between Huafeng and SGS values for the same samples.</w:t>
      </w:r>
    </w:p>
    <w:p w14:paraId="36E670C0" w14:textId="77777777" w:rsidR="00D21F0A" w:rsidRDefault="0035225F">
      <w:pPr>
        <w:pStyle w:val="Compact"/>
        <w:numPr>
          <w:ilvl w:val="1"/>
          <w:numId w:val="4"/>
        </w:numPr>
      </w:pPr>
      <w:r>
        <w:t>Propose a path toward a “consensus” test protocol acceptable to both parties.</w:t>
      </w:r>
    </w:p>
    <w:p w14:paraId="36E670C1" w14:textId="77777777" w:rsidR="00D21F0A" w:rsidRDefault="0035225F">
      <w:pPr>
        <w:numPr>
          <w:ilvl w:val="0"/>
          <w:numId w:val="2"/>
        </w:numPr>
      </w:pPr>
      <w:r>
        <w:t>Design and execute additional DMAc simulation / monitoring experiments if existing data are insufficient:</w:t>
      </w:r>
    </w:p>
    <w:p w14:paraId="36E670C2" w14:textId="77777777" w:rsidR="00D21F0A" w:rsidRDefault="0035225F">
      <w:pPr>
        <w:pStyle w:val="Compact"/>
        <w:numPr>
          <w:ilvl w:val="1"/>
          <w:numId w:val="5"/>
        </w:numPr>
      </w:pPr>
      <w:r>
        <w:t>Generate concentration data at key time points: at factory release, at KC site arrival (1–2 months), at opening of sealed cartons (including in‑box air concentration), and after airing.</w:t>
      </w:r>
    </w:p>
    <w:p w14:paraId="36E670C3" w14:textId="77777777" w:rsidR="00D21F0A" w:rsidRDefault="0035225F">
      <w:pPr>
        <w:pStyle w:val="Compact"/>
        <w:numPr>
          <w:ilvl w:val="1"/>
          <w:numId w:val="5"/>
        </w:numPr>
      </w:pPr>
      <w:r>
        <w:t>Cover different packaging formats, lot sizes, and deniers; document exact sampling method and line of origin.</w:t>
      </w:r>
    </w:p>
    <w:p w14:paraId="36E670C4" w14:textId="77777777" w:rsidR="00D21F0A" w:rsidRDefault="0035225F">
      <w:pPr>
        <w:pStyle w:val="Compact"/>
        <w:numPr>
          <w:ilvl w:val="1"/>
          <w:numId w:val="5"/>
        </w:numPr>
      </w:pPr>
      <w:r>
        <w:lastRenderedPageBreak/>
        <w:t>Share results with KC to enable mass‑balance style estimation of DMAc levels in finished diapers.</w:t>
      </w:r>
    </w:p>
    <w:p w14:paraId="36E670C5" w14:textId="77777777" w:rsidR="00D21F0A" w:rsidRDefault="0035225F">
      <w:pPr>
        <w:numPr>
          <w:ilvl w:val="0"/>
          <w:numId w:val="2"/>
        </w:numPr>
      </w:pPr>
      <w:r>
        <w:t>Clarify the current status and coverage of the “simple scheme” on production lines:</w:t>
      </w:r>
    </w:p>
    <w:p w14:paraId="36E670C6" w14:textId="77777777" w:rsidR="00D21F0A" w:rsidRDefault="0035225F">
      <w:pPr>
        <w:pStyle w:val="Compact"/>
        <w:numPr>
          <w:ilvl w:val="1"/>
          <w:numId w:val="6"/>
        </w:numPr>
      </w:pPr>
      <w:r>
        <w:t>Map which KC‑supplied SKUs/lines already run with the improved spinning/air‑flow configuration and which still use older settings.</w:t>
      </w:r>
    </w:p>
    <w:p w14:paraId="36E670C7" w14:textId="77777777" w:rsidR="00D21F0A" w:rsidRDefault="0035225F">
      <w:pPr>
        <w:pStyle w:val="Compact"/>
        <w:numPr>
          <w:ilvl w:val="1"/>
          <w:numId w:val="6"/>
        </w:numPr>
      </w:pPr>
      <w:r>
        <w:t>Estimate current worst‑case residual DMAc levels for KC‑relevant SKUs under the simple scheme.</w:t>
      </w:r>
    </w:p>
    <w:p w14:paraId="36E670C8" w14:textId="77777777" w:rsidR="00D21F0A" w:rsidRDefault="0035225F">
      <w:pPr>
        <w:pStyle w:val="Compact"/>
        <w:numPr>
          <w:ilvl w:val="1"/>
          <w:numId w:val="6"/>
        </w:numPr>
      </w:pPr>
      <w:r>
        <w:t>Confirm that future KC volumes will preferentially be produced on upgraded lines, or explain constraints.</w:t>
      </w:r>
    </w:p>
    <w:p w14:paraId="36E670C9" w14:textId="77777777" w:rsidR="00D21F0A" w:rsidRDefault="0035225F">
      <w:pPr>
        <w:numPr>
          <w:ilvl w:val="0"/>
          <w:numId w:val="2"/>
        </w:numPr>
      </w:pPr>
      <w:r>
        <w:t>Develop and communicate a timeline and plan for options to meet potential new EU DMAc limits:</w:t>
      </w:r>
    </w:p>
    <w:p w14:paraId="36E670CA" w14:textId="77777777" w:rsidR="00D21F0A" w:rsidRDefault="0035225F">
      <w:pPr>
        <w:pStyle w:val="Compact"/>
        <w:numPr>
          <w:ilvl w:val="1"/>
          <w:numId w:val="7"/>
        </w:numPr>
      </w:pPr>
      <w:r>
        <w:t>Within 1 week, Huafeng to internally estimate timing and investment for “complex scheme” (post‑rewind + extra DMAc removal) and, separately, for conversion to DEF or solvent‑free routes.</w:t>
      </w:r>
    </w:p>
    <w:p w14:paraId="36E670CB" w14:textId="77777777" w:rsidR="00D21F0A" w:rsidRDefault="0035225F">
      <w:pPr>
        <w:pStyle w:val="Compact"/>
        <w:numPr>
          <w:ilvl w:val="1"/>
          <w:numId w:val="7"/>
        </w:numPr>
      </w:pPr>
      <w:r>
        <w:t>Revert to KC in this or next week with a high‑level roadmap: what can be delivered via the simple scheme (~1 month test window), what would require complex scheme or new materials, and estimated cost impacts.</w:t>
      </w:r>
    </w:p>
    <w:p w14:paraId="36E670CC" w14:textId="77777777" w:rsidR="00D21F0A" w:rsidRDefault="0035225F">
      <w:pPr>
        <w:pStyle w:val="Compact"/>
        <w:numPr>
          <w:ilvl w:val="1"/>
          <w:numId w:val="7"/>
        </w:numPr>
      </w:pPr>
      <w:r>
        <w:t>Include a view on capacity allocation for EU vs. non‑EU demand under different regulatory scenarios.</w:t>
      </w:r>
    </w:p>
    <w:p w14:paraId="36E670CD" w14:textId="77777777" w:rsidR="00D21F0A" w:rsidRDefault="0035225F">
      <w:pPr>
        <w:numPr>
          <w:ilvl w:val="0"/>
          <w:numId w:val="2"/>
        </w:numPr>
      </w:pPr>
      <w:r>
        <w:t>Huafeng technical team to continue DEF‑solvent feasibility assessment:</w:t>
      </w:r>
    </w:p>
    <w:p w14:paraId="36E670CE" w14:textId="77777777" w:rsidR="00D21F0A" w:rsidRDefault="0035225F">
      <w:pPr>
        <w:pStyle w:val="Compact"/>
        <w:numPr>
          <w:ilvl w:val="1"/>
          <w:numId w:val="8"/>
        </w:numPr>
      </w:pPr>
      <w:r>
        <w:t>Verify solubility of KC‑relevant PU formulations in DEF (including comparison with DMF and DMS).</w:t>
      </w:r>
    </w:p>
    <w:p w14:paraId="36E670CF" w14:textId="77777777" w:rsidR="00D21F0A" w:rsidRDefault="0035225F">
      <w:pPr>
        <w:pStyle w:val="Compact"/>
        <w:numPr>
          <w:ilvl w:val="1"/>
          <w:numId w:val="8"/>
        </w:numPr>
      </w:pPr>
      <w:r>
        <w:t>Coordinate with process/engineering to estimate capex and lead time for adding a dedicated DEF purification / recovery system (separate from the existing plant‑wide solvent recovery).</w:t>
      </w:r>
    </w:p>
    <w:p w14:paraId="36E670D0" w14:textId="77777777" w:rsidR="00D21F0A" w:rsidRDefault="0035225F">
      <w:pPr>
        <w:pStyle w:val="Compact"/>
        <w:numPr>
          <w:ilvl w:val="1"/>
          <w:numId w:val="8"/>
        </w:numPr>
      </w:pPr>
      <w:r>
        <w:t>Provide feedback on whether DEF is a practical mid‑term path vs. going directly to solvent‑free or bio‑based systems.</w:t>
      </w:r>
    </w:p>
    <w:p w14:paraId="36E670D1" w14:textId="77777777" w:rsidR="00D21F0A" w:rsidRDefault="0035225F">
      <w:pPr>
        <w:numPr>
          <w:ilvl w:val="0"/>
          <w:numId w:val="2"/>
        </w:numPr>
      </w:pPr>
      <w:r>
        <w:t>Advance work on solvent‑free / bio‑based solutions:</w:t>
      </w:r>
    </w:p>
    <w:p w14:paraId="36E670D2" w14:textId="77777777" w:rsidR="00D21F0A" w:rsidRDefault="0035225F">
      <w:pPr>
        <w:pStyle w:val="Compact"/>
        <w:numPr>
          <w:ilvl w:val="1"/>
          <w:numId w:val="9"/>
        </w:numPr>
      </w:pPr>
      <w:r>
        <w:t>Huafeng to confirm availability and spec of the August bio‑based PPT product and share indicative cost uplift vs. current materials at different bio‑content levels.</w:t>
      </w:r>
    </w:p>
    <w:p w14:paraId="36E670D3" w14:textId="77777777" w:rsidR="00D21F0A" w:rsidRDefault="0035225F">
      <w:pPr>
        <w:pStyle w:val="Compact"/>
        <w:numPr>
          <w:ilvl w:val="1"/>
          <w:numId w:val="9"/>
        </w:numPr>
      </w:pPr>
      <w:r>
        <w:t>Jointly evaluate where non‑fluorinated, solvent‑free, and bio‑based membranes could be piloted first (e.g., apparel vs. hygiene) and what performance trade‑offs (rebound, low‑temperature resistance) KC would accept.</w:t>
      </w:r>
    </w:p>
    <w:p w14:paraId="36E670D4" w14:textId="77777777" w:rsidR="00D21F0A" w:rsidRDefault="0035225F">
      <w:pPr>
        <w:pStyle w:val="Compact"/>
        <w:numPr>
          <w:ilvl w:val="1"/>
          <w:numId w:val="9"/>
        </w:numPr>
      </w:pPr>
      <w:r>
        <w:t>Track the separate TPU/GPUs and low‑temperature adhesive developments (including collaboration with Henkel and others) for potential application in KC products.</w:t>
      </w:r>
    </w:p>
    <w:p w14:paraId="36E670D5" w14:textId="77777777" w:rsidR="00D21F0A" w:rsidRDefault="0035225F">
      <w:pPr>
        <w:numPr>
          <w:ilvl w:val="0"/>
          <w:numId w:val="2"/>
        </w:numPr>
      </w:pPr>
      <w:r>
        <w:t>For the electro‑spun PU membrane + nonwoven laminate:</w:t>
      </w:r>
    </w:p>
    <w:p w14:paraId="36E670D6" w14:textId="77777777" w:rsidR="00D21F0A" w:rsidRDefault="0035225F">
      <w:pPr>
        <w:pStyle w:val="Compact"/>
        <w:numPr>
          <w:ilvl w:val="1"/>
          <w:numId w:val="10"/>
        </w:numPr>
      </w:pPr>
      <w:r>
        <w:lastRenderedPageBreak/>
        <w:t>Huafeng to further investigate and trial solutions to the wrinkling issue (e.g., adhesive amount, lamination conditions) while monitoring effects on breathability and waterproofness.</w:t>
      </w:r>
    </w:p>
    <w:p w14:paraId="36E670D7" w14:textId="77777777" w:rsidR="00D21F0A" w:rsidRDefault="0035225F">
      <w:pPr>
        <w:pStyle w:val="Compact"/>
        <w:numPr>
          <w:ilvl w:val="1"/>
          <w:numId w:val="10"/>
        </w:numPr>
      </w:pPr>
      <w:r>
        <w:t>Document current performance data (basis weight, WVTR, hydrostatic head, printability, target GSM of composite) and share with KC for early evaluation.</w:t>
      </w:r>
    </w:p>
    <w:p w14:paraId="36E670D8" w14:textId="77777777" w:rsidR="00D21F0A" w:rsidRDefault="0035225F">
      <w:pPr>
        <w:pStyle w:val="Compact"/>
        <w:numPr>
          <w:ilvl w:val="1"/>
          <w:numId w:val="10"/>
        </w:numPr>
      </w:pPr>
      <w:r>
        <w:t>Consider production‑efficiency optimization once a stable lamination recipe with acceptable appearance is identified.</w:t>
      </w:r>
    </w:p>
    <w:p w14:paraId="36E670D9" w14:textId="77777777" w:rsidR="00D21F0A" w:rsidRDefault="0035225F">
      <w:pPr>
        <w:numPr>
          <w:ilvl w:val="0"/>
          <w:numId w:val="2"/>
        </w:numPr>
      </w:pPr>
      <w:r>
        <w:t>KC side (R&amp;D/safety) to prepare internal follow‑up:</w:t>
      </w:r>
    </w:p>
    <w:p w14:paraId="36E670DA" w14:textId="77777777" w:rsidR="00D21F0A" w:rsidRDefault="0035225F">
      <w:pPr>
        <w:pStyle w:val="Compact"/>
        <w:numPr>
          <w:ilvl w:val="1"/>
          <w:numId w:val="11"/>
        </w:numPr>
      </w:pPr>
      <w:r>
        <w:t>Anticipate questions from KC safety/medical teams on DMAc exposure, EU/OEKO‑TEX alignment, and potential migration into diapers, using forthcoming Huafeng data as technical basis.</w:t>
      </w:r>
    </w:p>
    <w:p w14:paraId="36E670DB" w14:textId="77777777" w:rsidR="00D21F0A" w:rsidRDefault="0035225F">
      <w:pPr>
        <w:pStyle w:val="Compact"/>
        <w:numPr>
          <w:ilvl w:val="1"/>
          <w:numId w:val="11"/>
        </w:numPr>
      </w:pPr>
      <w:r>
        <w:t>Plan potential ISR/line trials at KC converting sites once Huafeng provides candidate materials or process variants (simple scheme output, complex scheme trials, or new materials), with an internal 3–6 month window for full validation after materials are available.</w:t>
      </w:r>
    </w:p>
    <w:p w14:paraId="36E670DC" w14:textId="77777777" w:rsidR="00D21F0A" w:rsidRDefault="0035225F">
      <w:pPr>
        <w:numPr>
          <w:ilvl w:val="0"/>
          <w:numId w:val="2"/>
        </w:numPr>
      </w:pPr>
      <w:r>
        <w:t>Huafeng to confirm whether their in‑house GC‑MS capability and methods can be fully documented and shared:</w:t>
      </w:r>
    </w:p>
    <w:p w14:paraId="36E670DD" w14:textId="77777777" w:rsidR="00D21F0A" w:rsidRDefault="0035225F">
      <w:pPr>
        <w:pStyle w:val="Compact"/>
        <w:numPr>
          <w:ilvl w:val="1"/>
          <w:numId w:val="12"/>
        </w:numPr>
      </w:pPr>
      <w:r>
        <w:t>Provide instrument type, detection limits, and key operating parameters relevant to DMAc.</w:t>
      </w:r>
    </w:p>
    <w:p w14:paraId="36E670DE" w14:textId="77777777" w:rsidR="00D21F0A" w:rsidRDefault="0035225F">
      <w:pPr>
        <w:pStyle w:val="Compact"/>
        <w:numPr>
          <w:ilvl w:val="1"/>
          <w:numId w:val="12"/>
        </w:numPr>
      </w:pPr>
      <w:r>
        <w:t>Share any existing correlation work with external labs; if not available, agree a small round‑robin comparison with SGS on shared samples.</w:t>
      </w:r>
    </w:p>
    <w:sectPr w:rsidR="00D21F0A">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C09FD" w14:textId="77777777" w:rsidR="0035225F" w:rsidRDefault="0035225F">
      <w:pPr>
        <w:spacing w:after="0"/>
      </w:pPr>
    </w:p>
  </w:endnote>
  <w:endnote w:type="continuationSeparator" w:id="0">
    <w:p w14:paraId="2F64CC0A" w14:textId="77777777" w:rsidR="0035225F" w:rsidRDefault="0035225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A39CA" w14:textId="77777777" w:rsidR="0035225F" w:rsidRDefault="0035225F">
      <w:pPr>
        <w:spacing w:after="0"/>
      </w:pPr>
    </w:p>
  </w:footnote>
  <w:footnote w:type="continuationSeparator" w:id="0">
    <w:p w14:paraId="6A3FE0F3" w14:textId="77777777" w:rsidR="0035225F" w:rsidRDefault="0035225F">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2FC71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C620D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2869A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62915199">
    <w:abstractNumId w:val="0"/>
  </w:num>
  <w:num w:numId="2" w16cid:durableId="2743338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90007329">
    <w:abstractNumId w:val="1"/>
  </w:num>
  <w:num w:numId="4" w16cid:durableId="747652931">
    <w:abstractNumId w:val="1"/>
  </w:num>
  <w:num w:numId="5" w16cid:durableId="1953898479">
    <w:abstractNumId w:val="1"/>
  </w:num>
  <w:num w:numId="6" w16cid:durableId="173374985">
    <w:abstractNumId w:val="1"/>
  </w:num>
  <w:num w:numId="7" w16cid:durableId="230504805">
    <w:abstractNumId w:val="1"/>
  </w:num>
  <w:num w:numId="8" w16cid:durableId="600726875">
    <w:abstractNumId w:val="1"/>
  </w:num>
  <w:num w:numId="9" w16cid:durableId="1219829313">
    <w:abstractNumId w:val="1"/>
  </w:num>
  <w:num w:numId="10" w16cid:durableId="1482189223">
    <w:abstractNumId w:val="1"/>
  </w:num>
  <w:num w:numId="11" w16cid:durableId="71855529">
    <w:abstractNumId w:val="1"/>
  </w:num>
  <w:num w:numId="12" w16cid:durableId="498276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21F0A"/>
    <w:rsid w:val="00170783"/>
    <w:rsid w:val="0035225F"/>
    <w:rsid w:val="00C83C10"/>
    <w:rsid w:val="00D21F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670B6"/>
  <w15:docId w15:val="{EF4B6EE7-2D54-4B93-B54C-74625412C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863</Words>
  <Characters>4923</Characters>
  <Application>Microsoft Office Word</Application>
  <DocSecurity>0</DocSecurity>
  <Lines>41</Lines>
  <Paragraphs>11</Paragraphs>
  <ScaleCrop>false</ScaleCrop>
  <Company/>
  <LinksUpToDate>false</LinksUpToDate>
  <CharactersWithSpaces>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Wang, Chris</cp:lastModifiedBy>
  <cp:revision>2</cp:revision>
  <dcterms:created xsi:type="dcterms:W3CDTF">2026-07-30T09:16:00Z</dcterms:created>
  <dcterms:modified xsi:type="dcterms:W3CDTF">2026-07-30T09:23:00Z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3caa80-b45a-41c4-be35-6a080a795a59_Enabled">
    <vt:lpwstr>true</vt:lpwstr>
  </property>
  <property fmtid="{D5CDD505-2E9C-101B-9397-08002B2CF9AE}" pid="3" name="MSIP_Label_ec3caa80-b45a-41c4-be35-6a080a795a59_SetDate">
    <vt:lpwstr>2026-07-30T09:23:20Z</vt:lpwstr>
  </property>
  <property fmtid="{D5CDD505-2E9C-101B-9397-08002B2CF9AE}" pid="4" name="MSIP_Label_ec3caa80-b45a-41c4-be35-6a080a795a59_Method">
    <vt:lpwstr>Privileged</vt:lpwstr>
  </property>
  <property fmtid="{D5CDD505-2E9C-101B-9397-08002B2CF9AE}" pid="5" name="MSIP_Label_ec3caa80-b45a-41c4-be35-6a080a795a59_Name">
    <vt:lpwstr>ec3caa80-b45a-41c4-be35-6a080a795a59</vt:lpwstr>
  </property>
  <property fmtid="{D5CDD505-2E9C-101B-9397-08002B2CF9AE}" pid="6" name="MSIP_Label_ec3caa80-b45a-41c4-be35-6a080a795a59_SiteId">
    <vt:lpwstr>fee2180b-69b6-4afe-9f14-ccd70bd4c737</vt:lpwstr>
  </property>
  <property fmtid="{D5CDD505-2E9C-101B-9397-08002B2CF9AE}" pid="7" name="MSIP_Label_ec3caa80-b45a-41c4-be35-6a080a795a59_ActionId">
    <vt:lpwstr>ebd20b52-8ce6-4f78-84f6-c8194b5af60c</vt:lpwstr>
  </property>
  <property fmtid="{D5CDD505-2E9C-101B-9397-08002B2CF9AE}" pid="8" name="MSIP_Label_ec3caa80-b45a-41c4-be35-6a080a795a59_ContentBits">
    <vt:lpwstr>0</vt:lpwstr>
  </property>
  <property fmtid="{D5CDD505-2E9C-101B-9397-08002B2CF9AE}" pid="9" name="MSIP_Label_ec3caa80-b45a-41c4-be35-6a080a795a59_Tag">
    <vt:lpwstr>10, 0, 1, 1</vt:lpwstr>
  </property>
</Properties>
</file>