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cb贴身产品合规评估结论备忘录"/>
      <w:r>
        <w:t xml:space="preserve">5CB贴身产品合规评估结论备忘录</w:t>
      </w:r>
      <w:bookmarkEnd w:id="21"/>
    </w:p>
    <w:p>
      <w:pPr>
        <w:pStyle w:val="FirstParagraph"/>
      </w:pPr>
      <w:r>
        <w:rPr>
          <w:b/>
        </w:rPr>
        <w:t xml:space="preserve">文档编号</w:t>
      </w:r>
      <w:r>
        <w:t xml:space="preserve">：COMPLIANCE-2026-1014-5CB</w:t>
      </w:r>
      <w:r>
        <w:t xml:space="preserve"> </w:t>
      </w:r>
      <w:r>
        <w:rPr>
          <w:b/>
        </w:rPr>
        <w:t xml:space="preserve">评估日期</w:t>
      </w:r>
      <w:r>
        <w:t xml:space="preserve">：2026年10月14日</w:t>
      </w:r>
      <w:r>
        <w:t xml:space="preserve"> </w:t>
      </w:r>
      <w:r>
        <w:rPr>
          <w:b/>
        </w:rPr>
        <w:t xml:space="preserve">评估对象</w:t>
      </w:r>
      <w:r>
        <w:t xml:space="preserve">：5CB（4-氰基-4’-戊基联苯）用于婴儿纸尿裤贴身场景的合规可行性</w:t>
      </w:r>
      <w:r>
        <w:t xml:space="preserve"> </w:t>
      </w:r>
      <w:r>
        <w:rPr>
          <w:b/>
        </w:rPr>
        <w:t xml:space="preserve">评估性质</w:t>
      </w:r>
      <w:r>
        <w:t xml:space="preserve">：桌面危害-暴露评估（第0步），未进入迁移测试</w:t>
      </w:r>
      <w:r>
        <w:t xml:space="preserve"> </w:t>
      </w:r>
      <w:r>
        <w:rPr>
          <w:b/>
        </w:rPr>
        <w:t xml:space="preserve">结论状态</w:t>
      </w:r>
      <w:r>
        <w:t xml:space="preserve">：</w:t>
      </w:r>
      <w:r>
        <w:rPr>
          <w:b/>
        </w:rPr>
        <w:t xml:space="preserve">已证伪 - 关闭（不适用婴儿贴身产品）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结论一句话"/>
      <w:r>
        <w:t xml:space="preserve">一、结论（一句话）</w:t>
      </w:r>
      <w:bookmarkEnd w:id="22"/>
    </w:p>
    <w:p>
      <w:pPr>
        <w:pStyle w:val="FirstParagraph"/>
      </w:pPr>
      <w:r>
        <w:t xml:space="preserve">5CB因急性经皮毒性（H312）、皮肤致敏（H317）、皮肤刺激（H315）三项GHS分类叠加，且供应商明确</w:t>
      </w:r>
      <w:r>
        <w:t xml:space="preserve">“</w:t>
      </w:r>
      <w:r>
        <w:t xml:space="preserve">仅限研发用途</w:t>
      </w:r>
      <w:r>
        <w:t xml:space="preserve">”</w:t>
      </w:r>
      <w:r>
        <w:t xml:space="preserve">（REACH未注册），</w:t>
      </w:r>
      <w:r>
        <w:rPr>
          <w:b/>
        </w:rPr>
        <w:t xml:space="preserve">不适用于纸尿裤等婴儿贴身产品，该路线风险项正式关闭，无需再次评估</w:t>
      </w:r>
      <w:r>
        <w:t xml:space="preserve">。</w:t>
      </w:r>
    </w:p>
    <w:p>
      <w:pPr>
        <w:pStyle w:val="Heading2"/>
      </w:pPr>
      <w:bookmarkStart w:id="23" w:name="二评估判据链证据存档"/>
      <w:r>
        <w:t xml:space="preserve">二、评估判据链（证据存档）</w:t>
      </w:r>
      <w:bookmarkEnd w:id="23"/>
    </w:p>
    <w:p>
      <w:pPr>
        <w:pStyle w:val="Heading3"/>
      </w:pPr>
      <w:bookmarkStart w:id="24" w:name="危害分类ghsclp"/>
      <w:r>
        <w:t xml:space="preserve">1. 危害分类（GHS/CLP）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危害终点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急性毒性-口服</w:t>
            </w:r>
          </w:p>
        </w:tc>
        <w:tc>
          <w:p>
            <w:pPr>
              <w:pStyle w:val="Compact"/>
              <w:jc w:val="left"/>
            </w:pPr>
            <w:r>
              <w:t xml:space="preserve">4类 H302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急性毒性-经皮</w:t>
            </w:r>
          </w:p>
        </w:tc>
        <w:tc>
          <w:p>
            <w:pPr>
              <w:pStyle w:val="Compact"/>
              <w:jc w:val="left"/>
            </w:pPr>
            <w:r>
              <w:t xml:space="preserve">4类 H312</w:t>
            </w:r>
          </w:p>
        </w:tc>
        <w:tc>
          <w:p>
            <w:pPr>
              <w:pStyle w:val="Compact"/>
              <w:jc w:val="left"/>
            </w:pPr>
            <w:r>
              <w:t xml:space="preserve">经皮吸收路径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急性毒性-吸入</w:t>
            </w:r>
          </w:p>
        </w:tc>
        <w:tc>
          <w:p>
            <w:pPr>
              <w:pStyle w:val="Compact"/>
              <w:jc w:val="left"/>
            </w:pPr>
            <w:r>
              <w:t xml:space="preserve">4类 H332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皮肤刺激</w:t>
            </w:r>
          </w:p>
        </w:tc>
        <w:tc>
          <w:p>
            <w:pPr>
              <w:pStyle w:val="Compact"/>
              <w:jc w:val="left"/>
            </w:pPr>
            <w:r>
              <w:t xml:space="preserve">2类 H315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眼刺激</w:t>
            </w:r>
          </w:p>
        </w:tc>
        <w:tc>
          <w:p>
            <w:pPr>
              <w:pStyle w:val="Compact"/>
              <w:jc w:val="left"/>
            </w:pPr>
            <w:r>
              <w:t xml:space="preserve">2类 H319</w:t>
            </w:r>
          </w:p>
        </w:tc>
        <w:tc>
          <w:p>
            <w:pPr>
              <w:pStyle w:val="Compact"/>
            </w:pPr>
          </w:p>
        </w:tc>
      </w:tr>
      <w:tr>
        <w:tc>
          <w:p>
            <w:pPr>
              <w:pStyle w:val="Compact"/>
              <w:jc w:val="left"/>
            </w:pPr>
            <w:r>
              <w:t xml:space="preserve">皮肤致敏</w:t>
            </w:r>
          </w:p>
        </w:tc>
        <w:tc>
          <w:p>
            <w:pPr>
              <w:pStyle w:val="Compact"/>
              <w:jc w:val="left"/>
            </w:pPr>
            <w:r>
              <w:t xml:space="preserve">1类 H317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贴身产品一票否决项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呼吸刺激</w:t>
            </w:r>
          </w:p>
        </w:tc>
        <w:tc>
          <w:p>
            <w:pPr>
              <w:pStyle w:val="Compact"/>
              <w:jc w:val="left"/>
            </w:pPr>
            <w:r>
              <w:t xml:space="preserve">STOT SE 3 H335</w:t>
            </w:r>
          </w:p>
        </w:tc>
        <w:tc>
          <w:p>
            <w:pPr>
              <w:pStyle w:val="Compact"/>
            </w:pPr>
          </w:p>
        </w:tc>
      </w:tr>
    </w:tbl>
    <w:p>
      <w:pPr>
        <w:pStyle w:val="Heading3"/>
      </w:pPr>
      <w:bookmarkStart w:id="25" w:name="理化与暴露参数"/>
      <w:r>
        <w:t xml:space="preserve">2. 理化与暴露参数</w:t>
      </w:r>
      <w:bookmarkEnd w:id="25"/>
    </w:p>
    <w:p>
      <w:pPr>
        <w:pStyle w:val="Compact"/>
        <w:numPr>
          <w:numId w:val="1001"/>
          <w:ilvl w:val="0"/>
        </w:numPr>
      </w:pPr>
      <w:r>
        <w:t xml:space="preserve">LogP = 5.4（高亲脂性，经皮渗透潜力高）</w:t>
      </w:r>
    </w:p>
    <w:p>
      <w:pPr>
        <w:pStyle w:val="Compact"/>
        <w:numPr>
          <w:numId w:val="1001"/>
          <w:ilvl w:val="0"/>
        </w:numPr>
      </w:pPr>
      <w:r>
        <w:t xml:space="preserve">水中不溶；熔点34℃（室温呈液晶态）</w:t>
      </w:r>
    </w:p>
    <w:p>
      <w:pPr>
        <w:pStyle w:val="Compact"/>
        <w:numPr>
          <w:numId w:val="1001"/>
          <w:ilvl w:val="0"/>
        </w:numPr>
      </w:pPr>
      <w:r>
        <w:t xml:space="preserve">运输分类：UN 3276，危险类别6.1（毒性物质）</w:t>
      </w:r>
    </w:p>
    <w:p>
      <w:pPr>
        <w:pStyle w:val="Heading3"/>
      </w:pPr>
      <w:bookmarkStart w:id="26" w:name="法规注册状态"/>
      <w:r>
        <w:t xml:space="preserve">3. 法规注册状态</w:t>
      </w:r>
      <w:bookmarkEnd w:id="26"/>
    </w:p>
    <w:p>
      <w:pPr>
        <w:pStyle w:val="Compact"/>
        <w:numPr>
          <w:numId w:val="1002"/>
          <w:ilvl w:val="0"/>
        </w:numPr>
      </w:pPr>
      <w:r>
        <w:t xml:space="preserve">美国 TSCA：已列管（TSCA listed: Yes）</w:t>
      </w:r>
    </w:p>
    <w:p>
      <w:pPr>
        <w:pStyle w:val="Compact"/>
        <w:numPr>
          <w:numId w:val="1002"/>
          <w:ilvl w:val="0"/>
        </w:numPr>
      </w:pPr>
      <w:r>
        <w:t xml:space="preserve">欧盟 REACH：EC 255-093-2存在，但注册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——供应商SDS明确仅供实验室研发（PC21），不得用于医药、家庭或其他用途</w:t>
      </w:r>
    </w:p>
    <w:p>
      <w:pPr>
        <w:pStyle w:val="Compact"/>
        <w:numPr>
          <w:numId w:val="1002"/>
          <w:ilvl w:val="0"/>
        </w:numPr>
      </w:pPr>
      <w:r>
        <w:t xml:space="preserve">德国水危害等级：WGK 3（强水危害）</w:t>
      </w:r>
    </w:p>
    <w:p>
      <w:pPr>
        <w:pStyle w:val="Heading3"/>
      </w:pPr>
      <w:bookmarkStart w:id="27" w:name="对照内部合规基线全部不通过"/>
      <w:r>
        <w:t xml:space="preserve">4. 对照内部合规基线（全部不通过）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门槛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5CB状态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10-2011迁移测试</w:t>
            </w:r>
          </w:p>
        </w:tc>
        <w:tc>
          <w:p>
            <w:pPr>
              <w:pStyle w:val="Compact"/>
              <w:jc w:val="left"/>
            </w:pPr>
            <w:r>
              <w:t xml:space="preserve">无数据，且经皮毒性已列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FDA 21 CFR（长时皮肤接触+潜在口服）</w:t>
            </w:r>
          </w:p>
        </w:tc>
        <w:tc>
          <w:p>
            <w:pPr>
              <w:pStyle w:val="Compact"/>
              <w:jc w:val="left"/>
            </w:pPr>
            <w:r>
              <w:t xml:space="preserve">无许可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非致敏认证</w:t>
            </w:r>
          </w:p>
        </w:tc>
        <w:tc>
          <w:p>
            <w:pPr>
              <w:pStyle w:val="Compact"/>
              <w:jc w:val="left"/>
            </w:pPr>
            <w:r>
              <w:t xml:space="preserve">被H317直接否决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口服毒性许可</w:t>
            </w:r>
          </w:p>
        </w:tc>
        <w:tc>
          <w:p>
            <w:pPr>
              <w:pStyle w:val="Compact"/>
              <w:jc w:val="left"/>
            </w:pPr>
            <w:r>
              <w:t xml:space="preserve">急性口服毒性H302已列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OEKO-TEX STANDARD 100 Product Class I（婴幼儿最高级）</w:t>
            </w:r>
          </w:p>
        </w:tc>
        <w:tc>
          <w:p>
            <w:pPr>
              <w:pStyle w:val="Compact"/>
              <w:jc w:val="left"/>
            </w:pPr>
            <w:r>
              <w:t xml:space="preserve">预期不通过</w:t>
            </w:r>
          </w:p>
        </w:tc>
      </w:tr>
    </w:tbl>
    <w:p>
      <w:pPr>
        <w:pStyle w:val="Heading3"/>
      </w:pPr>
      <w:bookmarkStart w:id="28" w:name="监管先例警示"/>
      <w:r>
        <w:t xml:space="preserve">5. 监管先例警示</w:t>
      </w:r>
      <w:bookmarkEnd w:id="28"/>
    </w:p>
    <w:p>
      <w:pPr>
        <w:pStyle w:val="Compact"/>
        <w:numPr>
          <w:numId w:val="1003"/>
          <w:ilvl w:val="0"/>
        </w:numPr>
      </w:pPr>
      <w:r>
        <w:t xml:space="preserve">DMAC（氨纶行业溶剂）：生殖毒性+经皮吸收+长期低剂量慢性风险 → REACH附件XVII第80项限制（≥0.3%禁用）</w:t>
      </w:r>
    </w:p>
    <w:p>
      <w:pPr>
        <w:pStyle w:val="Compact"/>
        <w:numPr>
          <w:numId w:val="1003"/>
          <w:ilvl w:val="0"/>
        </w:numPr>
      </w:pPr>
      <w:r>
        <w:t xml:space="preserve">甲酰胺：高水溶性易迁移+小分子易穿透+封闭环境积累+婴幼儿皮肤薄面积大 → 全球监管围堵</w:t>
      </w:r>
    </w:p>
    <w:p>
      <w:pPr>
        <w:pStyle w:val="Compact"/>
        <w:numPr>
          <w:numId w:val="1003"/>
          <w:ilvl w:val="0"/>
        </w:numPr>
      </w:pPr>
      <w:r>
        <w:t xml:space="preserve">结论：5CB的亲脂性+经皮毒性+致敏分类，处于同一条被监管围堵的路径</w:t>
      </w:r>
    </w:p>
    <w:p>
      <w:pPr>
        <w:pStyle w:val="Heading2"/>
      </w:pPr>
      <w:bookmarkStart w:id="29" w:name="三决策与后续行动"/>
      <w:r>
        <w:t xml:space="preserve">三、决策与后续行动</w:t>
      </w:r>
      <w:bookmarkEnd w:id="29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风险状态更新</w:t>
      </w:r>
      <w:r>
        <w:t xml:space="preserve">：《拉力松紧可视化技术评估报告》（路线B PDLC）中的</w:t>
      </w:r>
      <w:r>
        <w:t xml:space="preserve">“</w:t>
      </w:r>
      <w:r>
        <w:t xml:space="preserve">5CB贴身合规评估</w:t>
      </w:r>
      <w:r>
        <w:t xml:space="preserve">”</w:t>
      </w:r>
      <w:r>
        <w:t xml:space="preserve">专项风险项 →</w:t>
      </w:r>
      <w:r>
        <w:t xml:space="preserve"> </w:t>
      </w:r>
      <w:r>
        <w:rPr>
          <w:b/>
        </w:rPr>
        <w:t xml:space="preserve">已证伪-关闭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PDLC方案降级</w:t>
      </w:r>
      <w:r>
        <w:t xml:space="preserve">：仅保留</w:t>
      </w:r>
      <w:r>
        <w:rPr>
          <w:b/>
        </w:rPr>
        <w:t xml:space="preserve">非皮肤接触应用</w:t>
      </w:r>
      <w:r>
        <w:t xml:space="preserve">（外包装防篡改指示、包装膜受压指示），重新立项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贴身路线合规金标准</w:t>
      </w:r>
      <w:r>
        <w:t xml:space="preserve">：HPC（羟丙基纤维素，可食、无毒、可降解）+ CTI食品接触级压力激活油墨；国内成本备份：河南佳易达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供应链记录</w:t>
      </w:r>
      <w:r>
        <w:t xml:space="preserve">：5CB货源（论文来源Kingston Chemicals等）不再纳入贴身材料供应商池</w:t>
      </w:r>
    </w:p>
    <w:p>
      <w:pPr>
        <w:pStyle w:val="Heading2"/>
      </w:pPr>
      <w:bookmarkStart w:id="30" w:name="四信息边界说明"/>
      <w:r>
        <w:t xml:space="preserve">四、信息边界说明</w:t>
      </w:r>
      <w:bookmarkEnd w:id="30"/>
    </w:p>
    <w:p>
      <w:pPr>
        <w:pStyle w:val="Compact"/>
        <w:numPr>
          <w:numId w:val="1005"/>
          <w:ilvl w:val="0"/>
        </w:numPr>
      </w:pPr>
      <w:r>
        <w:t xml:space="preserve">本备忘录基于2026-10-14检索的公开SDS/法规数据库信息（Ossila、ChemicalBook等）及知识库合规框架（OI-23、合规审计清单、OEKO-TEX、DMAC/甲酰胺先例）整理</w:t>
      </w:r>
    </w:p>
    <w:p>
      <w:pPr>
        <w:pStyle w:val="Compact"/>
        <w:numPr>
          <w:numId w:val="1005"/>
          <w:ilvl w:val="0"/>
        </w:numPr>
      </w:pPr>
      <w:r>
        <w:t xml:space="preserve">若未来5CB供应商提供新的毒理学包（如致敏阴性数据、经皮毒性豁免）或法规状态变化，可申请重新评估；否则按</w:t>
      </w:r>
      <w:r>
        <w:t xml:space="preserve">“</w:t>
      </w:r>
      <w:r>
        <w:t xml:space="preserve">关闭</w:t>
      </w:r>
      <w:r>
        <w:t xml:space="preserve">”</w:t>
      </w:r>
      <w:r>
        <w:t xml:space="preserve">处理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6a90d22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55eeadf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ae1b5c2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2026-10-14T15:18:03Z</dcterms:created>
  <dcterms:modified xsi:type="dcterms:W3CDTF">2026-10-14T15:18:03Z</dcterms:modified>
</cp:coreProperties>
</file>