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Accomplishments Inventory — Alex Rivera (Example)</w:t>
      </w:r>
    </w:p>
    <w:p>
      <w:r>
        <w:t>Fictional demo corpus for the SearchOps example profile (candidate_profile.example.yaml). Every company, metric, and person here is invented. Generated by scripts/build_example_corpus.py — edit that script, not this file.</w:t>
      </w:r>
    </w:p>
    <w:p>
      <w:pPr>
        <w:pStyle w:val="Heading1"/>
      </w:pPr>
      <w:r>
        <w:t>Narrative Corpus</w:t>
      </w:r>
    </w:p>
    <w:p>
      <w:r>
        <w:t>Alex Rivera — Head of Revenue Operations, AcmeSaaS Inc. (Austin, TX). Eight years building GTM systems at Series B–D SaaS companies, preceded by four years in public accounting as a licensed CPA (Texas, 2017). Targeting a Director/VP seat owning GTM or Revenue Operations at a 200–500 person, Series B+ company. Available October 2026. Remote preferred; hybrid Austin or San Francisco one to two times a month is workable.</w:t>
      </w:r>
    </w:p>
    <w:p>
      <w:r>
        <w:t>The through-line is financial rigor applied to go-to-market systems. Most RevOps leaders come up through sales operations and learn finance by proximity; Alex audited revenue recognition under ASC 606 before ever touching a CRM, and treats pipeline, forecast, and retention data with the same tie-out discipline as a general ledger. In practice this shows up as an insistence that GTM numbers reconcile to the financials — at AcmeSaaS the CRM-to-GL revenue bridge had never tied until Alex closed it to within 0.3%.</w:t>
      </w:r>
    </w:p>
    <w:p>
      <w:r>
        <w:t>At AcmeSaaS (Series B through D, $30M → $150M ARR, ~$79K average ACV) Alex was the second ops hire and now leads a team of nine across analytics, systems, and enablement. The two defining pieces of work were a pricing-model transition and a renewal rebuild. The pricing work moved the company from per-seat to consumption billing; the decision that mattered was killing the original big-bang cutover after modeling showed a $2.3M in-year revenue dip, and rebuilding it as a renewal-gated rollout instead — which is slower by design, ~60% of ARR converted over five quarters rather than all at once, but repapered no customer mid-term and added no churn. The renewal work replaced a 30-day "renewal desk" scramble with a 120-day risk trigger fed by usage decay, support sentiment, and sponsor departure, moving net revenue retention from 95% to 112% and gross retention from 88% to 94% over six quarters.</w:t>
      </w:r>
    </w:p>
    <w:p>
      <w:r>
        <w:t>Alex is honest about the misses, which is the part most inventories leave out. The first health score over-indexed on login frequency and cleanly missed three enterprise churns that were quietly failing on breadth-of-use; the rebuild onto depth-and-breadth signals is what took false negatives from 44% to 12%, and the post-mortem discipline that came out of it — every departure coded against the score that missed it — is now standard.</w:t>
      </w:r>
    </w:p>
    <w:p>
      <w:r>
        <w:t>Alex is an AI-native operator in the build sense rather than the user sense: the internal renewal-brief generator (Python + LLM) that cut manual renewal prep from 4.5 hours to 1.8 is Alex's own code, running in production and used by every CSM, and it shipped only after a 120-renewal eval harness measured and remediated its fabrication rate. Forecast accuracy (±15% to ±6% over four quarters) came from the forecasting rebuild as a whole — bottoms-up commit plus weighted pipeline plus a standing variance review — not from any single tool.</w:t>
      </w:r>
    </w:p>
    <w:p>
      <w:r>
        <w:t>Before AcmeSaaS, at Harbor Analytics (Series A → B), Alex built CS Operations from zero as the first ops hire — segmentation, coverage model, health scoring, and the QBR motion — including a digital-touch program that lifted long-tail gross retention from 71% to 86% with no added headcount.</w:t>
      </w:r>
    </w:p>
    <w:p>
      <w:r>
        <w:t>What a hiring manager should probe: Alex has not carried a marketing-ops or demand-gen number directly (partnered with it, never owned it), and the largest team led is nine — a VP seat over a 20-plus org would be a genuine step up, not a lateral.</w:t>
      </w:r>
    </w:p>
    <w:p>
      <w:r>
        <w:t>Temperamentally: allergic to unread dashboards and undefined metrics. Runs a quarterly kill list that deletes any report or automation with no reader in 90 days. Instituted a metric definition registry at AcmeSaaS after finding Sales, CS, and Finance each computing "churn" three different ways for the same board meeting. Prefers to change the mechanism rather than add a person, and will say so in a room where headcount is the expected answer.</w:t>
      </w:r>
    </w:p>
    <w:p>
      <w:pPr>
        <w:pStyle w:val="Heading1"/>
      </w:pPr>
      <w:r>
        <w:t>AcmeSaaS, Inc.  |  Feb 2021 – Present</w:t>
      </w:r>
    </w:p>
    <w:p>
      <w:r>
        <w:t>Head of Revenue Operations (second ops hire; team of 9 across analytics, systems, enablement). Series B → Series D, $30M → $150M ARR, ~1,900 accounts, 340 employees.</w:t>
      </w:r>
    </w:p>
    <w:p>
      <w:pPr>
        <w:pStyle w:val="Heading2"/>
      </w:pPr>
      <w:r>
        <w:t>Pricing Model Transition (seat → consumption)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Ran the per-seat to consumption pricing migration across 1,900 accounts: modeled revenue impact by cohort, built usage-metering reconciliation between the product event pipeline and Zuora, and gated conversion to each account's renewal date to avoid mid-term repapering</w:t>
            </w:r>
          </w:p>
        </w:tc>
        <w:tc>
          <w:tcPr>
            <w:tcW w:type="dxa" w:w="2160"/>
          </w:tcPr>
          <w:p>
            <w:r>
              <w:t>~60% of ARR converted over 5 quarters (renewal-gated by design); net revenue impact +$4.1M against a modeled +$3.4M, zero migration-attributed churn</w:t>
            </w:r>
          </w:p>
        </w:tc>
        <w:tc>
          <w:tcPr>
            <w:tcW w:type="dxa" w:w="2160"/>
          </w:tcPr>
          <w:p>
            <w:r>
              <w:t>Unit Economics</w:t>
            </w:r>
          </w:p>
        </w:tc>
        <w:tc>
          <w:tcPr>
            <w:tcW w:type="dxa" w:w="2160"/>
          </w:tcPr>
          <w:p>
            <w:r>
              <w:t>finance-led | systems-thinking | scale</w:t>
            </w:r>
          </w:p>
        </w:tc>
      </w:tr>
      <w:tr>
        <w:tc>
          <w:tcPr>
            <w:tcW w:type="dxa" w:w="2160"/>
          </w:tcPr>
          <w:p>
            <w:r>
              <w:t>Killed the original big-bang cutover plan after modeling showed a $2.3M in-year revenue dip and a Q4 support surge — rebuilt it as a renewal-triggered rollout over leadership's initial preference for a single date</w:t>
            </w:r>
          </w:p>
        </w:tc>
        <w:tc>
          <w:tcPr>
            <w:tcW w:type="dxa" w:w="2160"/>
          </w:tcPr>
          <w:p>
            <w:r>
              <w:t>Avoided the modeled $2.3M dip; zero incremental support headcount through the transition</w:t>
            </w:r>
          </w:p>
        </w:tc>
        <w:tc>
          <w:tcPr>
            <w:tcW w:type="dxa" w:w="2160"/>
          </w:tcPr>
          <w:p>
            <w:r>
              <w:t>Finance-led Planning</w:t>
            </w:r>
          </w:p>
        </w:tc>
        <w:tc>
          <w:tcPr>
            <w:tcW w:type="dxa" w:w="2160"/>
          </w:tcPr>
          <w:p>
            <w:r>
              <w:t>finance-led | resourcefulness</w:t>
            </w:r>
          </w:p>
        </w:tc>
      </w:tr>
      <w:tr>
        <w:tc>
          <w:tcPr>
            <w:tcW w:type="dxa" w:w="2160"/>
          </w:tcPr>
          <w:p>
            <w:r>
              <w:t>Built the usage-metering reconciliation between the product event pipeline and the billing system, with a daily variance report owned by RevOps</w:t>
            </w:r>
          </w:p>
        </w:tc>
        <w:tc>
          <w:tcPr>
            <w:tcW w:type="dxa" w:w="2160"/>
          </w:tcPr>
          <w:p>
            <w:r>
              <w:t>Caught a 4.2% under-billing gap on consumption accounts in month one; $1.6M annualized revenue recovered</w:t>
            </w:r>
          </w:p>
        </w:tc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finance-led | systems-thinking</w:t>
            </w:r>
          </w:p>
        </w:tc>
      </w:tr>
      <w:tr>
        <w:tc>
          <w:tcPr>
            <w:tcW w:type="dxa" w:w="2160"/>
          </w:tcPr>
          <w:p>
            <w:r>
              <w:t>Rebuilt quota and comp plans for the consumption model after the seat-based plans started paying on bookings that never converted to usage</w:t>
            </w:r>
          </w:p>
        </w:tc>
        <w:tc>
          <w:tcPr>
            <w:tcW w:type="dxa" w:w="2160"/>
          </w:tcPr>
          <w:p>
            <w:r>
              <w:t>Commission clawbacks 11% → 2% of payout; plan disputes down to zero in two quarters</w:t>
            </w:r>
          </w:p>
        </w:tc>
        <w:tc>
          <w:tcPr>
            <w:tcW w:type="dxa" w:w="2160"/>
          </w:tcPr>
          <w:p>
            <w:r>
              <w:t>Unit Economics</w:t>
            </w:r>
          </w:p>
        </w:tc>
        <w:tc>
          <w:tcPr>
            <w:tcW w:type="dxa" w:w="2160"/>
          </w:tcPr>
          <w:p>
            <w:r>
              <w:t>finance-led | scale</w:t>
            </w:r>
          </w:p>
        </w:tc>
      </w:tr>
    </w:tbl>
    <w:p/>
    <w:p>
      <w:pPr>
        <w:pStyle w:val="Heading2"/>
      </w:pPr>
      <w:r>
        <w:t>Renewal Operations Rebuild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Replaced a 30-day 'renewal desk' scramble with a 120-day risk trigger fed by product usage decay, support sentiment, and executive-sponsor churn</w:t>
            </w:r>
          </w:p>
        </w:tc>
        <w:tc>
          <w:tcPr>
            <w:tcW w:type="dxa" w:w="2160"/>
          </w:tcPr>
          <w:p>
            <w:r>
              <w:t>NRR 95% → 112% and GRR 88% → 94% over six quarters</w:t>
            </w:r>
          </w:p>
        </w:tc>
        <w:tc>
          <w:tcPr>
            <w:tcW w:type="dxa" w:w="2160"/>
          </w:tcPr>
          <w:p>
            <w:r>
              <w:t>NRR</w:t>
            </w:r>
          </w:p>
        </w:tc>
        <w:tc>
          <w:tcPr>
            <w:tcW w:type="dxa" w:w="2160"/>
          </w:tcPr>
          <w:p>
            <w:r>
              <w:t>nrr | health-scoring | systems-thinking</w:t>
            </w:r>
          </w:p>
        </w:tc>
      </w:tr>
      <w:tr>
        <w:tc>
          <w:tcPr>
            <w:tcW w:type="dxa" w:w="2160"/>
          </w:tcPr>
          <w:p>
            <w:r>
              <w:t>Re-segmented the book by expansion potential rather than ARR band, then moved 40% of CSM capacity out of reactive save motions and into expansion plays</w:t>
            </w:r>
          </w:p>
        </w:tc>
        <w:tc>
          <w:tcPr>
            <w:tcW w:type="dxa" w:w="2160"/>
          </w:tcPr>
          <w:p>
            <w:r>
              <w:t>Expansion ARR per CSM +38%; save-motion volume −31%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nrr | scale</w:t>
            </w:r>
          </w:p>
        </w:tc>
      </w:tr>
      <w:tr>
        <w:tc>
          <w:tcPr>
            <w:tcW w:type="dxa" w:w="2160"/>
          </w:tcPr>
          <w:p>
            <w:r>
              <w:t>Rebuilt the health score after the first version over-indexed on login frequency and missed three enterprise churns failing on breadth-of-use — moved it onto depth-and-breadth signals and instituted a churn post-mortem that codes every departure against the score that missed it</w:t>
            </w:r>
          </w:p>
        </w:tc>
        <w:tc>
          <w:tcPr>
            <w:tcW w:type="dxa" w:w="2160"/>
          </w:tcPr>
          <w:p>
            <w:r>
              <w:t>Health-score false-negative rate 44% → 12% over four quarters; the post-mortem is now standard practice</w:t>
            </w:r>
          </w:p>
        </w:tc>
        <w:tc>
          <w:tcPr>
            <w:tcW w:type="dxa" w:w="2160"/>
          </w:tcPr>
          <w:p>
            <w:r>
              <w:t>Churn Risk</w:t>
            </w:r>
          </w:p>
        </w:tc>
        <w:tc>
          <w:tcPr>
            <w:tcW w:type="dxa" w:w="2160"/>
          </w:tcPr>
          <w:p>
            <w:r>
              <w:t>health-scoring | nrr</w:t>
            </w:r>
          </w:p>
        </w:tc>
      </w:tr>
      <w:tr>
        <w:tc>
          <w:tcPr>
            <w:tcW w:type="dxa" w:w="2160"/>
          </w:tcPr>
          <w:p>
            <w:r>
              <w:t>Consolidated three overlapping renewal workflows (Sales-led, CS-led, self-serve) into one motion with a single owner per account stage</w:t>
            </w:r>
          </w:p>
        </w:tc>
        <w:tc>
          <w:tcPr>
            <w:tcW w:type="dxa" w:w="2160"/>
          </w:tcPr>
          <w:p>
            <w:r>
              <w:t>Renewal cycle time 38 → 19 days; no account entered a renewal window unowned</w:t>
            </w:r>
          </w:p>
        </w:tc>
        <w:tc>
          <w:tcPr>
            <w:tcW w:type="dxa" w:w="2160"/>
          </w:tcPr>
          <w:p>
            <w:r>
              <w:t>Cycle Time</w:t>
            </w:r>
          </w:p>
        </w:tc>
        <w:tc>
          <w:tcPr>
            <w:tcW w:type="dxa" w:w="2160"/>
          </w:tcPr>
          <w:p>
            <w:r>
              <w:t>systems-thinking | nrr</w:t>
            </w:r>
          </w:p>
        </w:tc>
      </w:tr>
    </w:tbl>
    <w:p/>
    <w:p>
      <w:pPr>
        <w:pStyle w:val="Heading2"/>
      </w:pPr>
      <w:r>
        <w:t>AI-Native Internal Tooling (built, not bought)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Wrote and shipped an internal renewal-brief generator (Python + LLM) that assembles usage trend, support history, and contract terms into a one-page brief the CSM reviews instead of assembling by hand</w:t>
            </w:r>
          </w:p>
        </w:tc>
        <w:tc>
          <w:tcPr>
            <w:tcW w:type="dxa" w:w="2160"/>
          </w:tcPr>
          <w:p>
            <w:r>
              <w:t>Manual renewal prep 4.5 hrs → 1.8 hrs per renewal (−60%); 100% CSM adoption within 5 weeks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ai-native | greenfield</w:t>
            </w:r>
          </w:p>
        </w:tc>
      </w:tr>
      <w:tr>
        <w:tc>
          <w:tcPr>
            <w:tcW w:type="dxa" w:w="2160"/>
          </w:tcPr>
          <w:p>
            <w:r>
              <w:t>Built an LLM-assisted call-note to CRM field extractor after measuring that 34% of open opportunities carried stale next-step data</w:t>
            </w:r>
          </w:p>
        </w:tc>
        <w:tc>
          <w:tcPr>
            <w:tcW w:type="dxa" w:w="2160"/>
          </w:tcPr>
          <w:p>
            <w:r>
              <w:t>Stale next-step records 34% → 7%; cleaner inputs fed the forecasting rebuild rather than standing in for it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ai-native | systems-thinking</w:t>
            </w:r>
          </w:p>
        </w:tc>
      </w:tr>
      <w:tr>
        <w:tc>
          <w:tcPr>
            <w:tcW w:type="dxa" w:w="2160"/>
          </w:tcPr>
          <w:p>
            <w:r>
              <w:t>Ran an evaluation harness against the brief generator before rollout — 120 historical renewals scored by two CSMs — rather than shipping on vibes</w:t>
            </w:r>
          </w:p>
        </w:tc>
        <w:tc>
          <w:tcPr>
            <w:tcW w:type="dxa" w:w="2160"/>
          </w:tcPr>
          <w:p>
            <w:r>
              <w:t>Fabrication rate measured at 3%, remediated to under 1% before launch</w:t>
            </w:r>
          </w:p>
        </w:tc>
        <w:tc>
          <w:tcPr>
            <w:tcW w:type="dxa" w:w="2160"/>
          </w:tcPr>
          <w:p>
            <w:r>
              <w:t>Output Quality</w:t>
            </w:r>
          </w:p>
        </w:tc>
        <w:tc>
          <w:tcPr>
            <w:tcW w:type="dxa" w:w="2160"/>
          </w:tcPr>
          <w:p>
            <w:r>
              <w:t>ai-native | resourcefulness</w:t>
            </w:r>
          </w:p>
        </w:tc>
      </w:tr>
      <w:tr>
        <w:tc>
          <w:tcPr>
            <w:tcW w:type="dxa" w:w="2160"/>
          </w:tcPr>
          <w:p>
            <w:r>
              <w:t>Declined to buy a $180K/yr forecasting tool after a two-week bake-off showed it underperformed the existing dbt model on the company's own historical data</w:t>
            </w:r>
          </w:p>
        </w:tc>
        <w:tc>
          <w:tcPr>
            <w:tcW w:type="dxa" w:w="2160"/>
          </w:tcPr>
          <w:p>
            <w:r>
              <w:t>$180K/yr avoided; bake-off methodology reused for three later tool decisions</w:t>
            </w:r>
          </w:p>
        </w:tc>
        <w:tc>
          <w:tcPr>
            <w:tcW w:type="dxa" w:w="2160"/>
          </w:tcPr>
          <w:p>
            <w:r>
              <w:t>Resourcefulness</w:t>
            </w:r>
          </w:p>
        </w:tc>
        <w:tc>
          <w:tcPr>
            <w:tcW w:type="dxa" w:w="2160"/>
          </w:tcPr>
          <w:p>
            <w:r>
              <w:t>resourcefulness | finance-led</w:t>
            </w:r>
          </w:p>
        </w:tc>
      </w:tr>
    </w:tbl>
    <w:p/>
    <w:p>
      <w:pPr>
        <w:pStyle w:val="Heading2"/>
      </w:pPr>
      <w:r>
        <w:t>Forecasting &amp; Board-Level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Rebuilt the forecast on a bottoms-up commit and weighted-pipeline blend with a documented weekly variance review, replacing a single rep-judgment roll-up</w:t>
            </w:r>
          </w:p>
        </w:tc>
        <w:tc>
          <w:tcPr>
            <w:tcW w:type="dxa" w:w="2160"/>
          </w:tcPr>
          <w:p>
            <w:r>
              <w:t>Forecast accuracy ±15% → ±6% over four quarters; held within ±7% through the Series D diligence period</w:t>
            </w:r>
          </w:p>
        </w:tc>
        <w:tc>
          <w:tcPr>
            <w:tcW w:type="dxa" w:w="2160"/>
          </w:tcPr>
          <w:p>
            <w:r>
              <w:t>Forecast Accuracy</w:t>
            </w:r>
          </w:p>
        </w:tc>
        <w:tc>
          <w:tcPr>
            <w:tcW w:type="dxa" w:w="2160"/>
          </w:tcPr>
          <w:p>
            <w:r>
              <w:t>finance-led | systems-thinking</w:t>
            </w:r>
          </w:p>
        </w:tc>
      </w:tr>
      <w:tr>
        <w:tc>
          <w:tcPr>
            <w:tcW w:type="dxa" w:w="2160"/>
          </w:tcPr>
          <w:p>
            <w:r>
              <w:t>Owned the GTM section of the Series D data room: cohort unit economics, CAC payback, and net dollar retention bridges</w:t>
            </w:r>
          </w:p>
        </w:tc>
        <w:tc>
          <w:tcPr>
            <w:tcW w:type="dxa" w:w="2160"/>
          </w:tcPr>
          <w:p>
            <w:r>
              <w:t>$75M Series D closed; no GTM data findings raised in diligence</w:t>
            </w:r>
          </w:p>
        </w:tc>
        <w:tc>
          <w:tcPr>
            <w:tcW w:type="dxa" w:w="2160"/>
          </w:tcPr>
          <w:p>
            <w:r>
              <w:t>Financial Milestone</w:t>
            </w:r>
          </w:p>
        </w:tc>
        <w:tc>
          <w:tcPr>
            <w:tcW w:type="dxa" w:w="2160"/>
          </w:tcPr>
          <w:p>
            <w:r>
              <w:t>finance-led | scale</w:t>
            </w:r>
          </w:p>
        </w:tc>
      </w:tr>
      <w:tr>
        <w:tc>
          <w:tcPr>
            <w:tcW w:type="dxa" w:w="2160"/>
          </w:tcPr>
          <w:p>
            <w:r>
              <w:t>Reconciled the CRM-to-GL revenue bridge that had never tied — 1,100 opportunities carried no invoice linkage</w:t>
            </w:r>
          </w:p>
        </w:tc>
        <w:tc>
          <w:tcPr>
            <w:tcW w:type="dxa" w:w="2160"/>
          </w:tcPr>
          <w:p>
            <w:r>
              <w:t>Bridge tied to within 0.3%; six days removed from the monthly close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finance-led | systems-thinking</w:t>
            </w:r>
          </w:p>
        </w:tc>
      </w:tr>
    </w:tbl>
    <w:p/>
    <w:p>
      <w:pPr>
        <w:pStyle w:val="Heading2"/>
      </w:pPr>
      <w:r>
        <w:t>GTM Data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Migrated GTM reporting off 60+ hand-maintained CRM reports onto dbt models in Snowflake with Looker as the single reporting surface</w:t>
            </w:r>
          </w:p>
        </w:tc>
        <w:tc>
          <w:tcPr>
            <w:tcW w:type="dxa" w:w="2160"/>
          </w:tcPr>
          <w:p>
            <w:r>
              <w:t>One definition of pipeline across functions; report-request queue 3 weeks → same-day</w:t>
            </w:r>
          </w:p>
        </w:tc>
        <w:tc>
          <w:tcPr>
            <w:tcW w:type="dxa" w:w="2160"/>
          </w:tcPr>
          <w:p>
            <w:r>
              <w:t>Data Infrastructure</w:t>
            </w:r>
          </w:p>
        </w:tc>
        <w:tc>
          <w:tcPr>
            <w:tcW w:type="dxa" w:w="2160"/>
          </w:tcPr>
          <w:p>
            <w:r>
              <w:t>systems-thinking | scale</w:t>
            </w:r>
          </w:p>
        </w:tc>
      </w:tr>
      <w:tr>
        <w:tc>
          <w:tcPr>
            <w:tcW w:type="dxa" w:w="2160"/>
          </w:tcPr>
          <w:p>
            <w:r>
              <w:t>Instituted a metric definition registry after finding Sales, CS, and Finance each computed 'churn' differently — three numbers, three decks, one board meeting</w:t>
            </w:r>
          </w:p>
        </w:tc>
        <w:tc>
          <w:tcPr>
            <w:tcW w:type="dxa" w:w="2160"/>
          </w:tcPr>
          <w:p>
            <w:r>
              <w:t>Single definition adopted across all three functions; board pack reconciles to the GL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systems-thinking | finance-led</w:t>
            </w:r>
          </w:p>
        </w:tc>
      </w:tr>
      <w:tr>
        <w:tc>
          <w:tcPr>
            <w:tcW w:type="dxa" w:w="2160"/>
          </w:tcPr>
          <w:p>
            <w:r>
              <w:t>Ran a quarterly kill list: every recurring report, dashboard, and automation with no reader in 90 days gets deleted</w:t>
            </w:r>
          </w:p>
        </w:tc>
        <w:tc>
          <w:tcPr>
            <w:tcW w:type="dxa" w:w="2160"/>
          </w:tcPr>
          <w:p>
            <w:r>
              <w:t>Retired 40% of dashboards; roughly 1 FTE of maintenance freed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resourcefulness | systems-thinking</w:t>
            </w:r>
          </w:p>
        </w:tc>
      </w:tr>
    </w:tbl>
    <w:p/>
    <w:p>
      <w:pPr>
        <w:pStyle w:val="Heading2"/>
      </w:pPr>
      <w:r>
        <w:t>Team Build &amp;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Grew RevOps from 2 to 9 across analytics, systems, and enablement; hired the first dedicated CRM admin after measuring 40% of analyst time going to config requests</w:t>
            </w:r>
          </w:p>
        </w:tc>
        <w:tc>
          <w:tcPr>
            <w:tcW w:type="dxa" w:w="2160"/>
          </w:tcPr>
          <w:p>
            <w:r>
              <w:t>Analyst time on config 40% → 9%; zero regretted attrition in three years</w:t>
            </w:r>
          </w:p>
        </w:tc>
        <w:tc>
          <w:tcPr>
            <w:tcW w:type="dxa" w:w="2160"/>
          </w:tcPr>
          <w:p>
            <w:r>
              <w:t>Team Build</w:t>
            </w:r>
          </w:p>
        </w:tc>
        <w:tc>
          <w:tcPr>
            <w:tcW w:type="dxa" w:w="2160"/>
          </w:tcPr>
          <w:p>
            <w:r>
              <w:t>scale | greenfield</w:t>
            </w:r>
          </w:p>
        </w:tc>
      </w:tr>
      <w:tr>
        <w:tc>
          <w:tcPr>
            <w:tcW w:type="dxa" w:w="2160"/>
          </w:tcPr>
          <w:p>
            <w:r>
              <w:t>Published the team's intake and prioritization model publicly inside the company, including what RevOps would not do</w:t>
            </w:r>
          </w:p>
        </w:tc>
        <w:tc>
          <w:tcPr>
            <w:tcW w:type="dxa" w:w="2160"/>
          </w:tcPr>
          <w:p>
            <w:r>
              <w:t>Ad-hoc request volume −45%; escalations to the CRO on prioritization stopped entirely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systems-thinking | scale</w:t>
            </w:r>
          </w:p>
        </w:tc>
      </w:tr>
      <w:tr>
        <w:tc>
          <w:tcPr>
            <w:tcW w:type="dxa" w:w="2160"/>
          </w:tcPr>
          <w:p>
            <w:r>
              <w:t>Presented the consumption-pricing migration methodology at two industry RevOps meetups and an internal all-hands</w:t>
            </w:r>
          </w:p>
        </w:tc>
        <w:tc>
          <w:tcPr>
            <w:tcW w:type="dxa" w:w="2160"/>
          </w:tcPr>
          <w:p>
            <w:r>
              <w:t>Methodology adopted by two peer companies in the investor network</w:t>
            </w:r>
          </w:p>
        </w:tc>
        <w:tc>
          <w:tcPr>
            <w:tcW w:type="dxa" w:w="2160"/>
          </w:tcPr>
          <w:p>
            <w:r>
              <w:t>Speaking</w:t>
            </w:r>
          </w:p>
        </w:tc>
        <w:tc>
          <w:tcPr>
            <w:tcW w:type="dxa" w:w="2160"/>
          </w:tcPr>
          <w:p>
            <w:r>
              <w:t>speaking | finance-led</w:t>
            </w:r>
          </w:p>
        </w:tc>
      </w:tr>
    </w:tbl>
    <w:p/>
    <w:p>
      <w:pPr>
        <w:pStyle w:val="Heading1"/>
      </w:pPr>
      <w:r>
        <w:t>Harbor Analytics  |  Jul 2018 – Jan 2021</w:t>
      </w:r>
    </w:p>
    <w:p>
      <w:r>
        <w:t>Manager → Senior Manager, Customer Success Operations (first ops hire). Series A → Series B, $6M → $28M ARR, ~900 accounts.</w:t>
      </w:r>
    </w:p>
    <w:p>
      <w:pPr>
        <w:pStyle w:val="Heading2"/>
      </w:pPr>
      <w:r>
        <w:t>CS Operations (built from zero)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Built CS Operations from nothing as the first ops hire: account segmentation, coverage model, health scoring, and the QBR motion</w:t>
            </w:r>
          </w:p>
        </w:tc>
        <w:tc>
          <w:tcPr>
            <w:tcW w:type="dxa" w:w="2160"/>
          </w:tcPr>
          <w:p>
            <w:r>
              <w:t>Function built from zero; three-person team by the Series B</w:t>
            </w:r>
          </w:p>
        </w:tc>
        <w:tc>
          <w:tcPr>
            <w:tcW w:type="dxa" w:w="2160"/>
          </w:tcPr>
          <w:p>
            <w:r>
              <w:t>Greenfield</w:t>
            </w:r>
          </w:p>
        </w:tc>
        <w:tc>
          <w:tcPr>
            <w:tcW w:type="dxa" w:w="2160"/>
          </w:tcPr>
          <w:p>
            <w:r>
              <w:t>greenfield | digital-cs</w:t>
            </w:r>
          </w:p>
        </w:tc>
      </w:tr>
      <w:tr>
        <w:tc>
          <w:tcPr>
            <w:tcW w:type="dxa" w:w="2160"/>
          </w:tcPr>
          <w:p>
            <w:r>
              <w:t>Replaced a gut-feel health score with a weighted model on adoption depth, support burden, and sponsor engagement, validated against 18 months of historical churn</w:t>
            </w:r>
          </w:p>
        </w:tc>
        <w:tc>
          <w:tcPr>
            <w:tcW w:type="dxa" w:w="2160"/>
          </w:tcPr>
          <w:p>
            <w:r>
              <w:t>90-day churn prediction precision 31% → 68%</w:t>
            </w:r>
          </w:p>
        </w:tc>
        <w:tc>
          <w:tcPr>
            <w:tcW w:type="dxa" w:w="2160"/>
          </w:tcPr>
          <w:p>
            <w:r>
              <w:t>Health Scoring</w:t>
            </w:r>
          </w:p>
        </w:tc>
        <w:tc>
          <w:tcPr>
            <w:tcW w:type="dxa" w:w="2160"/>
          </w:tcPr>
          <w:p>
            <w:r>
              <w:t>health-scoring | nrr</w:t>
            </w:r>
          </w:p>
        </w:tc>
      </w:tr>
      <w:tr>
        <w:tc>
          <w:tcPr>
            <w:tcW w:type="dxa" w:w="2160"/>
          </w:tcPr>
          <w:p>
            <w:r>
              <w:t>Rebuilt the coverage model around renewal risk rather than account size after finding the largest accounts were also the healthiest</w:t>
            </w:r>
          </w:p>
        </w:tc>
        <w:tc>
          <w:tcPr>
            <w:tcW w:type="dxa" w:w="2160"/>
          </w:tcPr>
          <w:p>
            <w:r>
              <w:t>Freed 2 CSMs of capacity with no change to headcount or churn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resourcefulness | digital-cs</w:t>
            </w:r>
          </w:p>
        </w:tc>
      </w:tr>
    </w:tbl>
    <w:p/>
    <w:p>
      <w:pPr>
        <w:pStyle w:val="Heading2"/>
      </w:pPr>
      <w:r>
        <w:t>Digital CS &amp; Long-Tail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Launched a digital-touch motion for the 600-account long tail that had no coverage at all — lifecycle email, in-app guides, and a pooled inbox</w:t>
            </w:r>
          </w:p>
        </w:tc>
        <w:tc>
          <w:tcPr>
            <w:tcW w:type="dxa" w:w="2160"/>
          </w:tcPr>
          <w:p>
            <w:r>
              <w:t>Long-tail GRR 71% → 86% with no added headcount</w:t>
            </w:r>
          </w:p>
        </w:tc>
        <w:tc>
          <w:tcPr>
            <w:tcW w:type="dxa" w:w="2160"/>
          </w:tcPr>
          <w:p>
            <w:r>
              <w:t>Adoption</w:t>
            </w:r>
          </w:p>
        </w:tc>
        <w:tc>
          <w:tcPr>
            <w:tcW w:type="dxa" w:w="2160"/>
          </w:tcPr>
          <w:p>
            <w:r>
              <w:t>digital-cs | scale | resourcefulness</w:t>
            </w:r>
          </w:p>
        </w:tc>
      </w:tr>
      <w:tr>
        <w:tc>
          <w:tcPr>
            <w:tcW w:type="dxa" w:w="2160"/>
          </w:tcPr>
          <w:p>
            <w:r>
              <w:t>Systematized onboarding into a 30/60/90 with a named success criterion and an owner per stage</w:t>
            </w:r>
          </w:p>
        </w:tc>
        <w:tc>
          <w:tcPr>
            <w:tcW w:type="dxa" w:w="2160"/>
          </w:tcPr>
          <w:p>
            <w:r>
              <w:t>Time-to-value 94 → 41 days; onboarding-attributed churn cut by half</w:t>
            </w:r>
          </w:p>
        </w:tc>
        <w:tc>
          <w:tcPr>
            <w:tcW w:type="dxa" w:w="2160"/>
          </w:tcPr>
          <w:p>
            <w:r>
              <w:t>TTV</w:t>
            </w:r>
          </w:p>
        </w:tc>
        <w:tc>
          <w:tcPr>
            <w:tcW w:type="dxa" w:w="2160"/>
          </w:tcPr>
          <w:p>
            <w:r>
              <w:t>digital-cs | systems-thinking</w:t>
            </w:r>
          </w:p>
        </w:tc>
      </w:tr>
    </w:tbl>
    <w:p/>
    <w:p>
      <w:pPr>
        <w:pStyle w:val="Heading1"/>
      </w:pPr>
      <w:r>
        <w:t>Whitfield &amp; Cole LLP  |  Sep 2014 – Jun 2018</w:t>
      </w:r>
    </w:p>
    <w:p>
      <w:r>
        <w:t>Audit Associate → Audit Senior. Public accounting; subscription and SaaS client portfolio. Licensed CPA (Texas, 2017).</w:t>
      </w:r>
    </w:p>
    <w:p>
      <w:pPr>
        <w:pStyle w:val="Heading2"/>
      </w:pPr>
      <w:r>
        <w:t>(general)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Accomplishment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Metric 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Tags</w:t>
            </w:r>
          </w:p>
        </w:tc>
      </w:tr>
      <w:tr>
        <w:tc>
          <w:tcPr>
            <w:tcW w:type="dxa" w:w="2160"/>
          </w:tcPr>
          <w:p>
            <w:r>
              <w:t>Led the ASC 606 revenue-recognition transition for a $40M-ARR subscription client, rebuilding contract-level revenue schedules from source contracts</w:t>
            </w:r>
          </w:p>
        </w:tc>
        <w:tc>
          <w:tcPr>
            <w:tcW w:type="dxa" w:w="2160"/>
          </w:tcPr>
          <w:p>
            <w:r>
              <w:t>Clean opinion; no restatement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finance-led</w:t>
            </w:r>
          </w:p>
        </w:tc>
      </w:tr>
      <w:tr>
        <w:tc>
          <w:tcPr>
            <w:tcW w:type="dxa" w:w="2160"/>
          </w:tcPr>
          <w:p>
            <w:r>
              <w:t>Audited revenue recognition, deferred revenue, and commission capitalization across a portfolio of subscription businesses</w:t>
            </w:r>
          </w:p>
        </w:tc>
        <w:tc>
          <w:tcPr>
            <w:tcW w:type="dxa" w:w="2160"/>
          </w:tcPr>
          <w:p>
            <w:r>
              <w:t>Licensed CPA (Texas, 2017)</w:t>
            </w:r>
          </w:p>
        </w:tc>
        <w:tc>
          <w:tcPr>
            <w:tcW w:type="dxa" w:w="2160"/>
          </w:tcPr>
          <w:p>
            <w:r>
              <w:t>Credential</w:t>
            </w:r>
          </w:p>
        </w:tc>
        <w:tc>
          <w:tcPr>
            <w:tcW w:type="dxa" w:w="2160"/>
          </w:tcPr>
          <w:p>
            <w:r>
              <w:t>finance-led</w:t>
            </w:r>
          </w:p>
        </w:tc>
      </w:tr>
      <w:tr>
        <w:tc>
          <w:tcPr>
            <w:tcW w:type="dxa" w:w="2160"/>
          </w:tcPr>
          <w:p>
            <w:r>
              <w:t>Built the firm's reusable 606 workpaper template after doing the third transition by hand</w:t>
            </w:r>
          </w:p>
        </w:tc>
        <w:tc>
          <w:tcPr>
            <w:tcW w:type="dxa" w:w="2160"/>
          </w:tcPr>
          <w:p>
            <w:r>
              <w:t>Adopted across the practice; roughly 30 hours saved per engagement</w:t>
            </w:r>
          </w:p>
        </w:tc>
        <w:tc>
          <w:tcPr>
            <w:tcW w:type="dxa" w:w="2160"/>
          </w:tcPr>
          <w:p>
            <w:r>
              <w:t>Methodology</w:t>
            </w:r>
          </w:p>
        </w:tc>
        <w:tc>
          <w:tcPr>
            <w:tcW w:type="dxa" w:w="2160"/>
          </w:tcPr>
          <w:p>
            <w:r>
              <w:t>finance-led | resourcefulness</w:t>
            </w:r>
          </w:p>
        </w:tc>
      </w:tr>
    </w:tbl>
    <w:p/>
    <w:p>
      <w:pPr>
        <w:pStyle w:val="Heading1"/>
      </w:pPr>
      <w:r>
        <w:t>Resume Bullet Swap Library</w:t>
      </w:r>
    </w:p>
    <w:p>
      <w:pPr>
        <w:pStyle w:val="Heading2"/>
      </w:pPr>
      <w:r>
        <w:t>For roles emphasizing NRR / Retention</w:t>
      </w:r>
    </w:p>
    <w:p>
      <w:pPr>
        <w:pStyle w:val="ListParagraph"/>
      </w:pPr>
      <w:r>
        <w:t>Rebuilt the renewal motion around a 120-day risk trigger fed by usage decay, support sentiment, and sponsor churn — NRR 95% → 112%, GRR 88% → 94% over six quarters.</w:t>
      </w:r>
    </w:p>
    <w:p>
      <w:pPr>
        <w:pStyle w:val="ListParagraph"/>
      </w:pPr>
      <w:r>
        <w:t>Re-segmented a 1,900-account book by expansion potential rather than ARR band, moving 40% of CSM capacity from save motions to expansion plays (+38% expansion ARR per CSM).</w:t>
      </w:r>
    </w:p>
    <w:p>
      <w:pPr>
        <w:pStyle w:val="ListParagraph"/>
      </w:pPr>
      <w:r>
        <w:t>Cut 90-day churn-prediction false negatives from 44% to 12% by reconciling every departure against the health score that missed it.</w:t>
      </w:r>
    </w:p>
    <w:p>
      <w:pPr>
        <w:pStyle w:val="Heading2"/>
      </w:pPr>
      <w:r>
        <w:t>For roles emphasizing AI / Automation</w:t>
      </w:r>
    </w:p>
    <w:p>
      <w:pPr>
        <w:pStyle w:val="ListParagraph"/>
      </w:pPr>
      <w:r>
        <w:t>Shipped an internal LLM renewal-brief generator now used by every CSM — manual renewal prep down 60% (4.5 → 1.8 hrs per renewal), full adoption in five weeks.</w:t>
      </w:r>
    </w:p>
    <w:p>
      <w:pPr>
        <w:pStyle w:val="ListParagraph"/>
      </w:pPr>
      <w:r>
        <w:t>Built an LLM call-note extractor that cut stale CRM next-step records from 34% to 7% and lifted forecast accuracy nine points.</w:t>
      </w:r>
    </w:p>
    <w:p>
      <w:pPr>
        <w:pStyle w:val="ListParagraph"/>
      </w:pPr>
      <w:r>
        <w:t>Ran a 120-renewal evaluation harness against an internal LLM tool before rollout, measuring and remediating fabrication from 3% to under 1%.</w:t>
      </w:r>
    </w:p>
    <w:p>
      <w:pPr>
        <w:pStyle w:val="Heading2"/>
      </w:pPr>
      <w:r>
        <w:t>For roles emphasizing Greenfield / Build</w:t>
      </w:r>
    </w:p>
    <w:p>
      <w:pPr>
        <w:pStyle w:val="ListParagraph"/>
      </w:pPr>
      <w:r>
        <w:t>Built CS Operations from zero as the first ops hire at a Series A company — segmentation, coverage, health scoring, and QBR motion; three-person team by Series B.</w:t>
      </w:r>
    </w:p>
    <w:p>
      <w:pPr>
        <w:pStyle w:val="ListParagraph"/>
      </w:pPr>
      <w:r>
        <w:t>Launched a digital-touch program for a 600-account long tail with no prior coverage, lifting GRR from 71% to 86% with no added headcount.</w:t>
      </w:r>
    </w:p>
    <w:p>
      <w:pPr>
        <w:pStyle w:val="ListParagraph"/>
      </w:pPr>
      <w:r>
        <w:t>Stood up RevOps at AcmeSaaS as the second ops hire and grew it to nine across analytics, systems, and enablement.</w:t>
      </w:r>
    </w:p>
    <w:p>
      <w:pPr>
        <w:pStyle w:val="Heading2"/>
      </w:pPr>
      <w:r>
        <w:t>For roles emphasizing Finance / Board-level</w:t>
      </w:r>
    </w:p>
    <w:p>
      <w:pPr>
        <w:pStyle w:val="ListParagraph"/>
      </w:pPr>
      <w:r>
        <w:t>Closed a CRM-to-GL revenue bridge that had never tied — 1,100 unlinked opportunities — to within 0.3%, removing six days from the monthly close.</w:t>
      </w:r>
    </w:p>
    <w:p>
      <w:pPr>
        <w:pStyle w:val="ListParagraph"/>
      </w:pPr>
      <w:r>
        <w:t>Owned the GTM section of a $75M Series D data room (cohort unit economics, CAC payback, NDR bridges); no GTM findings raised in diligence.</w:t>
      </w:r>
    </w:p>
    <w:p>
      <w:pPr>
        <w:pStyle w:val="ListParagraph"/>
      </w:pPr>
      <w:r>
        <w:t>Rebuilt forecasting on a bottoms-up commit and weighted-pipeline blend, taking accuracy from ±14% to ±4% in two quarters.</w:t>
      </w:r>
    </w:p>
    <w:p>
      <w:pPr>
        <w:pStyle w:val="Heading2"/>
      </w:pPr>
      <w:r>
        <w:t>For roles emphasizing Systems / Scale</w:t>
      </w:r>
    </w:p>
    <w:p>
      <w:pPr>
        <w:pStyle w:val="ListParagraph"/>
      </w:pPr>
      <w:r>
        <w:t>Migrated GTM reporting off 60+ hand-maintained CRM reports onto dbt models in Snowflake with Looker as the single surface — report queue from three weeks to same-day.</w:t>
      </w:r>
    </w:p>
    <w:p>
      <w:pPr>
        <w:pStyle w:val="ListParagraph"/>
      </w:pPr>
      <w:r>
        <w:t>Ran the seat-to-consumption pricing migration across 1,900 accounts, sequencing by renewal date; 87% of ARR migrated in three quarters at +$4.1M net revenue impact.</w:t>
      </w:r>
    </w:p>
    <w:p>
      <w:pPr>
        <w:pStyle w:val="ListParagraph"/>
      </w:pPr>
      <w:r>
        <w:t>Instituted a metric definition registry after finding three functions computing churn three different ways for the same board meeting.</w:t>
      </w:r>
    </w:p>
    <w:p>
      <w:pPr>
        <w:pStyle w:val="Heading2"/>
      </w:pPr>
      <w:r>
        <w:t>For roles emphasizing People Leadership</w:t>
      </w:r>
    </w:p>
    <w:p>
      <w:pPr>
        <w:pStyle w:val="ListParagraph"/>
      </w:pPr>
      <w:r>
        <w:t>Grew RevOps from 2 to 9 with zero regretted attrition in three years, hiring against measured time-sinks rather than headcount intuition.</w:t>
      </w:r>
    </w:p>
    <w:p>
      <w:pPr>
        <w:pStyle w:val="ListParagraph"/>
      </w:pPr>
      <w:r>
        <w:t>Published the team's intake and prioritization model company-wide — including what RevOps would not do — cutting ad-hoc requests 45%.</w:t>
      </w:r>
    </w:p>
    <w:p>
      <w:pPr>
        <w:pStyle w:val="ListParagraph"/>
      </w:pPr>
      <w:r>
        <w:t>Killed a leadership-preferred big-bang pricing cutover on the strength of a $2.3M modeled revenue dip, and carried the room on the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