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Last Updated: 15 February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written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(not the H-89 display).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i.e. resistors, small capacitors, IC sockets, etc. Ensure the correct orientation of the electrolytic or tantalum capacitors,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 xml:space="preserve">Ensure you obtain the 30-pin version of the ESP-32 WROOM microcontroller </w:t>
      </w:r>
      <w:r>
        <w:rPr/>
        <w:t>(t</w:t>
      </w:r>
      <w:r>
        <w:rPr/>
        <w:t>here is also a 38-pin version of the device which will not fit the board footprint</w:t>
      </w:r>
      <w:r>
        <w:rPr/>
        <w:t>)</w:t>
      </w:r>
      <w:r>
        <w:rPr/>
        <w: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 You may need to solder headers to the chip.</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16V8. I used Atmel part number F16V8B-15PU.</w:t>
      </w:r>
    </w:p>
    <w:p>
      <w:pPr>
        <w:pStyle w:val="normal1"/>
        <w:rPr>
          <w:b w:val="false"/>
          <w:bCs w:val="false"/>
        </w:rPr>
      </w:pPr>
      <w:r>
        <w:rPr>
          <w:b w:val="false"/>
          <w:bCs w:val="false"/>
        </w:rPr>
        <w:t>You will need a suitable device programmer to program it. I programmed mine with a TL866II Plus programmer using the Linux Minipro software. Extract the files from h89-msx-ls-gal.zip from reference[9] and program it using the provided JED file, i.e.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ESP32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the three .bin files, enter addresses and enable checkboxes.</w:t>
      </w:r>
    </w:p>
    <w:p>
      <w:pPr>
        <w:pStyle w:val="normal1"/>
        <w:numPr>
          <w:ilvl w:val="0"/>
          <w:numId w:val="3"/>
        </w:numPr>
        <w:rPr/>
      </w:pPr>
      <w:r>
        <w:rPr>
          <w:b w:val="false"/>
          <w:bCs w:val="false"/>
        </w:rPr>
        <w:t>Check other settings (defaults should be okay).</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 xml:space="preserve">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w:t>
      </w:r>
      <w:r>
        <w:rPr/>
        <w:t xml:space="preserve">the </w:t>
      </w:r>
      <w:r>
        <w:rPr/>
        <w:t>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highlight w:val="red"/>
        </w:rPr>
      </w:r>
    </w:p>
    <w:p>
      <w:pPr>
        <w:pStyle w:val="normal1"/>
        <w:rPr>
          <w:highlight w:val="red"/>
        </w:rPr>
      </w:pPr>
      <w:r>
        <w:rPr/>
        <w:t>Connect the HDMI connector of the Tang Nano to an HDMI monitor.</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I/O Port Usage</w:t>
      </w:r>
    </w:p>
    <w:p>
      <w:pPr>
        <w:pStyle w:val="normal1"/>
        <w:rPr>
          <w:b/>
          <w:sz w:val="24"/>
          <w:szCs w:val="24"/>
        </w:rPr>
      </w:pPr>
      <w:r>
        <w:rPr>
          <w:b/>
          <w:sz w:val="24"/>
          <w:szCs w:val="24"/>
        </w:rPr>
      </w:r>
    </w:p>
    <w:p>
      <w:pPr>
        <w:pStyle w:val="normal1"/>
        <w:rPr>
          <w:b w:val="false"/>
          <w:bCs w:val="false"/>
        </w:rPr>
      </w:pPr>
      <w:r>
        <w:rPr>
          <w:b w:val="false"/>
          <w:bCs w:val="false"/>
          <w:sz w:val="24"/>
          <w:szCs w:val="24"/>
        </w:rPr>
        <w:t xml:space="preserve">The </w:t>
      </w:r>
      <w:r>
        <w:rPr>
          <w:b w:val="false"/>
          <w:bCs w:val="false"/>
          <w:sz w:val="24"/>
          <w:szCs w:val="24"/>
        </w:rPr>
        <w:t xml:space="preserve">base </w:t>
      </w:r>
      <w:r>
        <w:rPr>
          <w:b w:val="false"/>
          <w:bCs w:val="false"/>
          <w:sz w:val="24"/>
          <w:szCs w:val="24"/>
        </w:rPr>
        <w:t xml:space="preserve">i/o ports </w:t>
      </w:r>
      <w:r>
        <w:rPr>
          <w:b w:val="false"/>
          <w:bCs w:val="false"/>
          <w:sz w:val="24"/>
          <w:szCs w:val="24"/>
        </w:rPr>
        <w:t xml:space="preserve">(in hex) </w:t>
      </w:r>
      <w:r>
        <w:rPr>
          <w:b w:val="false"/>
          <w:bCs w:val="false"/>
          <w:sz w:val="24"/>
          <w:szCs w:val="24"/>
        </w:rPr>
        <w:t>used by the board are shown below:</w:t>
      </w:r>
    </w:p>
    <w:p>
      <w:pPr>
        <w:pStyle w:val="normal1"/>
        <w:rPr>
          <w:b/>
          <w:sz w:val="24"/>
          <w:szCs w:val="24"/>
        </w:rPr>
      </w:pPr>
      <w:r>
        <w:rPr>
          <w:b/>
          <w:sz w:val="24"/>
          <w:szCs w:val="24"/>
        </w:rPr>
      </w:r>
    </w:p>
    <w:tbl>
      <w:tblPr>
        <w:tblW w:w="5000" w:type="pct"/>
        <w:jc w:val="left"/>
        <w:tblInd w:w="29" w:type="dxa"/>
        <w:tblLayout w:type="fixed"/>
        <w:tblCellMar>
          <w:top w:w="29" w:type="dxa"/>
          <w:left w:w="29" w:type="dxa"/>
          <w:bottom w:w="29" w:type="dxa"/>
          <w:right w:w="29" w:type="dxa"/>
        </w:tblCellMar>
      </w:tblPr>
      <w:tblGrid>
        <w:gridCol w:w="3325"/>
        <w:gridCol w:w="2438"/>
        <w:gridCol w:w="2116"/>
      </w:tblGrid>
      <w:tr>
        <w:trPr>
          <w:tblHeader w:val="true"/>
        </w:trPr>
        <w:tc>
          <w:tcPr>
            <w:tcW w:w="3325" w:type="dxa"/>
            <w:tcBorders>
              <w:top w:val="single" w:sz="2" w:space="0" w:color="000000"/>
              <w:left w:val="single" w:sz="2" w:space="0" w:color="000000"/>
              <w:bottom w:val="single" w:sz="2" w:space="0" w:color="000000"/>
            </w:tcBorders>
          </w:tcPr>
          <w:p>
            <w:pPr>
              <w:pStyle w:val="TableHeading"/>
              <w:jc w:val="center"/>
              <w:rPr/>
            </w:pPr>
            <w:r>
              <w:rPr/>
              <w:t>Device</w:t>
            </w:r>
          </w:p>
        </w:tc>
        <w:tc>
          <w:tcPr>
            <w:tcW w:w="2438" w:type="dxa"/>
            <w:tcBorders>
              <w:top w:val="single" w:sz="2" w:space="0" w:color="000000"/>
              <w:left w:val="single" w:sz="2" w:space="0" w:color="000000"/>
              <w:bottom w:val="single" w:sz="2" w:space="0" w:color="000000"/>
            </w:tcBorders>
          </w:tcPr>
          <w:p>
            <w:pPr>
              <w:pStyle w:val="TableHeading"/>
              <w:jc w:val="center"/>
              <w:rPr/>
            </w:pPr>
            <w:r>
              <w:rPr/>
              <w:t>MSX Mode</w:t>
            </w:r>
          </w:p>
        </w:tc>
        <w:tc>
          <w:tcPr>
            <w:tcW w:w="2116" w:type="dxa"/>
            <w:tcBorders>
              <w:top w:val="single" w:sz="2" w:space="0" w:color="000000"/>
              <w:left w:val="single" w:sz="2" w:space="0" w:color="000000"/>
              <w:bottom w:val="single" w:sz="2" w:space="0" w:color="000000"/>
              <w:right w:val="single" w:sz="2" w:space="0" w:color="000000"/>
            </w:tcBorders>
          </w:tcPr>
          <w:p>
            <w:pPr>
              <w:pStyle w:val="TableHeading"/>
              <w:jc w:val="center"/>
              <w:rPr/>
            </w:pPr>
            <w:r>
              <w:rPr/>
              <w:t>H8 Mode</w:t>
            </w:r>
          </w:p>
        </w:tc>
      </w:tr>
      <w:tr>
        <w:trPr/>
        <w:tc>
          <w:tcPr>
            <w:tcW w:w="3325" w:type="dxa"/>
            <w:tcBorders>
              <w:left w:val="single" w:sz="2" w:space="0" w:color="000000"/>
              <w:bottom w:val="single" w:sz="2" w:space="0" w:color="000000"/>
            </w:tcBorders>
          </w:tcPr>
          <w:p>
            <w:pPr>
              <w:pStyle w:val="TableContents"/>
              <w:jc w:val="center"/>
              <w:rPr/>
            </w:pPr>
            <w:r>
              <w:rPr/>
              <w:t>AY-3-8910 PSG</w:t>
            </w:r>
          </w:p>
        </w:tc>
        <w:tc>
          <w:tcPr>
            <w:tcW w:w="2438" w:type="dxa"/>
            <w:tcBorders>
              <w:left w:val="single" w:sz="2" w:space="0" w:color="000000"/>
              <w:bottom w:val="single" w:sz="2" w:space="0" w:color="000000"/>
            </w:tcBorders>
          </w:tcPr>
          <w:p>
            <w:pPr>
              <w:pStyle w:val="TableContents"/>
              <w:jc w:val="center"/>
              <w:rPr/>
            </w:pPr>
            <w:r>
              <w:rPr/>
              <w:t>$A0</w:t>
            </w:r>
          </w:p>
        </w:tc>
        <w:tc>
          <w:tcPr>
            <w:tcW w:w="2116" w:type="dxa"/>
            <w:tcBorders>
              <w:left w:val="single" w:sz="2" w:space="0" w:color="000000"/>
              <w:bottom w:val="single" w:sz="2" w:space="0" w:color="000000"/>
              <w:right w:val="single" w:sz="2" w:space="0" w:color="000000"/>
            </w:tcBorders>
          </w:tcPr>
          <w:p>
            <w:pPr>
              <w:pStyle w:val="TableContents"/>
              <w:jc w:val="center"/>
              <w:rPr/>
            </w:pPr>
            <w:r>
              <w:rPr/>
              <w:t>$BA</w:t>
            </w:r>
          </w:p>
        </w:tc>
      </w:tr>
      <w:tr>
        <w:trPr/>
        <w:tc>
          <w:tcPr>
            <w:tcW w:w="3325" w:type="dxa"/>
            <w:tcBorders>
              <w:left w:val="single" w:sz="2" w:space="0" w:color="000000"/>
              <w:bottom w:val="single" w:sz="2" w:space="0" w:color="000000"/>
            </w:tcBorders>
          </w:tcPr>
          <w:p>
            <w:pPr>
              <w:pStyle w:val="TableContents"/>
              <w:jc w:val="center"/>
              <w:rPr/>
            </w:pPr>
            <w:r>
              <w:rPr/>
              <w:t>Tang Nano VDP</w:t>
            </w:r>
          </w:p>
        </w:tc>
        <w:tc>
          <w:tcPr>
            <w:tcW w:w="2438" w:type="dxa"/>
            <w:tcBorders>
              <w:left w:val="single" w:sz="2" w:space="0" w:color="000000"/>
              <w:bottom w:val="single" w:sz="2" w:space="0" w:color="000000"/>
            </w:tcBorders>
          </w:tcPr>
          <w:p>
            <w:pPr>
              <w:pStyle w:val="TableContents"/>
              <w:jc w:val="center"/>
              <w:rPr/>
            </w:pPr>
            <w:r>
              <w:rPr/>
              <w:t>$98</w:t>
            </w:r>
          </w:p>
        </w:tc>
        <w:tc>
          <w:tcPr>
            <w:tcW w:w="2116" w:type="dxa"/>
            <w:tcBorders>
              <w:left w:val="single" w:sz="2" w:space="0" w:color="000000"/>
              <w:bottom w:val="single" w:sz="2" w:space="0" w:color="000000"/>
              <w:right w:val="single" w:sz="2" w:space="0" w:color="000000"/>
            </w:tcBorders>
          </w:tcPr>
          <w:p>
            <w:pPr>
              <w:pStyle w:val="TableContents"/>
              <w:jc w:val="center"/>
              <w:rPr/>
            </w:pPr>
            <w:r>
              <w:rPr/>
              <w:t>$B8</w:t>
            </w:r>
          </w:p>
        </w:tc>
      </w:tr>
    </w:tbl>
    <w:p>
      <w:pPr>
        <w:pStyle w:val="normal1"/>
        <w:rPr>
          <w:b/>
          <w:sz w:val="24"/>
          <w:szCs w:val="24"/>
        </w:rPr>
      </w:pPr>
      <w:r>
        <w:rPr>
          <w:b/>
          <w:sz w:val="24"/>
          <w:szCs w:val="24"/>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 xml:space="preserve">If using Bluetooth controllers, pair them with the ESP32. Typically this is done by pressing the </w:t>
      </w:r>
      <w:r>
        <w:rPr/>
        <w:t xml:space="preserve">small pairing </w:t>
      </w:r>
      <w:r>
        <w:rPr/>
        <w:t>button for three seconds to get the controller to pair. The LEDs will blink and it will vibrate when paired.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 xml:space="preserve">Check the installation and wiring of the U509 buffer board </w:t>
      </w:r>
      <w:r>
        <w:rPr/>
        <w:t>including connections to a right side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247</TotalTime>
  <Application>LibreOffice/24.2.7.2$Linux_X86_64 LibreOffice_project/420$Build-2</Application>
  <AppVersion>15.0000</AppVersion>
  <Pages>8</Pages>
  <Words>1993</Words>
  <Characters>10729</Characters>
  <CharactersWithSpaces>12401</CharactersWithSpaces>
  <Paragraphs>295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2026-02-15T08:51:04Z</cp:lastPrinted>
  <dcterms:modified xsi:type="dcterms:W3CDTF">2026-02-15T15:27:15Z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file>