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Liberation Sans" w:hAnsi="Liberation Sans"/>
        </w:rPr>
        <w:t>Home Credit Company Research</w:t>
      </w:r>
    </w:p>
    <w:p>
      <w:pPr>
        <w:pStyle w:val="Subtitle"/>
        <w:widowControl/>
      </w:pPr>
      <w:r>
        <w:rPr>
          <w:rFonts w:ascii="Liberation Sans" w:hAnsi="Liberation Sans"/>
        </w:rPr>
        <w:t>Business model credit risk data and problem framing</w:t>
      </w:r>
    </w:p>
    <w:p>
      <w:pPr>
        <w:pStyle w:val="Heading3"/>
        <w:keepLines w:val="0"/>
        <w:widowControl/>
      </w:pPr>
      <w:r>
        <w:rPr>
          <w:rFonts w:ascii="Liberation Sans" w:hAnsi="Liberation Sans"/>
        </w:rPr>
        <w:t>Research cutoff 8 September 2026</w:t>
      </w:r>
    </w:p>
    <w:p>
      <w:pPr>
        <w:pStyle w:val="Smalltext"/>
        <w:keepLines w:val="0"/>
        <w:widowControl/>
      </w:pPr>
      <w:r>
        <w:rPr>
          <w:rFonts w:ascii="Liberation Sans" w:hAnsi="Liberation Sans"/>
        </w:rPr>
        <w:t>Scope Home Credit N V and its current consumer finance operations with Air Bank separated where necessary</w:t>
      </w:r>
    </w:p>
    <w:p>
      <w:pPr>
        <w:pStyle w:val="Smalltext"/>
        <w:keepLines w:val="0"/>
        <w:widowControl/>
      </w:pPr>
      <w:r>
        <w:rPr>
          <w:rFonts w:ascii="Liberation Sans" w:hAnsi="Liberation Sans"/>
        </w:rPr>
        <w:t>Purpose To answer the core questions required for company research and convert the evidence into a defensible analytics problem statement</w:t>
      </w:r>
    </w:p>
    <w:p>
      <w:pPr>
        <w:widowControl/>
      </w:pPr>
    </w:p>
    <w:p>
      <w:pPr>
        <w:pStyle w:val="Heading2"/>
        <w:keepLines w:val="0"/>
        <w:widowControl/>
      </w:pPr>
      <w:r>
        <w:rPr>
          <w:rFonts w:ascii="Liberation Sans" w:hAnsi="Liberation Sans"/>
        </w:rPr>
        <w:t>Main conclusion</w:t>
      </w:r>
    </w:p>
    <w:p>
      <w:pPr>
        <w:keepLines w:val="0"/>
        <w:widowControl/>
      </w:pPr>
      <w:r>
        <w:rPr>
          <w:rFonts w:ascii="Liberation Sans" w:hAnsi="Liberation Sans"/>
        </w:rPr>
        <w:t xml:space="preserve">The public evidence supports a decision optimization opportunity, not a claim that Home Credit currently has a default crisis. The strongest project is to improve who is approved, at what amount, price and term, while holding credit quality, affordability, fairness, privacy and explanation standards within explicit limits. Group NPL improved to 5.1 percent in 2025, and Home Credit Vietnam reported a 1.4 percent NPL ratio at 30 June 2025, both inconsistent with an unsupported narrative of uncontrolled deterioration. </w:t>
      </w:r>
      <w:hyperlink r:id="rId11">
        <w:r>
          <w:rPr>
            <w:color w:val="0563C1"/>
            <w:u w:val="single"/>
            <w:sz w:val="18"/>
            <w:szCs w:val="18"/>
            <w:rFonts w:ascii="Liberation Sans" w:hAnsi="Liberation Sans"/>
          </w:rPr>
          <w:t>[S5]</w:t>
        </w:r>
      </w:hyperlink>
      <w:hyperlink r:id="rId12">
        <w:r>
          <w:rPr>
            <w:color w:val="0563C1"/>
            <w:u w:val="single"/>
            <w:sz w:val="18"/>
            <w:szCs w:val="18"/>
            <w:rFonts w:ascii="Liberation Sans" w:hAnsi="Liberation Sans"/>
          </w:rPr>
          <w:t>[S16]</w:t>
        </w:r>
      </w:hyperlink>
    </w:p>
    <w:p>
      <w:pPr>
        <w:pStyle w:val="Heading2"/>
        <w:keepLines w:val="0"/>
        <w:widowControl/>
      </w:pPr>
      <w:r>
        <w:rPr>
          <w:rFonts w:ascii="Liberation Sans" w:hAnsi="Liberation Sans"/>
        </w:rPr>
        <w:t>How to read the evidence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Label</w:t>
            </w:r>
          </w:p>
        </w:tc>
        <w:tc>
          <w:tcPr>
            <w:tcW w:type="dxa" w:w="28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Meaning</w:t>
            </w:r>
          </w:p>
        </w:tc>
        <w:tc>
          <w:tcPr>
            <w:tcW w:type="dxa" w:w="54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Use in this report</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Current fact</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Evidence dated 2025 or 2026 and still applicable at the research cutoff</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Used for current footprint, performance, strategy, products and regulation.</w:t>
            </w:r>
          </w:p>
        </w:tc>
      </w:tr>
      <w:tr>
        <w:trPr>
          <w:cantSplit/>
        </w:trPr>
        <w:tc>
          <w:tcPr>
            <w:tcW w:type="dxa" w:w="17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Historical fact</w:t>
            </w:r>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Older evidence that explains capabilities or policy history</w:t>
            </w:r>
          </w:p>
        </w:tc>
        <w:tc>
          <w:tcPr>
            <w:tcW w:type="dxa" w:w="54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Explicitly dated and not treated as current performance.</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Company reported</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Published by Home Credit, PPF or Air Bank</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Useful but separated from audited, regulatory or independent evidence.</w:t>
            </w:r>
          </w:p>
        </w:tc>
      </w:tr>
      <w:tr>
        <w:trPr>
          <w:cantSplit/>
        </w:trPr>
        <w:tc>
          <w:tcPr>
            <w:tcW w:type="dxa" w:w="17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Independent or official</w:t>
            </w:r>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Audited accounts, regulator or independent research</w:t>
            </w:r>
          </w:p>
        </w:tc>
        <w:tc>
          <w:tcPr>
            <w:tcW w:type="dxa" w:w="54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Preferred for performance, law and market comparisons.</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Synthesis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Analytical conclusion or recommendation</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Marked as synthesis or hypothesis; it is not presented as a disclosed company fact.</w:t>
            </w:r>
          </w:p>
        </w:tc>
      </w:tr>
    </w:tbl>
    <w:p>
      <w:pPr>
        <w:widowControl/>
        <w:spacing w:after="20"/>
      </w:pPr>
    </w:p>
    <w:p>
      <w:pPr>
        <w:pStyle w:val="Heading2"/>
        <w:keepLines w:val="0"/>
        <w:widowControl/>
      </w:pPr>
      <w:r>
        <w:rPr>
          <w:rFonts w:ascii="Liberation Sans" w:hAnsi="Liberation Sans"/>
        </w:rPr>
        <w:t>Research questions covered</w:t>
      </w:r>
    </w:p>
    <w:p>
      <w:pPr>
        <w:keepLines w:val="0"/>
        <w:widowControl/>
      </w:pPr>
      <w:r>
        <w:rPr>
          <w:rFonts w:ascii="Liberation Sans" w:hAnsi="Liberation Sans"/>
        </w:rPr>
        <w:t>Identity and scope; business model; customers and needs; markets and competition; strategy and performance; credit risk and underwriting; data and analytics; regulation and ethics; technology and operations; stakeholders; and business problem formulation.</w:t>
      </w:r>
    </w:p>
    <w:p>
      <w:pPr>
        <w:widowControl/>
      </w:pPr>
      <w:r>
        <w:rPr>
          <w:rFonts w:ascii="Liberation Sans" w:hAnsi="Liberation Sans"/>
        </w:rPr>
        <w:br w:type="page"/>
      </w:r>
    </w:p>
    <w:p>
      <w:pPr>
        <w:pStyle w:val="Heading1"/>
        <w:keepLines w:val="0"/>
        <w:widowControl/>
      </w:pPr>
      <w:r>
        <w:rPr>
          <w:rFonts w:ascii="Liberation Sans" w:hAnsi="Liberation Sans"/>
        </w:rPr>
        <w:t>Executive findings</w:t>
      </w:r>
    </w:p>
    <w:p>
      <w:pPr>
        <w:pStyle w:val="ListBullet"/>
        <w:widowControl/>
        <w:spacing w:after="60"/>
      </w:pPr>
      <w:r>
        <w:rPr>
          <w:rFonts w:ascii="Liberation Sans" w:hAnsi="Liberation Sans"/>
        </w:rPr>
        <w:t xml:space="preserve">Home Credit N V is an Amsterdam holding company owned through PPF Financial Holdings; PPF Group states that Renáta Kellnerová and family own PPF Group N V and that PPF holds 100 percent of Home Credit. </w:t>
      </w:r>
      <w:hyperlink r:id="rId13">
        <w:r>
          <w:rPr>
            <w:color w:val="0563C1"/>
            <w:u w:val="single"/>
            <w:sz w:val="18"/>
            <w:szCs w:val="18"/>
            <w:rFonts w:ascii="Liberation Sans" w:hAnsi="Liberation Sans"/>
          </w:rPr>
          <w:t>[S2]</w:t>
        </w:r>
      </w:hyperlink>
      <w:hyperlink r:id="rId14">
        <w:r>
          <w:rPr>
            <w:color w:val="0563C1"/>
            <w:u w:val="single"/>
            <w:sz w:val="18"/>
            <w:szCs w:val="18"/>
            <w:rFonts w:ascii="Liberation Sans" w:hAnsi="Liberation Sans"/>
          </w:rPr>
          <w:t>[S3]</w:t>
        </w:r>
      </w:hyperlink>
    </w:p>
    <w:p>
      <w:pPr>
        <w:pStyle w:val="ListBullet"/>
        <w:widowControl/>
        <w:spacing w:after="60"/>
      </w:pPr>
      <w:r>
        <w:rPr>
          <w:rFonts w:ascii="Liberation Sans" w:hAnsi="Liberation Sans"/>
        </w:rPr>
        <w:t xml:space="preserve">The defensible current consumer finance footprint is the Czech Republic, Slovakia and Vietnam. The audited 2025 report and the current market website directory identify those three markets; the group homepage still says four countries without naming the fourth, so that counter should not be used as the operative footprint. </w:t>
      </w:r>
      <w:hyperlink r:id="rId15">
        <w:r>
          <w:rPr>
            <w:color w:val="0563C1"/>
            <w:u w:val="single"/>
            <w:sz w:val="18"/>
            <w:szCs w:val="18"/>
            <w:rFonts w:ascii="Liberation Sans" w:hAnsi="Liberation Sans"/>
          </w:rPr>
          <w:t>[S1]</w:t>
        </w:r>
      </w:hyperlink>
      <w:hyperlink r:id="rId13">
        <w:r>
          <w:rPr>
            <w:color w:val="0563C1"/>
            <w:u w:val="single"/>
            <w:sz w:val="18"/>
            <w:szCs w:val="18"/>
            <w:rFonts w:ascii="Liberation Sans" w:hAnsi="Liberation Sans"/>
          </w:rPr>
          <w:t>[S2]</w:t>
        </w:r>
      </w:hyperlink>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The operating model combines point of sale and buy now pay later finance, cash loans and revolving credit, with local extensions such as auto finance, SME finance, device leasing, cards, insurance and value added services. </w:t>
      </w:r>
      <w:hyperlink r:id="rId16">
        <w:r>
          <w:rPr>
            <w:color w:val="0563C1"/>
            <w:u w:val="single"/>
            <w:sz w:val="18"/>
            <w:szCs w:val="18"/>
            <w:rFonts w:ascii="Liberation Sans" w:hAnsi="Liberation Sans"/>
          </w:rPr>
          <w:t>[S4]</w:t>
        </w:r>
      </w:hyperlink>
      <w:hyperlink r:id="rId11">
        <w:r>
          <w:rPr>
            <w:color w:val="0563C1"/>
            <w:u w:val="single"/>
            <w:sz w:val="18"/>
            <w:szCs w:val="18"/>
            <w:rFonts w:ascii="Liberation Sans" w:hAnsi="Liberation Sans"/>
          </w:rPr>
          <w:t>[S5]</w:t>
        </w:r>
      </w:hyperlink>
      <w:hyperlink r:id="rId17">
        <w:r>
          <w:rPr>
            <w:color w:val="0563C1"/>
            <w:u w:val="single"/>
            <w:sz w:val="18"/>
            <w:szCs w:val="18"/>
            <w:rFonts w:ascii="Liberation Sans" w:hAnsi="Liberation Sans"/>
          </w:rPr>
          <w:t>[S9]</w:t>
        </w:r>
      </w:hyperlink>
      <w:hyperlink r:id="rId18">
        <w:r>
          <w:rPr>
            <w:color w:val="0563C1"/>
            <w:u w:val="single"/>
            <w:sz w:val="18"/>
            <w:szCs w:val="18"/>
            <w:rFonts w:ascii="Liberation Sans" w:hAnsi="Liberation Sans"/>
          </w:rPr>
          <w:t>[S11]</w:t>
        </w:r>
      </w:hyperlink>
      <w:hyperlink r:id="rId19">
        <w:r>
          <w:rPr>
            <w:color w:val="0563C1"/>
            <w:u w:val="single"/>
            <w:sz w:val="18"/>
            <w:szCs w:val="18"/>
            <w:rFonts w:ascii="Liberation Sans" w:hAnsi="Liberation Sans"/>
          </w:rPr>
          <w:t>[S12]</w:t>
        </w:r>
      </w:hyperlink>
      <w:hyperlink r:id="rId20">
        <w:r>
          <w:rPr>
            <w:color w:val="0563C1"/>
            <w:u w:val="single"/>
            <w:sz w:val="18"/>
            <w:szCs w:val="18"/>
            <w:rFonts w:ascii="Liberation Sans" w:hAnsi="Liberation Sans"/>
          </w:rPr>
          <w:t>[S15]</w:t>
        </w:r>
      </w:hyperlink>
    </w:p>
    <w:p>
      <w:pPr>
        <w:pStyle w:val="ListBullet"/>
        <w:widowControl/>
        <w:spacing w:after="60"/>
      </w:pPr>
      <w:r>
        <w:rPr>
          <w:rFonts w:ascii="Liberation Sans" w:hAnsi="Liberation Sans"/>
        </w:rPr>
        <w:t xml:space="preserve">Credit approval is a core economic decision: Home Credit says it verifies applicant data and combines it with scoring models that consider both risk and profitability to determine eligibility and price. </w:t>
      </w:r>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Current public performance is positive but not directly comparable across all units. Home Credit Group figures include Air Bank; Vietnam was shown as held for sale in the 2025 accounts even though the sale was terminated in March 2026. </w:t>
      </w:r>
      <w:hyperlink r:id="rId11">
        <w:r>
          <w:rPr>
            <w:color w:val="0563C1"/>
            <w:u w:val="single"/>
            <w:sz w:val="18"/>
            <w:szCs w:val="18"/>
            <w:rFonts w:ascii="Liberation Sans" w:hAnsi="Liberation Sans"/>
          </w:rPr>
          <w:t>[S5]</w:t>
        </w:r>
      </w:hyperlink>
      <w:hyperlink r:id="rId21">
        <w:r>
          <w:rPr>
            <w:color w:val="0563C1"/>
            <w:u w:val="single"/>
            <w:sz w:val="18"/>
            <w:szCs w:val="18"/>
            <w:rFonts w:ascii="Liberation Sans" w:hAnsi="Liberation Sans"/>
          </w:rPr>
          <w:t>[S6]</w:t>
        </w:r>
      </w:hyperlink>
    </w:p>
    <w:p>
      <w:pPr>
        <w:pStyle w:val="ListBullet"/>
        <w:widowControl/>
        <w:spacing w:after="60"/>
      </w:pPr>
      <w:r>
        <w:rPr>
          <w:rFonts w:ascii="Liberation Sans" w:hAnsi="Liberation Sans"/>
        </w:rPr>
        <w:t xml:space="preserve">Digital execution is already material. In 2025 about 80 percent of Czech and Slovak instalment purchases were completed online and more than 60 percent of online purchase transactions were processed without human intervention; monthly active app users reached 295,000 by June 2026. </w:t>
      </w:r>
      <w:hyperlink r:id="rId17">
        <w:r>
          <w:rPr>
            <w:color w:val="0563C1"/>
            <w:u w:val="single"/>
            <w:sz w:val="18"/>
            <w:szCs w:val="18"/>
            <w:rFonts w:ascii="Liberation Sans" w:hAnsi="Liberation Sans"/>
          </w:rPr>
          <w:t>[S9]</w:t>
        </w:r>
      </w:hyperlink>
      <w:hyperlink r:id="rId22">
        <w:r>
          <w:rPr>
            <w:color w:val="0563C1"/>
            <w:u w:val="single"/>
            <w:sz w:val="18"/>
            <w:szCs w:val="18"/>
            <w:rFonts w:ascii="Liberation Sans" w:hAnsi="Liberation Sans"/>
          </w:rPr>
          <w:t>[S10]</w:t>
        </w:r>
      </w:hyperlink>
    </w:p>
    <w:p>
      <w:pPr>
        <w:pStyle w:val="ListBullet"/>
        <w:widowControl/>
        <w:spacing w:after="60"/>
      </w:pPr>
      <w:r>
        <w:rPr>
          <w:rFonts w:ascii="Liberation Sans" w:hAnsi="Liberation Sans"/>
        </w:rPr>
        <w:t>The principal research gap is not lack of modelling data but lack of current internal decision economics: public sources do not disclose application volume, approval and take up rates, reject outcomes, price elasticity, contribution margin by loan, or default and complaint drivers by cohort.</w:t>
      </w:r>
    </w:p>
    <w:p>
      <w:pPr>
        <w:pStyle w:val="ListBullet"/>
        <w:widowControl/>
        <w:spacing w:after="60"/>
      </w:pPr>
      <w:r>
        <w:rPr>
          <w:rFonts w:ascii="Liberation Sans" w:hAnsi="Liberation Sans"/>
        </w:rPr>
        <w:t>Recommended problem statement: improve application time approval, amount, price and term decisions to increase risk adjusted contribution from customers likely to repay, subject to affordability, expected loss, fairness, explanation, privacy and operational constraints.</w:t>
      </w:r>
    </w:p>
    <w:p>
      <w:pPr>
        <w:pStyle w:val="Heading2"/>
        <w:keepLines w:val="0"/>
        <w:widowControl/>
      </w:pPr>
      <w:r>
        <w:rPr>
          <w:rFonts w:ascii="Liberation Sans" w:hAnsi="Liberation Sans"/>
        </w:rPr>
        <w:t>Priority management questions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Priority</w:t>
            </w:r>
          </w:p>
        </w:tc>
        <w:tc>
          <w:tcPr>
            <w:tcW w:type="dxa" w:w="38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Question</w:t>
            </w:r>
          </w:p>
        </w:tc>
        <w:tc>
          <w:tcPr>
            <w:tcW w:type="dxa" w:w="511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Why it changes the project</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1</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Which country, product and decision point is in scope?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The group mixes three markets and Air Bank; economics, laws and data differ.</w:t>
            </w:r>
          </w:p>
        </w:tc>
      </w:tr>
      <w:tr>
        <w:trPr>
          <w:cantSplit/>
        </w:trPr>
        <w:tc>
          <w:tcPr>
            <w:tcW w:type="dxa" w:w="100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2</w:t>
            </w:r>
          </w:p>
        </w:tc>
        <w:tc>
          <w:tcPr>
            <w:tcW w:type="dxa" w:w="38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What is the current profit and loss value of an approval, a false approval and a false decline?</w:t>
            </w:r>
          </w:p>
        </w:tc>
        <w:tc>
          <w:tcPr>
            <w:tcW w:type="dxa" w:w="511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AUC alone cannot select an economically correct threshold.</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3</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How are affordability, score, fraud and policy rules combined today?</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This determines whether the project changes a model, a rule set, or the full decision strategy.</w:t>
            </w:r>
          </w:p>
        </w:tc>
      </w:tr>
      <w:tr>
        <w:trPr>
          <w:cantSplit/>
        </w:trPr>
        <w:tc>
          <w:tcPr>
            <w:tcW w:type="dxa" w:w="100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4</w:t>
            </w:r>
          </w:p>
        </w:tc>
        <w:tc>
          <w:tcPr>
            <w:tcW w:type="dxa" w:w="38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What happens to rejected and abandoned applicants?</w:t>
            </w:r>
          </w:p>
        </w:tc>
        <w:tc>
          <w:tcPr>
            <w:tcW w:type="dxa" w:w="511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Without outcomes, false decline estimates require careful experimentation or reject inference.</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5</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Which fairness, privacy and explanation tests must pass before deployment?</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Creditworthiness models in the EU face expanding human review and high risk AI obligations. </w:t>
            </w:r>
            <w:hyperlink r:id="rId23">
              <w:r>
                <w:rPr>
                  <w:color w:val="0563C1"/>
                  <w:u w:val="single"/>
                  <w:sz w:val="17"/>
                  <w:szCs w:val="17"/>
                  <w:rFonts w:ascii="Liberation Sans" w:hAnsi="Liberation Sans"/>
                </w:rPr>
                <w:t>[S23]</w:t>
              </w:r>
            </w:hyperlink>
            <w:hyperlink r:id="rId24">
              <w:r>
                <w:rPr>
                  <w:color w:val="0563C1"/>
                  <w:u w:val="single"/>
                  <w:sz w:val="17"/>
                  <w:szCs w:val="17"/>
                  <w:rFonts w:ascii="Liberation Sans" w:hAnsi="Liberation Sans"/>
                </w:rPr>
                <w:t>[S24]</w:t>
              </w:r>
            </w:hyperlink>
          </w:p>
        </w:tc>
      </w:tr>
    </w:tbl>
    <w:p>
      <w:pPr>
        <w:widowControl/>
        <w:spacing w:after="20"/>
      </w:pPr>
    </w:p>
    <w:p>
      <w:pPr>
        <w:pStyle w:val="Heading1"/>
        <w:keepLines w:val="0"/>
        <w:widowControl/>
      </w:pPr>
      <w:r>
        <w:rPr>
          <w:rFonts w:ascii="Liberation Sans" w:hAnsi="Liberation Sans"/>
        </w:rPr>
        <w:t>1 Company identity and scope</w:t>
      </w:r>
    </w:p>
    <w:p>
      <w:pPr>
        <w:pStyle w:val="Heading2"/>
        <w:keepLines w:val="0"/>
        <w:widowControl/>
      </w:pPr>
      <w:r>
        <w:rPr>
          <w:rFonts w:ascii="Liberation Sans" w:hAnsi="Liberation Sans"/>
        </w:rPr>
        <w:t>What is Home Credit</w:t>
      </w:r>
    </w:p>
    <w:p>
      <w:pPr>
        <w:keepLines w:val="0"/>
        <w:widowControl/>
      </w:pPr>
      <w:r>
        <w:rPr>
          <w:rFonts w:ascii="Liberation Sans" w:hAnsi="Liberation Sans"/>
        </w:rPr>
        <w:t xml:space="preserve">Home Credit is an international consumer finance group founded in the Czech Republic in 1997. Its current group holding company, Home Credit N V, is registered in Amsterdam; Home Credit International and the group IT centre are located in Prague. </w:t>
      </w:r>
      <w:hyperlink r:id="rId13">
        <w:r>
          <w:rPr>
            <w:color w:val="0563C1"/>
            <w:u w:val="single"/>
            <w:sz w:val="18"/>
            <w:szCs w:val="18"/>
            <w:rFonts w:ascii="Liberation Sans" w:hAnsi="Liberation Sans"/>
          </w:rPr>
          <w:t>[S2]</w:t>
        </w:r>
      </w:hyperlink>
      <w:hyperlink r:id="rId17">
        <w:r>
          <w:rPr>
            <w:color w:val="0563C1"/>
            <w:u w:val="single"/>
            <w:sz w:val="18"/>
            <w:szCs w:val="18"/>
            <w:rFonts w:ascii="Liberation Sans" w:hAnsi="Liberation Sans"/>
          </w:rPr>
          <w:t>[S9]</w:t>
        </w:r>
      </w:hyperlink>
    </w:p>
    <w:p>
      <w:pPr>
        <w:keepLines w:val="0"/>
        <w:widowControl/>
      </w:pPr>
      <w:r>
        <w:rPr>
          <w:rFonts w:ascii="Liberation Sans" w:hAnsi="Liberation Sans"/>
        </w:rPr>
        <w:t xml:space="preserve">PPF Group is the ultimate owner. Home Credit states that Renáta Kellnerová and family own 100 percent of PPF Group N V and that PPF Group holds 100 percent of Home Credit through PPF Financial Holdings. </w:t>
      </w:r>
      <w:hyperlink r:id="rId14">
        <w:r>
          <w:rPr>
            <w:color w:val="0563C1"/>
            <w:u w:val="single"/>
            <w:sz w:val="18"/>
            <w:szCs w:val="18"/>
            <w:rFonts w:ascii="Liberation Sans" w:hAnsi="Liberation Sans"/>
          </w:rPr>
          <w:t>[S3]</w:t>
        </w:r>
      </w:hyperlink>
    </w:p>
    <w:p>
      <w:pPr>
        <w:keepLines w:val="0"/>
        <w:widowControl/>
      </w:pPr>
      <w:r>
        <w:rPr>
          <w:rFonts w:ascii="Liberation Sans" w:hAnsi="Liberation Sans"/>
        </w:rPr>
        <w:t xml:space="preserve">The Board of Home Credit N V is responsible for general affairs and strategy; executive directors manage day to day affairs and are responsible for achieving objectives, strategy and the associated risk profile. </w:t>
      </w:r>
      <w:hyperlink r:id="rId14">
        <w:r>
          <w:rPr>
            <w:color w:val="0563C1"/>
            <w:u w:val="single"/>
            <w:sz w:val="18"/>
            <w:szCs w:val="18"/>
            <w:rFonts w:ascii="Liberation Sans" w:hAnsi="Liberation Sans"/>
          </w:rPr>
          <w:t>[S3]</w:t>
        </w:r>
      </w:hyperlink>
    </w:p>
    <w:p>
      <w:pPr>
        <w:pStyle w:val="Heading2"/>
        <w:keepLines w:val="0"/>
        <w:widowControl/>
      </w:pPr>
      <w:r>
        <w:rPr>
          <w:rFonts w:ascii="Liberation Sans" w:hAnsi="Liberation Sans"/>
        </w:rPr>
        <w:t>What is included in the present company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Lens</w:t>
            </w:r>
          </w:p>
        </w:tc>
        <w:tc>
          <w:tcPr>
            <w:tcW w:type="dxa" w:w="403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Defensible scope at cutoff</w:t>
            </w:r>
          </w:p>
        </w:tc>
        <w:tc>
          <w:tcPr>
            <w:tcW w:type="dxa" w:w="424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Important qualification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Home Credit brand operations</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Czech Republic, Slovakia and Vietnam. </w:t>
            </w:r>
            <w:hyperlink r:id="rId13">
              <w:r>
                <w:rPr>
                  <w:color w:val="0563C1"/>
                  <w:u w:val="single"/>
                  <w:sz w:val="17"/>
                  <w:szCs w:val="17"/>
                  <w:rFonts w:ascii="Liberation Sans" w:hAnsi="Liberation Sans"/>
                </w:rPr>
                <w:t>[S2]</w:t>
              </w:r>
            </w:hyperlink>
            <w:hyperlink r:id="rId11">
              <w:r>
                <w:rPr>
                  <w:color w:val="0563C1"/>
                  <w:u w:val="single"/>
                  <w:sz w:val="17"/>
                  <w:szCs w:val="17"/>
                  <w:rFonts w:ascii="Liberation Sans" w:hAnsi="Liberation Sans"/>
                </w:rPr>
                <w:t>[S5]</w:t>
              </w:r>
            </w:hyperlink>
            <w:hyperlink r:id="rId21">
              <w:r>
                <w:rPr>
                  <w:color w:val="0563C1"/>
                  <w:u w:val="single"/>
                  <w:sz w:val="17"/>
                  <w:szCs w:val="17"/>
                  <w:rFonts w:ascii="Liberation Sans" w:hAnsi="Liberation Sans"/>
                </w:rPr>
                <w:t>[S6]</w:t>
              </w:r>
            </w:hyperlink>
          </w:p>
        </w:tc>
        <w:tc>
          <w:tcPr>
            <w:tcW w:type="dxa" w:w="424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global homepage says four countries but does not identify a fourth; the current directory and audited report identify three. </w:t>
            </w:r>
            <w:hyperlink r:id="rId15">
              <w:r>
                <w:rPr>
                  <w:color w:val="0563C1"/>
                  <w:u w:val="single"/>
                  <w:sz w:val="17"/>
                  <w:szCs w:val="17"/>
                  <w:rFonts w:ascii="Liberation Sans" w:hAnsi="Liberation Sans"/>
                </w:rPr>
                <w:t>[S1]</w:t>
              </w:r>
            </w:hyperlink>
            <w:hyperlink r:id="rId13">
              <w:r>
                <w:rPr>
                  <w:color w:val="0563C1"/>
                  <w:u w:val="single"/>
                  <w:sz w:val="17"/>
                  <w:szCs w:val="17"/>
                  <w:rFonts w:ascii="Liberation Sans" w:hAnsi="Liberation Sans"/>
                </w:rPr>
                <w:t>[S2]</w:t>
              </w:r>
            </w:hyperlink>
            <w:hyperlink r:id="rId11">
              <w:r>
                <w:rPr>
                  <w:color w:val="0563C1"/>
                  <w:u w:val="single"/>
                  <w:sz w:val="17"/>
                  <w:szCs w:val="17"/>
                  <w:rFonts w:ascii="Liberation Sans" w:hAnsi="Liberation Sans"/>
                </w:rPr>
                <w:t>[S5]</w:t>
              </w:r>
            </w:hyperlink>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Home Credit Group financials</w:t>
            </w:r>
          </w:p>
        </w:tc>
        <w:tc>
          <w:tcPr>
            <w:tcW w:type="dxa" w:w="40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Home Credit N V consolidation, including Air Bank in the Czech Republic. </w:t>
            </w:r>
            <w:hyperlink r:id="rId11">
              <w:r>
                <w:rPr>
                  <w:color w:val="0563C1"/>
                  <w:u w:val="single"/>
                  <w:sz w:val="17"/>
                  <w:szCs w:val="17"/>
                  <w:rFonts w:ascii="Liberation Sans" w:hAnsi="Liberation Sans"/>
                </w:rPr>
                <w:t>[S5]</w:t>
              </w:r>
            </w:hyperlink>
          </w:p>
        </w:tc>
        <w:tc>
          <w:tcPr>
            <w:tcW w:type="dxa" w:w="424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Group totals are not a clean measure of the consumer finance brand because Air Bank contributes loans, deposits and operating income. </w:t>
            </w:r>
            <w:hyperlink r:id="rId11">
              <w:r>
                <w:rPr>
                  <w:color w:val="0563C1"/>
                  <w:u w:val="single"/>
                  <w:sz w:val="17"/>
                  <w:szCs w:val="17"/>
                  <w:rFonts w:ascii="Liberation Sans" w:hAnsi="Liberation Sans"/>
                </w:rPr>
                <w:t>[S5]</w:t>
              </w:r>
            </w:hyperlink>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Czech and Slovak Home Credit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Home Credit a s and Home Credit Slovakia a s are controlled by Air Bank, while the brands operate separately. </w:t>
            </w:r>
            <w:hyperlink r:id="rId17">
              <w:r>
                <w:rPr>
                  <w:color w:val="0563C1"/>
                  <w:u w:val="single"/>
                  <w:sz w:val="17"/>
                  <w:szCs w:val="17"/>
                  <w:rFonts w:ascii="Liberation Sans" w:hAnsi="Liberation Sans"/>
                </w:rPr>
                <w:t>[S9]</w:t>
              </w:r>
            </w:hyperlink>
            <w:hyperlink r:id="rId22">
              <w:r>
                <w:rPr>
                  <w:color w:val="0563C1"/>
                  <w:u w:val="single"/>
                  <w:sz w:val="17"/>
                  <w:szCs w:val="17"/>
                  <w:rFonts w:ascii="Liberation Sans" w:hAnsi="Liberation Sans"/>
                </w:rPr>
                <w:t>[S10]</w:t>
              </w:r>
            </w:hyperlink>
          </w:p>
        </w:tc>
        <w:tc>
          <w:tcPr>
            <w:tcW w:type="dxa" w:w="424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Use Air Bank Group reports for recent combined results, but do not attribute all Air Bank Group results to Home Credit.</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Vietnam</w:t>
            </w:r>
          </w:p>
        </w:tc>
        <w:tc>
          <w:tcPr>
            <w:tcW w:type="dxa" w:w="40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Home Credit Vietnam Finance Company Limited remains operating after the proposed sale was terminated on 26 March 2026. </w:t>
            </w:r>
            <w:hyperlink r:id="rId21">
              <w:r>
                <w:rPr>
                  <w:color w:val="0563C1"/>
                  <w:u w:val="single"/>
                  <w:sz w:val="17"/>
                  <w:szCs w:val="17"/>
                  <w:rFonts w:ascii="Liberation Sans" w:hAnsi="Liberation Sans"/>
                </w:rPr>
                <w:t>[S6]</w:t>
              </w:r>
            </w:hyperlink>
          </w:p>
        </w:tc>
        <w:tc>
          <w:tcPr>
            <w:tcW w:type="dxa" w:w="424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2025 accounts classify Vietnam as held for sale; that accounting presentation predates the termination. </w:t>
            </w:r>
            <w:hyperlink r:id="rId11">
              <w:r>
                <w:rPr>
                  <w:color w:val="0563C1"/>
                  <w:u w:val="single"/>
                  <w:sz w:val="17"/>
                  <w:szCs w:val="17"/>
                  <w:rFonts w:ascii="Liberation Sans" w:hAnsi="Liberation Sans"/>
                </w:rPr>
                <w:t>[S5]</w:t>
              </w:r>
            </w:hyperlink>
            <w:hyperlink r:id="rId21">
              <w:r>
                <w:rPr>
                  <w:color w:val="0563C1"/>
                  <w:u w:val="single"/>
                  <w:sz w:val="17"/>
                  <w:szCs w:val="17"/>
                  <w:rFonts w:ascii="Liberation Sans" w:hAnsi="Liberation Sans"/>
                </w:rPr>
                <w:t>[S6]</w:t>
              </w:r>
            </w:hyperlink>
          </w:p>
        </w:tc>
      </w:tr>
    </w:tbl>
    <w:p>
      <w:pPr>
        <w:widowControl/>
        <w:spacing w:after="20"/>
      </w:pPr>
    </w:p>
    <w:p>
      <w:pPr>
        <w:pStyle w:val="Heading2"/>
        <w:keepLines w:val="0"/>
        <w:widowControl/>
      </w:pPr>
      <w:r>
        <w:rPr>
          <w:rFonts w:ascii="Liberation Sans" w:hAnsi="Liberation Sans"/>
        </w:rPr>
        <w:t>How the footprint changed</w:t>
      </w:r>
    </w:p>
    <w:p>
      <w:pPr>
        <w:keepLines w:val="0"/>
        <w:widowControl/>
      </w:pPr>
      <w:r>
        <w:rPr>
          <w:rFonts w:ascii="Liberation Sans" w:hAnsi="Liberation Sans"/>
        </w:rPr>
        <w:t xml:space="preserve">Home Credit completed the sale of its India business in January 2025 and PPF completed the sale of 100 percent of Home Credit Bank Kazakhstan to ForteBank in December 2025. </w:t>
      </w:r>
      <w:hyperlink r:id="rId25">
        <w:r>
          <w:rPr>
            <w:color w:val="0563C1"/>
            <w:u w:val="single"/>
            <w:sz w:val="18"/>
            <w:szCs w:val="18"/>
            <w:rFonts w:ascii="Liberation Sans" w:hAnsi="Liberation Sans"/>
          </w:rPr>
          <w:t>[S7]</w:t>
        </w:r>
      </w:hyperlink>
      <w:hyperlink r:id="rId26">
        <w:r>
          <w:rPr>
            <w:color w:val="0563C1"/>
            <w:u w:val="single"/>
            <w:sz w:val="18"/>
            <w:szCs w:val="18"/>
            <w:rFonts w:ascii="Liberation Sans" w:hAnsi="Liberation Sans"/>
          </w:rPr>
          <w:t>[S8]</w:t>
        </w:r>
      </w:hyperlink>
      <w:r>
        <w:rPr>
          <w:rFonts w:ascii="Liberation Sans" w:hAnsi="Liberation Sans"/>
        </w:rPr>
        <w:t xml:space="preserve"> The proposed sale of Vietnam, announced in 2024, did not complete and was terminated in March 2026. </w:t>
      </w:r>
      <w:hyperlink r:id="rId21">
        <w:r>
          <w:rPr>
            <w:color w:val="0563C1"/>
            <w:u w:val="single"/>
            <w:sz w:val="18"/>
            <w:szCs w:val="18"/>
            <w:rFonts w:ascii="Liberation Sans" w:hAnsi="Liberation Sans"/>
          </w:rPr>
          <w:t>[S6]</w:t>
        </w:r>
      </w:hyperlink>
      <w:hyperlink r:id="rId20">
        <w:r>
          <w:rPr>
            <w:color w:val="0563C1"/>
            <w:u w:val="single"/>
            <w:sz w:val="18"/>
            <w:szCs w:val="18"/>
            <w:rFonts w:ascii="Liberation Sans" w:hAnsi="Liberation Sans"/>
          </w:rPr>
          <w:t>[S15]</w:t>
        </w:r>
      </w:hyperlink>
    </w:p>
    <w:p>
      <w:pPr>
        <w:pStyle w:val="Heading3"/>
        <w:keepLines w:val="0"/>
        <w:widowControl/>
      </w:pPr>
      <w:r>
        <w:rPr>
          <w:rFonts w:ascii="Liberation Sans" w:hAnsi="Liberation Sans"/>
        </w:rPr>
        <w:t>Research implication</w:t>
      </w:r>
    </w:p>
    <w:p>
      <w:pPr>
        <w:keepLines w:val="0"/>
        <w:widowControl/>
      </w:pPr>
      <w:r>
        <w:rPr>
          <w:rFonts w:ascii="Liberation Sans" w:hAnsi="Liberation Sans"/>
        </w:rPr>
        <w:t>Historical reports, datasets and news often describe a much larger footprint. Any analysis must tag evidence by country, period and legal entity; otherwise it will mix divested businesses with current operations.</w:t>
      </w:r>
    </w:p>
    <w:p>
      <w:pPr>
        <w:pStyle w:val="Heading2"/>
        <w:keepLines w:val="0"/>
        <w:widowControl/>
      </w:pPr>
      <w:r>
        <w:rPr>
          <w:rFonts w:ascii="Liberation Sans" w:hAnsi="Liberation Sans"/>
        </w:rPr>
        <w:t>Identity questions answered</w:t>
      </w:r>
    </w:p>
    <w:p>
      <w:pPr>
        <w:pStyle w:val="ListBullet"/>
        <w:widowControl/>
        <w:spacing w:after="60"/>
      </w:pPr>
      <w:r>
        <w:rPr>
          <w:rFonts w:ascii="Liberation Sans" w:hAnsi="Liberation Sans"/>
        </w:rPr>
        <w:t xml:space="preserve">Headquarters and legal centre: Home Credit N V in Amsterdam; international and IT functions are listed in Prague. </w:t>
      </w:r>
      <w:hyperlink r:id="rId13">
        <w:r>
          <w:rPr>
            <w:color w:val="0563C1"/>
            <w:u w:val="single"/>
            <w:sz w:val="18"/>
            <w:szCs w:val="18"/>
            <w:rFonts w:ascii="Liberation Sans" w:hAnsi="Liberation Sans"/>
          </w:rPr>
          <w:t>[S2]</w:t>
        </w:r>
      </w:hyperlink>
      <w:hyperlink r:id="rId16">
        <w:r>
          <w:rPr>
            <w:color w:val="0563C1"/>
            <w:u w:val="single"/>
            <w:sz w:val="18"/>
            <w:szCs w:val="18"/>
            <w:rFonts w:ascii="Liberation Sans" w:hAnsi="Liberation Sans"/>
          </w:rPr>
          <w:t>[S4]</w:t>
        </w:r>
      </w:hyperlink>
    </w:p>
    <w:p>
      <w:pPr>
        <w:pStyle w:val="ListBullet"/>
        <w:widowControl/>
        <w:spacing w:after="60"/>
      </w:pPr>
      <w:r>
        <w:rPr>
          <w:rFonts w:ascii="Liberation Sans" w:hAnsi="Liberation Sans"/>
        </w:rPr>
        <w:t xml:space="preserve">Ownership: 100 percent through PPF Financial Holdings, ultimately within PPF Group. </w:t>
      </w:r>
      <w:hyperlink r:id="rId14">
        <w:r>
          <w:rPr>
            <w:color w:val="0563C1"/>
            <w:u w:val="single"/>
            <w:sz w:val="18"/>
            <w:szCs w:val="18"/>
            <w:rFonts w:ascii="Liberation Sans" w:hAnsi="Liberation Sans"/>
          </w:rPr>
          <w:t>[S3]</w:t>
        </w:r>
      </w:hyperlink>
    </w:p>
    <w:p>
      <w:pPr>
        <w:pStyle w:val="ListBullet"/>
        <w:widowControl/>
        <w:spacing w:after="60"/>
      </w:pPr>
      <w:r>
        <w:rPr>
          <w:rFonts w:ascii="Liberation Sans" w:hAnsi="Liberation Sans"/>
        </w:rPr>
        <w:t xml:space="preserve">Current markets: Czech Republic, Slovakia and Vietnam on the evidence standard used here. </w:t>
      </w:r>
      <w:hyperlink r:id="rId13">
        <w:r>
          <w:rPr>
            <w:color w:val="0563C1"/>
            <w:u w:val="single"/>
            <w:sz w:val="18"/>
            <w:szCs w:val="18"/>
            <w:rFonts w:ascii="Liberation Sans" w:hAnsi="Liberation Sans"/>
          </w:rPr>
          <w:t>[S2]</w:t>
        </w:r>
      </w:hyperlink>
      <w:hyperlink r:id="rId11">
        <w:r>
          <w:rPr>
            <w:color w:val="0563C1"/>
            <w:u w:val="single"/>
            <w:sz w:val="18"/>
            <w:szCs w:val="18"/>
            <w:rFonts w:ascii="Liberation Sans" w:hAnsi="Liberation Sans"/>
          </w:rPr>
          <w:t>[S5]</w:t>
        </w:r>
      </w:hyperlink>
      <w:hyperlink r:id="rId21">
        <w:r>
          <w:rPr>
            <w:color w:val="0563C1"/>
            <w:u w:val="single"/>
            <w:sz w:val="18"/>
            <w:szCs w:val="18"/>
            <w:rFonts w:ascii="Liberation Sans" w:hAnsi="Liberation Sans"/>
          </w:rPr>
          <w:t>[S6]</w:t>
        </w:r>
      </w:hyperlink>
    </w:p>
    <w:p>
      <w:pPr>
        <w:pStyle w:val="ListBullet"/>
        <w:widowControl/>
        <w:spacing w:after="60"/>
      </w:pPr>
      <w:r>
        <w:rPr>
          <w:rFonts w:ascii="Liberation Sans" w:hAnsi="Liberation Sans"/>
        </w:rPr>
        <w:t xml:space="preserve">Core mission: responsible, accessible finance for underserved or unbanked consumers through online and offline channels. </w:t>
      </w:r>
      <w:hyperlink r:id="rId15">
        <w:r>
          <w:rPr>
            <w:color w:val="0563C1"/>
            <w:u w:val="single"/>
            <w:sz w:val="18"/>
            <w:szCs w:val="18"/>
            <w:rFonts w:ascii="Liberation Sans" w:hAnsi="Liberation Sans"/>
          </w:rPr>
          <w:t>[S1]</w:t>
        </w:r>
      </w:hyperlink>
      <w:hyperlink r:id="rId16">
        <w:r>
          <w:rPr>
            <w:color w:val="0563C1"/>
            <w:u w:val="single"/>
            <w:sz w:val="18"/>
            <w:szCs w:val="18"/>
            <w:rFonts w:ascii="Liberation Sans" w:hAnsi="Liberation Sans"/>
          </w:rPr>
          <w:t>[S4]</w:t>
        </w:r>
      </w:hyperlink>
    </w:p>
    <w:p>
      <w:pPr>
        <w:pStyle w:val="Heading1"/>
        <w:keepLines w:val="0"/>
        <w:widowControl/>
      </w:pPr>
      <w:r>
        <w:rPr>
          <w:rFonts w:ascii="Liberation Sans" w:hAnsi="Liberation Sans"/>
        </w:rPr>
        <w:t>2 Business model and products</w:t>
      </w:r>
    </w:p>
    <w:p>
      <w:pPr>
        <w:pStyle w:val="Heading2"/>
        <w:keepLines w:val="0"/>
        <w:widowControl/>
      </w:pPr>
      <w:r>
        <w:rPr>
          <w:rFonts w:ascii="Liberation Sans" w:hAnsi="Liberation Sans"/>
        </w:rPr>
        <w:t>How Home Credit makes money</w:t>
      </w:r>
    </w:p>
    <w:p>
      <w:pPr>
        <w:keepLines w:val="0"/>
        <w:widowControl/>
      </w:pPr>
      <w:r>
        <w:rPr>
          <w:rFonts w:ascii="Liberation Sans" w:hAnsi="Liberation Sans"/>
        </w:rPr>
        <w:t xml:space="preserve">The core model is balance sheet lending: Home Credit originates consumer credit and earns interest over the life of the loan while funding the receivables and absorbing expected credit losses and operating costs. The 2025 accounts identify cash loans, revolving credit, consumer loans and auto loans as interest earning categories. </w:t>
      </w:r>
      <w:hyperlink r:id="rId11">
        <w:r>
          <w:rPr>
            <w:color w:val="0563C1"/>
            <w:u w:val="single"/>
            <w:sz w:val="18"/>
            <w:szCs w:val="18"/>
            <w:rFonts w:ascii="Liberation Sans" w:hAnsi="Liberation Sans"/>
          </w:rPr>
          <w:t>[S5]</w:t>
        </w:r>
      </w:hyperlink>
    </w:p>
    <w:p>
      <w:pPr>
        <w:keepLines w:val="0"/>
        <w:widowControl/>
      </w:pPr>
      <w:r>
        <w:rPr>
          <w:rFonts w:ascii="Liberation Sans" w:hAnsi="Liberation Sans"/>
        </w:rPr>
        <w:t xml:space="preserve">A second revenue layer comes from fees, commissions and complementary services. Home Credit describes insurance and third party insurance distribution as complementary products, and FiinRatings reported strong 2025 growth in Home Credit Vietnam fee income from value added services, entrusted lending and flexible instalment fees. </w:t>
      </w:r>
      <w:hyperlink r:id="rId16">
        <w:r>
          <w:rPr>
            <w:color w:val="0563C1"/>
            <w:u w:val="single"/>
            <w:sz w:val="18"/>
            <w:szCs w:val="18"/>
            <w:rFonts w:ascii="Liberation Sans" w:hAnsi="Liberation Sans"/>
          </w:rPr>
          <w:t>[S4]</w:t>
        </w:r>
      </w:hyperlink>
      <w:hyperlink r:id="rId12">
        <w:r>
          <w:rPr>
            <w:color w:val="0563C1"/>
            <w:u w:val="single"/>
            <w:sz w:val="18"/>
            <w:szCs w:val="18"/>
            <w:rFonts w:ascii="Liberation Sans" w:hAnsi="Liberation Sans"/>
          </w:rPr>
          <w:t>[S16]</w:t>
        </w:r>
      </w:hyperlink>
    </w:p>
    <w:p>
      <w:pPr>
        <w:keepLines w:val="0"/>
        <w:widowControl/>
      </w:pPr>
      <w:r>
        <w:rPr>
          <w:rFonts w:ascii="Liberation Sans" w:hAnsi="Liberation Sans"/>
        </w:rPr>
        <w:t xml:space="preserve">A third layer is distribution economics. Point of sale lending is embedded in merchant journeys, which can increase conversion for retail partners while giving Home Credit access to applicants at the moment of purchase. Home Credit describes an omnichannel partner ecosystem and Vietnam had more than 60 strategic partners in the 2025 rating review. </w:t>
      </w:r>
      <w:hyperlink r:id="rId16">
        <w:r>
          <w:rPr>
            <w:color w:val="0563C1"/>
            <w:u w:val="single"/>
            <w:sz w:val="18"/>
            <w:szCs w:val="18"/>
            <w:rFonts w:ascii="Liberation Sans" w:hAnsi="Liberation Sans"/>
          </w:rPr>
          <w:t>[S4]</w:t>
        </w:r>
      </w:hyperlink>
      <w:hyperlink r:id="rId12">
        <w:r>
          <w:rPr>
            <w:color w:val="0563C1"/>
            <w:u w:val="single"/>
            <w:sz w:val="18"/>
            <w:szCs w:val="18"/>
            <w:rFonts w:ascii="Liberation Sans" w:hAnsi="Liberation Sans"/>
          </w:rPr>
          <w:t>[S16]</w:t>
        </w:r>
      </w:hyperlink>
      <w:hyperlink r:id="rId27">
        <w:r>
          <w:rPr>
            <w:color w:val="0563C1"/>
            <w:u w:val="single"/>
            <w:sz w:val="18"/>
            <w:szCs w:val="18"/>
            <w:rFonts w:ascii="Liberation Sans" w:hAnsi="Liberation Sans"/>
          </w:rPr>
          <w:t>[S19]</w:t>
        </w:r>
      </w:hyperlink>
    </w:p>
    <w:p>
      <w:pPr>
        <w:pStyle w:val="Heading2"/>
        <w:keepLines w:val="0"/>
        <w:widowControl/>
      </w:pPr>
      <w:r>
        <w:rPr>
          <w:rFonts w:ascii="Liberation Sans" w:hAnsi="Liberation Sans"/>
        </w:rPr>
        <w:t>Products and customer jobs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Product family</w:t>
            </w:r>
          </w:p>
        </w:tc>
        <w:tc>
          <w:tcPr>
            <w:tcW w:type="dxa" w:w="324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Customer job</w:t>
            </w:r>
          </w:p>
        </w:tc>
        <w:tc>
          <w:tcPr>
            <w:tcW w:type="dxa" w:w="482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Current evidence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Point of sale and BNPL</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Finance a specific purchase and repay over time</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group lists point of sale or BNPL as one of its three principal unsecured product families. </w:t>
            </w:r>
            <w:hyperlink r:id="rId11">
              <w:r>
                <w:rPr>
                  <w:color w:val="0563C1"/>
                  <w:u w:val="single"/>
                  <w:sz w:val="17"/>
                  <w:szCs w:val="17"/>
                  <w:rFonts w:ascii="Liberation Sans" w:hAnsi="Liberation Sans"/>
                </w:rPr>
                <w:t>[S5]</w:t>
              </w:r>
            </w:hyperlink>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Cash or multipurpose loan</w:t>
            </w:r>
          </w:p>
        </w:tc>
        <w:tc>
          <w:tcPr>
            <w:tcW w:type="dxa" w:w="324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Fund an expense not tied to one merchant</w:t>
            </w:r>
          </w:p>
        </w:tc>
        <w:tc>
          <w:tcPr>
            <w:tcW w:type="dxa" w:w="482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group lists multipurpose or cash loans as a core category. </w:t>
            </w:r>
            <w:hyperlink r:id="rId16">
              <w:r>
                <w:rPr>
                  <w:color w:val="0563C1"/>
                  <w:u w:val="single"/>
                  <w:sz w:val="17"/>
                  <w:szCs w:val="17"/>
                  <w:rFonts w:ascii="Liberation Sans" w:hAnsi="Liberation Sans"/>
                </w:rPr>
                <w:t>[S4]</w:t>
              </w:r>
            </w:hyperlink>
            <w:hyperlink r:id="rId11">
              <w:r>
                <w:rPr>
                  <w:color w:val="0563C1"/>
                  <w:u w:val="single"/>
                  <w:sz w:val="17"/>
                  <w:szCs w:val="17"/>
                  <w:rFonts w:ascii="Liberation Sans" w:hAnsi="Liberation Sans"/>
                </w:rPr>
                <w:t>[S5]</w:t>
              </w:r>
            </w:hyperlink>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Revolving credit</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Maintain reusable access to credit</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group lists revolving products as a core category. </w:t>
            </w:r>
            <w:hyperlink r:id="rId16">
              <w:r>
                <w:rPr>
                  <w:color w:val="0563C1"/>
                  <w:u w:val="single"/>
                  <w:sz w:val="17"/>
                  <w:szCs w:val="17"/>
                  <w:rFonts w:ascii="Liberation Sans" w:hAnsi="Liberation Sans"/>
                </w:rPr>
                <w:t>[S4]</w:t>
              </w:r>
            </w:hyperlink>
            <w:hyperlink r:id="rId11">
              <w:r>
                <w:rPr>
                  <w:color w:val="0563C1"/>
                  <w:u w:val="single"/>
                  <w:sz w:val="17"/>
                  <w:szCs w:val="17"/>
                  <w:rFonts w:ascii="Liberation Sans" w:hAnsi="Liberation Sans"/>
                </w:rPr>
                <w:t>[S5]</w:t>
              </w:r>
            </w:hyperlink>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Czech and Slovak extensions</w:t>
            </w:r>
          </w:p>
        </w:tc>
        <w:tc>
          <w:tcPr>
            <w:tcW w:type="dxa" w:w="324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Consolidation, auto finance, entrepreneur finance, device leasing and insurance</w:t>
            </w:r>
          </w:p>
        </w:tc>
        <w:tc>
          <w:tcPr>
            <w:tcW w:type="dxa" w:w="482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These offers appear on the current Czech and Slovak sites; the Czech release also identifies entrepreneur finance as a growth focus. </w:t>
            </w:r>
            <w:hyperlink r:id="rId17">
              <w:r>
                <w:rPr>
                  <w:color w:val="0563C1"/>
                  <w:u w:val="single"/>
                  <w:sz w:val="17"/>
                  <w:szCs w:val="17"/>
                  <w:rFonts w:ascii="Liberation Sans" w:hAnsi="Liberation Sans"/>
                </w:rPr>
                <w:t>[S9]</w:t>
              </w:r>
            </w:hyperlink>
            <w:hyperlink r:id="rId18">
              <w:r>
                <w:rPr>
                  <w:color w:val="0563C1"/>
                  <w:u w:val="single"/>
                  <w:sz w:val="17"/>
                  <w:szCs w:val="17"/>
                  <w:rFonts w:ascii="Liberation Sans" w:hAnsi="Liberation Sans"/>
                </w:rPr>
                <w:t>[S11]</w:t>
              </w:r>
            </w:hyperlink>
            <w:hyperlink r:id="rId19">
              <w:r>
                <w:rPr>
                  <w:color w:val="0563C1"/>
                  <w:u w:val="single"/>
                  <w:sz w:val="17"/>
                  <w:szCs w:val="17"/>
                  <w:rFonts w:ascii="Liberation Sans" w:hAnsi="Liberation Sans"/>
                </w:rPr>
                <w:t>[S12]</w:t>
              </w:r>
            </w:hyperlink>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Vietnam extensions</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Motorcycle and electronics instalments, credit cards, Home PayLater and insurance</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 xml:space="preserve">The current Vietnam product pages and company programme page list these categories. </w:t>
            </w:r>
            <w:hyperlink r:id="rId28">
              <w:r>
                <w:rPr>
                  <w:color w:val="0563C1"/>
                  <w:u w:val="single"/>
                  <w:sz w:val="17"/>
                  <w:szCs w:val="17"/>
                  <w:rFonts w:ascii="Liberation Sans" w:hAnsi="Liberation Sans"/>
                </w:rPr>
                <w:t>[S13]</w:t>
              </w:r>
            </w:hyperlink>
            <w:hyperlink r:id="rId29">
              <w:r>
                <w:rPr>
                  <w:color w:val="0563C1"/>
                  <w:u w:val="single"/>
                  <w:sz w:val="17"/>
                  <w:szCs w:val="17"/>
                  <w:rFonts w:ascii="Liberation Sans" w:hAnsi="Liberation Sans"/>
                </w:rPr>
                <w:t>[S22]</w:t>
              </w:r>
            </w:hyperlink>
          </w:p>
        </w:tc>
      </w:tr>
    </w:tbl>
    <w:p>
      <w:pPr>
        <w:widowControl/>
        <w:spacing w:after="20"/>
      </w:pPr>
    </w:p>
    <w:p>
      <w:pPr>
        <w:pStyle w:val="Heading2"/>
        <w:keepLines w:val="0"/>
        <w:widowControl/>
      </w:pPr>
      <w:r>
        <w:rPr>
          <w:rFonts w:ascii="Liberation Sans" w:hAnsi="Liberation Sans"/>
        </w:rPr>
        <w:t>Economics of one lending decision</w:t>
      </w:r>
    </w:p>
    <w:p>
      <w:pPr>
        <w:keepLines w:val="0"/>
        <w:widowControl/>
      </w:pPr>
      <w:r>
        <w:rPr>
          <w:rFonts w:ascii="Liberation Sans" w:hAnsi="Liberation Sans"/>
        </w:rPr>
        <w:t>Synthesis. A useful unit economics equation is expected revenue from interest, fees and cross sell, minus funding cost, expected credit loss, acquisition cost, servicing cost, fraud loss, collection cost and capital usage. Approval, amount, term and price affect several terms at once; a lower predicted default rate is not automatically the highest value policy.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Decision error</w:t>
            </w:r>
          </w:p>
        </w:tc>
        <w:tc>
          <w:tcPr>
            <w:tcW w:type="dxa" w:w="43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Economic effect</w:t>
            </w:r>
          </w:p>
        </w:tc>
        <w:tc>
          <w:tcPr>
            <w:tcW w:type="dxa" w:w="38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Customer effect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False approval</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Interest and fee revenue may be outweighed by loss, collections and capital cost.</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 borrower may be given unaffordable or unsuitable credit.</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False decline</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Foregone contribution, merchant conversion and future relationship value.</w:t>
            </w:r>
          </w:p>
        </w:tc>
        <w:tc>
          <w:tcPr>
            <w:tcW w:type="dxa" w:w="38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 creditworthy applicant loses access despite ability to repay.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Wrong amount term or price</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 nominally correct approval can still destroy value through poor risk reward or take up.</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Payment burden or total cost may not fit the customer.</w:t>
            </w:r>
          </w:p>
        </w:tc>
      </w:tr>
    </w:tbl>
    <w:p>
      <w:pPr>
        <w:widowControl/>
        <w:spacing w:after="20"/>
      </w:pPr>
    </w:p>
    <w:p>
      <w:pPr>
        <w:pStyle w:val="Heading2"/>
        <w:keepLines w:val="0"/>
        <w:widowControl/>
      </w:pPr>
      <w:r>
        <w:rPr>
          <w:rFonts w:ascii="Liberation Sans" w:hAnsi="Liberation Sans"/>
        </w:rPr>
        <w:t>Business model questions answered</w:t>
      </w:r>
    </w:p>
    <w:p>
      <w:pPr>
        <w:pStyle w:val="ListBullet"/>
        <w:widowControl/>
        <w:spacing w:after="60"/>
      </w:pPr>
      <w:r>
        <w:rPr>
          <w:rFonts w:ascii="Liberation Sans" w:hAnsi="Liberation Sans"/>
        </w:rPr>
        <w:t xml:space="preserve">Primary revenue comes from interest on consumer credit; fees, commissions and insurance add non interest income. </w:t>
      </w:r>
      <w:hyperlink r:id="rId16">
        <w:r>
          <w:rPr>
            <w:color w:val="0563C1"/>
            <w:u w:val="single"/>
            <w:sz w:val="18"/>
            <w:szCs w:val="18"/>
            <w:rFonts w:ascii="Liberation Sans" w:hAnsi="Liberation Sans"/>
          </w:rPr>
          <w:t>[S4]</w:t>
        </w:r>
      </w:hyperlink>
      <w:hyperlink r:id="rId11">
        <w:r>
          <w:rPr>
            <w:color w:val="0563C1"/>
            <w:u w:val="single"/>
            <w:sz w:val="18"/>
            <w:szCs w:val="18"/>
            <w:rFonts w:ascii="Liberation Sans" w:hAnsi="Liberation Sans"/>
          </w:rPr>
          <w:t>[S5]</w:t>
        </w:r>
      </w:hyperlink>
      <w:hyperlink r:id="rId12">
        <w:r>
          <w:rPr>
            <w:color w:val="0563C1"/>
            <w:u w:val="single"/>
            <w:sz w:val="18"/>
            <w:szCs w:val="18"/>
            <w:rFonts w:ascii="Liberation Sans" w:hAnsi="Liberation Sans"/>
          </w:rPr>
          <w:t>[S16]</w:t>
        </w:r>
      </w:hyperlink>
    </w:p>
    <w:p>
      <w:pPr>
        <w:pStyle w:val="ListBullet"/>
        <w:widowControl/>
        <w:spacing w:after="60"/>
      </w:pPr>
      <w:r>
        <w:rPr>
          <w:rFonts w:ascii="Liberation Sans" w:hAnsi="Liberation Sans"/>
        </w:rPr>
        <w:t xml:space="preserve">The model depends on accurate approval and pricing, scalable digital servicing, merchant distribution, reliable funding and disciplined collections. </w:t>
      </w:r>
      <w:hyperlink r:id="rId16">
        <w:r>
          <w:rPr>
            <w:color w:val="0563C1"/>
            <w:u w:val="single"/>
            <w:sz w:val="18"/>
            <w:szCs w:val="18"/>
            <w:rFonts w:ascii="Liberation Sans" w:hAnsi="Liberation Sans"/>
          </w:rPr>
          <w:t>[S4]</w:t>
        </w:r>
      </w:hyperlink>
      <w:hyperlink r:id="rId11">
        <w:r>
          <w:rPr>
            <w:color w:val="0563C1"/>
            <w:u w:val="single"/>
            <w:sz w:val="18"/>
            <w:szCs w:val="18"/>
            <w:rFonts w:ascii="Liberation Sans" w:hAnsi="Liberation Sans"/>
          </w:rPr>
          <w:t>[S5]</w:t>
        </w:r>
      </w:hyperlink>
      <w:hyperlink r:id="rId17">
        <w:r>
          <w:rPr>
            <w:color w:val="0563C1"/>
            <w:u w:val="single"/>
            <w:sz w:val="18"/>
            <w:szCs w:val="18"/>
            <w:rFonts w:ascii="Liberation Sans" w:hAnsi="Liberation Sans"/>
          </w:rPr>
          <w:t>[S9]</w:t>
        </w:r>
      </w:hyperlink>
      <w:hyperlink r:id="rId12">
        <w:r>
          <w:rPr>
            <w:color w:val="0563C1"/>
            <w:u w:val="single"/>
            <w:sz w:val="18"/>
            <w:szCs w:val="18"/>
            <w:rFonts w:ascii="Liberation Sans" w:hAnsi="Liberation Sans"/>
          </w:rPr>
          <w:t>[S16]</w:t>
        </w:r>
      </w:hyperlink>
    </w:p>
    <w:p>
      <w:pPr>
        <w:pStyle w:val="ListBullet"/>
        <w:widowControl/>
        <w:spacing w:after="60"/>
      </w:pPr>
      <w:r>
        <w:rPr>
          <w:rFonts w:ascii="Liberation Sans" w:hAnsi="Liberation Sans"/>
        </w:rPr>
        <w:t xml:space="preserve">Costs include funding, credit provisions, operations, technology, acquisition, fraud and collections. In 2025 Home Credit Group loan provisions rose to EUR 79 million from EUR 56 million as the portfolio and mix grew. </w:t>
      </w:r>
      <w:hyperlink r:id="rId11">
        <w:r>
          <w:rPr>
            <w:color w:val="0563C1"/>
            <w:u w:val="single"/>
            <w:sz w:val="18"/>
            <w:szCs w:val="18"/>
            <w:rFonts w:ascii="Liberation Sans" w:hAnsi="Liberation Sans"/>
          </w:rPr>
          <w:t>[S5]</w:t>
        </w:r>
      </w:hyperlink>
    </w:p>
    <w:p>
      <w:pPr>
        <w:pStyle w:val="Heading1"/>
        <w:keepLines w:val="0"/>
        <w:widowControl/>
      </w:pPr>
      <w:r>
        <w:rPr>
          <w:rFonts w:ascii="Liberation Sans" w:hAnsi="Liberation Sans"/>
        </w:rPr>
        <w:t>3 Customers needs and experience</w:t>
      </w:r>
    </w:p>
    <w:p>
      <w:pPr>
        <w:pStyle w:val="Heading2"/>
        <w:keepLines w:val="0"/>
        <w:widowControl/>
      </w:pPr>
      <w:r>
        <w:rPr>
          <w:rFonts w:ascii="Liberation Sans" w:hAnsi="Liberation Sans"/>
        </w:rPr>
        <w:t>Who the customers are</w:t>
      </w:r>
    </w:p>
    <w:p>
      <w:pPr>
        <w:keepLines w:val="0"/>
        <w:widowControl/>
      </w:pPr>
      <w:r>
        <w:rPr>
          <w:rFonts w:ascii="Liberation Sans" w:hAnsi="Liberation Sans"/>
        </w:rPr>
        <w:t xml:space="preserve">The group explicitly targets underserved and unbanked consumers, including people with little or no conventional credit history, and positions fast online and offline access as the value proposition. </w:t>
      </w:r>
      <w:hyperlink r:id="rId15">
        <w:r>
          <w:rPr>
            <w:color w:val="0563C1"/>
            <w:u w:val="single"/>
            <w:sz w:val="18"/>
            <w:szCs w:val="18"/>
            <w:rFonts w:ascii="Liberation Sans" w:hAnsi="Liberation Sans"/>
          </w:rPr>
          <w:t>[S1]</w:t>
        </w:r>
      </w:hyperlink>
      <w:hyperlink r:id="rId16">
        <w:r>
          <w:rPr>
            <w:color w:val="0563C1"/>
            <w:u w:val="single"/>
            <w:sz w:val="18"/>
            <w:szCs w:val="18"/>
            <w:rFonts w:ascii="Liberation Sans" w:hAnsi="Liberation Sans"/>
          </w:rPr>
          <w:t>[S4]</w:t>
        </w:r>
      </w:hyperlink>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Segment</w:t>
            </w:r>
          </w:p>
        </w:tc>
        <w:tc>
          <w:tcPr>
            <w:tcW w:type="dxa" w:w="338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Need</w:t>
            </w:r>
          </w:p>
        </w:tc>
        <w:tc>
          <w:tcPr>
            <w:tcW w:type="dxa" w:w="446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Evidence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First time or thin file borrower</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 route into formal regulated finance despite limited bureau history</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Home Credit describes this target globally; in Vietnam it reported 236,900 customers below bank standards and 119,000 customers aged 18 to 20 receiving formal consumer credit in 2025. </w:t>
            </w:r>
            <w:hyperlink r:id="rId15">
              <w:r>
                <w:rPr>
                  <w:color w:val="0563C1"/>
                  <w:u w:val="single"/>
                  <w:sz w:val="16"/>
                  <w:szCs w:val="16"/>
                  <w:rFonts w:ascii="Liberation Sans" w:hAnsi="Liberation Sans"/>
                </w:rPr>
                <w:t>[S1]</w:t>
              </w:r>
            </w:hyperlink>
            <w:hyperlink r:id="rId30">
              <w:r>
                <w:rPr>
                  <w:color w:val="0563C1"/>
                  <w:u w:val="single"/>
                  <w:sz w:val="16"/>
                  <w:szCs w:val="16"/>
                  <w:rFonts w:ascii="Liberation Sans" w:hAnsi="Liberation Sans"/>
                </w:rPr>
                <w:t>[S14]</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Point of sale buyer</w:t>
            </w:r>
          </w:p>
        </w:tc>
        <w:tc>
          <w:tcPr>
            <w:tcW w:type="dxa" w:w="33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Immediate financing for electronics, appliances, furniture, motorcycles or other durable goods</w:t>
            </w:r>
          </w:p>
        </w:tc>
        <w:tc>
          <w:tcPr>
            <w:tcW w:type="dxa" w:w="446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The group and Vietnam product descriptions identify these uses. </w:t>
            </w:r>
            <w:hyperlink r:id="rId11">
              <w:r>
                <w:rPr>
                  <w:color w:val="0563C1"/>
                  <w:u w:val="single"/>
                  <w:sz w:val="16"/>
                  <w:szCs w:val="16"/>
                  <w:rFonts w:ascii="Liberation Sans" w:hAnsi="Liberation Sans"/>
                </w:rPr>
                <w:t>[S5]</w:t>
              </w:r>
            </w:hyperlink>
            <w:hyperlink r:id="rId20">
              <w:r>
                <w:rPr>
                  <w:color w:val="0563C1"/>
                  <w:u w:val="single"/>
                  <w:sz w:val="16"/>
                  <w:szCs w:val="16"/>
                  <w:rFonts w:ascii="Liberation Sans" w:hAnsi="Liberation Sans"/>
                </w:rPr>
                <w:t>[S15]</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Cash loan customer</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Liquidity for general household or personal needs</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Cash loans are a principal group and Vietnam product family. </w:t>
            </w:r>
            <w:hyperlink r:id="rId16">
              <w:r>
                <w:rPr>
                  <w:color w:val="0563C1"/>
                  <w:u w:val="single"/>
                  <w:sz w:val="16"/>
                  <w:szCs w:val="16"/>
                  <w:rFonts w:ascii="Liberation Sans" w:hAnsi="Liberation Sans"/>
                </w:rPr>
                <w:t>[S4]</w:t>
              </w:r>
            </w:hyperlink>
            <w:hyperlink r:id="rId28">
              <w:r>
                <w:rPr>
                  <w:color w:val="0563C1"/>
                  <w:u w:val="single"/>
                  <w:sz w:val="16"/>
                  <w:szCs w:val="16"/>
                  <w:rFonts w:ascii="Liberation Sans" w:hAnsi="Liberation Sans"/>
                </w:rPr>
                <w:t>[S13]</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Existing revolving customer</w:t>
            </w:r>
          </w:p>
        </w:tc>
        <w:tc>
          <w:tcPr>
            <w:tcW w:type="dxa" w:w="33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Reusable liquidity, card or pay later functionality</w:t>
            </w:r>
          </w:p>
        </w:tc>
        <w:tc>
          <w:tcPr>
            <w:tcW w:type="dxa" w:w="446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Revolving credit is a core group product; Vietnam offers cards and Home PayLater. </w:t>
            </w:r>
            <w:hyperlink r:id="rId16">
              <w:r>
                <w:rPr>
                  <w:color w:val="0563C1"/>
                  <w:u w:val="single"/>
                  <w:sz w:val="16"/>
                  <w:szCs w:val="16"/>
                  <w:rFonts w:ascii="Liberation Sans" w:hAnsi="Liberation Sans"/>
                </w:rPr>
                <w:t>[S4]</w:t>
              </w:r>
            </w:hyperlink>
            <w:hyperlink r:id="rId28">
              <w:r>
                <w:rPr>
                  <w:color w:val="0563C1"/>
                  <w:u w:val="single"/>
                  <w:sz w:val="16"/>
                  <w:szCs w:val="16"/>
                  <w:rFonts w:ascii="Liberation Sans" w:hAnsi="Liberation Sans"/>
                </w:rPr>
                <w:t>[S13]</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Entrepreneur in Czech Republic or Slovakia</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Working capital, purpose specific or secured business finance</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The current local sites and 2025 results identify entrepreneur products and planned market share growth. </w:t>
            </w:r>
            <w:hyperlink r:id="rId17">
              <w:r>
                <w:rPr>
                  <w:color w:val="0563C1"/>
                  <w:u w:val="single"/>
                  <w:sz w:val="16"/>
                  <w:szCs w:val="16"/>
                  <w:rFonts w:ascii="Liberation Sans" w:hAnsi="Liberation Sans"/>
                </w:rPr>
                <w:t>[S9]</w:t>
              </w:r>
            </w:hyperlink>
            <w:hyperlink r:id="rId18">
              <w:r>
                <w:rPr>
                  <w:color w:val="0563C1"/>
                  <w:u w:val="single"/>
                  <w:sz w:val="16"/>
                  <w:szCs w:val="16"/>
                  <w:rFonts w:ascii="Liberation Sans" w:hAnsi="Liberation Sans"/>
                </w:rPr>
                <w:t>[S11]</w:t>
              </w:r>
            </w:hyperlink>
            <w:hyperlink r:id="rId19">
              <w:r>
                <w:rPr>
                  <w:color w:val="0563C1"/>
                  <w:u w:val="single"/>
                  <w:sz w:val="16"/>
                  <w:szCs w:val="16"/>
                  <w:rFonts w:ascii="Liberation Sans" w:hAnsi="Liberation Sans"/>
                </w:rPr>
                <w:t>[S12]</w:t>
              </w:r>
            </w:hyperlink>
          </w:p>
        </w:tc>
      </w:tr>
    </w:tbl>
    <w:p>
      <w:pPr>
        <w:widowControl/>
        <w:spacing w:after="20"/>
      </w:pPr>
    </w:p>
    <w:p>
      <w:pPr>
        <w:pStyle w:val="Heading2"/>
        <w:keepLines w:val="0"/>
        <w:widowControl/>
      </w:pPr>
      <w:r>
        <w:rPr>
          <w:rFonts w:ascii="Liberation Sans" w:hAnsi="Liberation Sans"/>
        </w:rPr>
        <w:t>What customers value</w:t>
      </w:r>
    </w:p>
    <w:p>
      <w:pPr>
        <w:keepLines w:val="0"/>
        <w:widowControl/>
      </w:pPr>
      <w:r>
        <w:rPr>
          <w:rFonts w:ascii="Liberation Sans" w:hAnsi="Liberation Sans"/>
        </w:rPr>
        <w:t xml:space="preserve">Company positioning emphasizes simple, fast and accessible products, omnichannel access and relevant offers. </w:t>
      </w:r>
      <w:hyperlink r:id="rId15">
        <w:r>
          <w:rPr>
            <w:color w:val="0563C1"/>
            <w:u w:val="single"/>
            <w:sz w:val="18"/>
            <w:szCs w:val="18"/>
            <w:rFonts w:ascii="Liberation Sans" w:hAnsi="Liberation Sans"/>
          </w:rPr>
          <w:t>[S1]</w:t>
        </w:r>
      </w:hyperlink>
      <w:hyperlink r:id="rId16">
        <w:r>
          <w:rPr>
            <w:color w:val="0563C1"/>
            <w:u w:val="single"/>
            <w:sz w:val="18"/>
            <w:szCs w:val="18"/>
            <w:rFonts w:ascii="Liberation Sans" w:hAnsi="Liberation Sans"/>
          </w:rPr>
          <w:t>[S4]</w:t>
        </w:r>
      </w:hyperlink>
      <w:r>
        <w:rPr>
          <w:rFonts w:ascii="Liberation Sans" w:hAnsi="Liberation Sans"/>
        </w:rPr>
        <w:t xml:space="preserve"> In the Czech Republic and Slovakia, the mobile app became the primary service and acquisition channel, and 2025 Net Promoter Score was reported at 61. </w:t>
      </w:r>
      <w:hyperlink r:id="rId17">
        <w:r>
          <w:rPr>
            <w:color w:val="0563C1"/>
            <w:u w:val="single"/>
            <w:sz w:val="18"/>
            <w:szCs w:val="18"/>
            <w:rFonts w:ascii="Liberation Sans" w:hAnsi="Liberation Sans"/>
          </w:rPr>
          <w:t>[S9]</w:t>
        </w:r>
      </w:hyperlink>
    </w:p>
    <w:p>
      <w:pPr>
        <w:keepLines w:val="0"/>
        <w:widowControl/>
      </w:pPr>
      <w:r>
        <w:rPr>
          <w:rFonts w:ascii="Liberation Sans" w:hAnsi="Liberation Sans"/>
        </w:rPr>
        <w:t xml:space="preserve">Independent Czech evidence is also positive but narrower: People in Need ranked Home Credit eighth of the evaluated providers in its 2025 Responsible Lending Index, with 88 of 100 points and the highest score among non bank providers. The index examined price, late payment costs, registry use, help for repayment problems, transparency and creditworthiness assessment. </w:t>
      </w:r>
      <w:hyperlink r:id="rId31">
        <w:r>
          <w:rPr>
            <w:color w:val="0563C1"/>
            <w:u w:val="single"/>
            <w:sz w:val="18"/>
            <w:szCs w:val="18"/>
            <w:rFonts w:ascii="Liberation Sans" w:hAnsi="Liberation Sans"/>
          </w:rPr>
          <w:t>[S18]</w:t>
        </w:r>
      </w:hyperlink>
    </w:p>
    <w:p>
      <w:pPr>
        <w:pStyle w:val="Heading2"/>
        <w:keepLines w:val="0"/>
        <w:widowControl/>
      </w:pPr>
      <w:r>
        <w:rPr>
          <w:rFonts w:ascii="Liberation Sans" w:hAnsi="Liberation Sans"/>
        </w:rPr>
        <w:t>What is not known from public evidence</w:t>
      </w:r>
    </w:p>
    <w:p>
      <w:pPr>
        <w:pStyle w:val="ListBullet"/>
        <w:widowControl/>
        <w:spacing w:after="60"/>
      </w:pPr>
      <w:r>
        <w:rPr>
          <w:rFonts w:ascii="Liberation Sans" w:hAnsi="Liberation Sans"/>
        </w:rPr>
        <w:t>There is no current public group level breakdown of complaint themes, resolution time, repeat contact, regulatory complaint outcomes or vulnerable customer outcomes.</w:t>
      </w:r>
    </w:p>
    <w:p>
      <w:pPr>
        <w:pStyle w:val="ListBullet"/>
        <w:widowControl/>
        <w:spacing w:after="60"/>
      </w:pPr>
      <w:r>
        <w:rPr>
          <w:rFonts w:ascii="Liberation Sans" w:hAnsi="Liberation Sans"/>
        </w:rPr>
        <w:t>There is no current public application funnel showing starts, completions, approvals, declines, abandonments, take up and time at each step.</w:t>
      </w:r>
    </w:p>
    <w:p>
      <w:pPr>
        <w:pStyle w:val="ListBullet"/>
        <w:widowControl/>
        <w:spacing w:after="60"/>
      </w:pPr>
      <w:r>
        <w:rPr>
          <w:rFonts w:ascii="Liberation Sans" w:hAnsi="Liberation Sans"/>
        </w:rPr>
        <w:t>Open review and forum posts are self selected, hard to authenticate and often mix current and divested markets. They are useful as hypotheses for coding, not as population estimates.</w:t>
      </w:r>
    </w:p>
    <w:p>
      <w:pPr>
        <w:keepLines w:val="0"/>
        <w:widowControl/>
      </w:pPr>
      <w:r>
        <w:rPr>
          <w:rFonts w:ascii="Liberation Sans" w:hAnsi="Liberation Sans"/>
        </w:rPr>
        <w:t xml:space="preserve">The best public signal of active listening is procedural rather than diagnostic: Home Credit Vietnam ran face to face interviews with invited existing customers nationwide from July 2025 through January 2026, but it did not publish a coded findings table. </w:t>
      </w:r>
      <w:hyperlink r:id="rId28">
        <w:r>
          <w:rPr>
            <w:color w:val="0563C1"/>
            <w:u w:val="single"/>
            <w:sz w:val="18"/>
            <w:szCs w:val="18"/>
            <w:rFonts w:ascii="Liberation Sans" w:hAnsi="Liberation Sans"/>
          </w:rPr>
          <w:t>[S13]</w:t>
        </w:r>
      </w:hyperlink>
    </w:p>
    <w:p>
      <w:pPr>
        <w:pStyle w:val="Heading2"/>
        <w:keepLines w:val="0"/>
        <w:widowControl/>
      </w:pPr>
      <w:r>
        <w:rPr>
          <w:rFonts w:ascii="Liberation Sans" w:hAnsi="Liberation Sans"/>
        </w:rPr>
        <w:t>Recommended customer research</w:t>
      </w:r>
    </w:p>
    <w:p>
      <w:pPr>
        <w:pStyle w:val="ListBullet"/>
        <w:widowControl/>
        <w:spacing w:after="60"/>
      </w:pPr>
      <w:r>
        <w:rPr>
          <w:rFonts w:ascii="Liberation Sans" w:hAnsi="Liberation Sans"/>
        </w:rPr>
        <w:t>Join complaints, call reasons, app reviews, payment difficulty contacts and ombudsman cases to product, channel, cohort and decision outcome.</w:t>
      </w:r>
    </w:p>
    <w:p>
      <w:pPr>
        <w:pStyle w:val="ListBullet"/>
        <w:widowControl/>
        <w:spacing w:after="60"/>
      </w:pPr>
      <w:r>
        <w:rPr>
          <w:rFonts w:ascii="Liberation Sans" w:hAnsi="Liberation Sans"/>
        </w:rPr>
        <w:t>Interview applicants at four moments: abandonment, decline, approval without take up, and first missed payment.</w:t>
      </w:r>
    </w:p>
    <w:p>
      <w:pPr>
        <w:pStyle w:val="ListBullet"/>
        <w:widowControl/>
        <w:spacing w:after="60"/>
      </w:pPr>
      <w:r>
        <w:rPr>
          <w:rFonts w:ascii="Liberation Sans" w:hAnsi="Liberation Sans"/>
        </w:rPr>
        <w:t>Separate service friction from credit policy disagreement and from genuine affordability difficulty.</w:t>
      </w:r>
    </w:p>
    <w:p>
      <w:pPr>
        <w:pStyle w:val="ListBullet"/>
        <w:widowControl/>
        <w:spacing w:after="60"/>
      </w:pPr>
      <w:r>
        <w:rPr>
          <w:rFonts w:ascii="Liberation Sans" w:hAnsi="Liberation Sans"/>
        </w:rPr>
        <w:t>Report complaint rate with severity, substantiation, time to resolve and repeat occurrence, not a single aggregate satisfaction score.</w:t>
      </w:r>
    </w:p>
    <w:p>
      <w:pPr>
        <w:pStyle w:val="Heading1"/>
        <w:keepLines w:val="0"/>
        <w:widowControl/>
      </w:pPr>
      <w:r>
        <w:rPr>
          <w:rFonts w:ascii="Liberation Sans" w:hAnsi="Liberation Sans"/>
        </w:rPr>
        <w:t>4 Markets competition and external forces</w:t>
      </w:r>
    </w:p>
    <w:p>
      <w:pPr>
        <w:pStyle w:val="Heading2"/>
        <w:keepLines w:val="0"/>
        <w:widowControl/>
      </w:pPr>
      <w:r>
        <w:rPr>
          <w:rFonts w:ascii="Liberation Sans" w:hAnsi="Liberation Sans"/>
        </w:rPr>
        <w:t>Competitive landscape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Market</w:t>
            </w:r>
          </w:p>
        </w:tc>
        <w:tc>
          <w:tcPr>
            <w:tcW w:type="dxa" w:w="439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Direct competitors</w:t>
            </w:r>
          </w:p>
        </w:tc>
        <w:tc>
          <w:tcPr>
            <w:tcW w:type="dxa" w:w="38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Substitutes and differentiation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Czech Republic and Slovakia</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Banks, licensed non bank lenders, card issuers, point of sale finance providers and leasing firms. Home Credit describes itself as the largest non bank provider in the two countries; the Czech independent index compared almost 60 products from 37 bank and non bank providers. </w:t>
            </w:r>
            <w:hyperlink r:id="rId17">
              <w:r>
                <w:rPr>
                  <w:color w:val="0563C1"/>
                  <w:u w:val="single"/>
                  <w:sz w:val="16"/>
                  <w:szCs w:val="16"/>
                  <w:rFonts w:ascii="Liberation Sans" w:hAnsi="Liberation Sans"/>
                </w:rPr>
                <w:t>[S9]</w:t>
              </w:r>
            </w:hyperlink>
            <w:hyperlink r:id="rId31">
              <w:r>
                <w:rPr>
                  <w:color w:val="0563C1"/>
                  <w:u w:val="single"/>
                  <w:sz w:val="16"/>
                  <w:szCs w:val="16"/>
                  <w:rFonts w:ascii="Liberation Sans" w:hAnsi="Liberation Sans"/>
                </w:rPr>
                <w:t>[S18]</w:t>
              </w:r>
            </w:hyperlink>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Substitutes include bank loans, overdrafts, cards, retailer deferred payment, savings and informal borrowing. Home Credit competes on embedded distribution, speed, app experience, product range and responsible lending evidence.</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Vietnam</w:t>
            </w:r>
          </w:p>
        </w:tc>
        <w:tc>
          <w:tcPr>
            <w:tcW w:type="dxa" w:w="439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Finance companies and banks competing in cash, consumer durable, card, BNPL and vehicle credit. FiinResearch identifies FE Credit, Home Credit, HD Saison and Mcredit in the core finance company peer set and says Home Credit and HD Saison led profitability in first half 2025. </w:t>
            </w:r>
            <w:hyperlink r:id="rId32">
              <w:r>
                <w:rPr>
                  <w:color w:val="0563C1"/>
                  <w:u w:val="single"/>
                  <w:sz w:val="16"/>
                  <w:szCs w:val="16"/>
                  <w:rFonts w:ascii="Liberation Sans" w:hAnsi="Liberation Sans"/>
                </w:rPr>
                <w:t>[S17]</w:t>
              </w:r>
            </w:hyperlink>
          </w:p>
        </w:tc>
        <w:tc>
          <w:tcPr>
            <w:tcW w:type="dxa" w:w="381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Home Credit differentiates through a large point of sale network, more than 60 strategic partners, technology based analytics and product breadth. </w:t>
            </w:r>
            <w:hyperlink r:id="rId12">
              <w:r>
                <w:rPr>
                  <w:color w:val="0563C1"/>
                  <w:u w:val="single"/>
                  <w:sz w:val="16"/>
                  <w:szCs w:val="16"/>
                  <w:rFonts w:ascii="Liberation Sans" w:hAnsi="Liberation Sans"/>
                </w:rPr>
                <w:t>[S16]</w:t>
              </w:r>
            </w:hyperlink>
          </w:p>
        </w:tc>
      </w:tr>
    </w:tbl>
    <w:p>
      <w:pPr>
        <w:widowControl/>
        <w:spacing w:after="20"/>
      </w:pPr>
    </w:p>
    <w:p>
      <w:pPr>
        <w:pStyle w:val="Heading2"/>
        <w:keepLines w:val="0"/>
        <w:widowControl/>
      </w:pPr>
      <w:r>
        <w:rPr>
          <w:rFonts w:ascii="Liberation Sans" w:hAnsi="Liberation Sans"/>
        </w:rPr>
        <w:t>Market forces</w:t>
      </w:r>
    </w:p>
    <w:p>
      <w:pPr>
        <w:pStyle w:val="ListBullet"/>
        <w:widowControl/>
        <w:spacing w:after="60"/>
      </w:pPr>
      <w:r>
        <w:rPr>
          <w:rFonts w:ascii="Liberation Sans" w:hAnsi="Liberation Sans"/>
        </w:rPr>
        <w:t xml:space="preserve">Vietnam consumer finance was in recovery in 2024 and the first half of 2025, but finance companies remained cautious in acquisition. Consumer durable and card balances grew while cash loans declined, and the average customer NPL ratio for active finance companies remained above 10 percent. </w:t>
      </w:r>
      <w:hyperlink r:id="rId32">
        <w:r>
          <w:rPr>
            <w:color w:val="0563C1"/>
            <w:u w:val="single"/>
            <w:sz w:val="18"/>
            <w:szCs w:val="18"/>
            <w:rFonts w:ascii="Liberation Sans" w:hAnsi="Liberation Sans"/>
          </w:rPr>
          <w:t>[S17]</w:t>
        </w:r>
      </w:hyperlink>
    </w:p>
    <w:p>
      <w:pPr>
        <w:pStyle w:val="ListBullet"/>
        <w:widowControl/>
        <w:spacing w:after="60"/>
      </w:pPr>
      <w:r>
        <w:rPr>
          <w:rFonts w:ascii="Liberation Sans" w:hAnsi="Liberation Sans"/>
        </w:rPr>
        <w:t xml:space="preserve">Partnership lending, BNPL integration and green or electric vehicle finance are important Vietnam growth themes. </w:t>
      </w:r>
      <w:hyperlink r:id="rId32">
        <w:r>
          <w:rPr>
            <w:color w:val="0563C1"/>
            <w:u w:val="single"/>
            <w:sz w:val="18"/>
            <w:szCs w:val="18"/>
            <w:rFonts w:ascii="Liberation Sans" w:hAnsi="Liberation Sans"/>
          </w:rPr>
          <w:t>[S17]</w:t>
        </w:r>
      </w:hyperlink>
      <w:r>
        <w:rPr>
          <w:rFonts w:ascii="Liberation Sans" w:hAnsi="Liberation Sans"/>
        </w:rPr>
        <w:t xml:space="preserve"> Home Credit Vietnam reported 15,000 electric vehicle instalment contracts in 2025, eleven times the 2024 number. </w:t>
      </w:r>
      <w:hyperlink r:id="rId30">
        <w:r>
          <w:rPr>
            <w:color w:val="0563C1"/>
            <w:u w:val="single"/>
            <w:sz w:val="18"/>
            <w:szCs w:val="18"/>
            <w:rFonts w:ascii="Liberation Sans" w:hAnsi="Liberation Sans"/>
          </w:rPr>
          <w:t>[S14]</w:t>
        </w:r>
      </w:hyperlink>
    </w:p>
    <w:p>
      <w:pPr>
        <w:pStyle w:val="ListBullet"/>
        <w:widowControl/>
        <w:spacing w:after="60"/>
      </w:pPr>
      <w:r>
        <w:rPr>
          <w:rFonts w:ascii="Liberation Sans" w:hAnsi="Liberation Sans"/>
        </w:rPr>
        <w:t xml:space="preserve">In the Czech Republic and Slovakia, Home Credit reported 13 percent growth in new loan volume and 14 percent portfolio growth during 2025. </w:t>
      </w:r>
      <w:hyperlink r:id="rId17">
        <w:r>
          <w:rPr>
            <w:color w:val="0563C1"/>
            <w:u w:val="single"/>
            <w:sz w:val="18"/>
            <w:szCs w:val="18"/>
            <w:rFonts w:ascii="Liberation Sans" w:hAnsi="Liberation Sans"/>
          </w:rPr>
          <w:t>[S9]</w:t>
        </w:r>
      </w:hyperlink>
      <w:r>
        <w:rPr>
          <w:rFonts w:ascii="Liberation Sans" w:hAnsi="Liberation Sans"/>
        </w:rPr>
        <w:t xml:space="preserve"> In the first half of 2026, new financing volume was nearly 10 percent higher year on year and the portfolio rose 5 percent from year end. </w:t>
      </w:r>
      <w:hyperlink r:id="rId22">
        <w:r>
          <w:rPr>
            <w:color w:val="0563C1"/>
            <w:u w:val="single"/>
            <w:sz w:val="18"/>
            <w:szCs w:val="18"/>
            <w:rFonts w:ascii="Liberation Sans" w:hAnsi="Liberation Sans"/>
          </w:rPr>
          <w:t>[S10]</w:t>
        </w:r>
      </w:hyperlink>
    </w:p>
    <w:p>
      <w:pPr>
        <w:pStyle w:val="ListBullet"/>
        <w:widowControl/>
        <w:spacing w:after="60"/>
      </w:pPr>
      <w:r>
        <w:rPr>
          <w:rFonts w:ascii="Liberation Sans" w:hAnsi="Liberation Sans"/>
        </w:rPr>
        <w:t xml:space="preserve">Macroeconomic and funding conditions matter because credit demand, borrower affordability, funding costs and loss rates move with income, employment and interest rates. The 2025 audited report says the group adjusts portfolio mix and underwriting in response to country macroeconomic conditions. </w:t>
      </w:r>
      <w:hyperlink r:id="rId11">
        <w:r>
          <w:rPr>
            <w:color w:val="0563C1"/>
            <w:u w:val="single"/>
            <w:sz w:val="18"/>
            <w:szCs w:val="18"/>
            <w:rFonts w:ascii="Liberation Sans" w:hAnsi="Liberation Sans"/>
          </w:rPr>
          <w:t>[S5]</w:t>
        </w:r>
      </w:hyperlink>
    </w:p>
    <w:p>
      <w:pPr>
        <w:pStyle w:val="Heading2"/>
        <w:keepLines w:val="0"/>
        <w:widowControl/>
      </w:pPr>
      <w:r>
        <w:rPr>
          <w:rFonts w:ascii="Liberation Sans" w:hAnsi="Liberation Sans"/>
        </w:rPr>
        <w:t>Strategic implications</w:t>
      </w:r>
    </w:p>
    <w:p>
      <w:pPr>
        <w:keepLines w:val="0"/>
        <w:widowControl/>
      </w:pPr>
      <w:r>
        <w:rPr>
          <w:rFonts w:ascii="Liberation Sans" w:hAnsi="Liberation Sans"/>
        </w:rPr>
        <w:t>Synthesis. Competition is not only for the lowest predicted risk. Home Credit must win suitable customers at the point of need, approve fast enough for the merchant journey, price competitively, control fraud and loss, and keep the experience clear enough to satisfy consumer protection expectations. This makes decision strategy a multi objective problem rather than a standalone default model.</w:t>
      </w:r>
    </w:p>
    <w:p>
      <w:pPr>
        <w:widowControl/>
      </w:pPr>
      <w:r>
        <w:rPr>
          <w:rFonts w:ascii="Liberation Sans" w:hAnsi="Liberation Sans"/>
        </w:rPr>
        <w:br w:type="page"/>
      </w:r>
    </w:p>
    <w:p>
      <w:pPr>
        <w:pStyle w:val="Heading1"/>
        <w:keepLines w:val="0"/>
        <w:widowControl/>
      </w:pPr>
      <w:r>
        <w:rPr>
          <w:rFonts w:ascii="Liberation Sans" w:hAnsi="Liberation Sans"/>
        </w:rPr>
        <w:t>5 Strategy performance strengths and risks</w:t>
      </w:r>
    </w:p>
    <w:p>
      <w:pPr>
        <w:pStyle w:val="Heading2"/>
        <w:keepLines w:val="0"/>
        <w:widowControl/>
      </w:pPr>
      <w:r>
        <w:rPr>
          <w:rFonts w:ascii="Liberation Sans" w:hAnsi="Liberation Sans"/>
        </w:rPr>
        <w:t>Current strategic direction</w:t>
      </w:r>
    </w:p>
    <w:p>
      <w:pPr>
        <w:keepLines w:val="0"/>
        <w:widowControl/>
      </w:pPr>
      <w:r>
        <w:rPr>
          <w:rFonts w:ascii="Liberation Sans" w:hAnsi="Liberation Sans"/>
        </w:rPr>
        <w:t xml:space="preserve">For the Czech Republic and Slovakia, management says it plans to reinforce consumer finance leadership, build share in entrepreneur lending, become an AI first company, preserve financial stability, develop the product portfolio and deepen existing customer relationships. </w:t>
      </w:r>
      <w:hyperlink r:id="rId17">
        <w:r>
          <w:rPr>
            <w:color w:val="0563C1"/>
            <w:u w:val="single"/>
            <w:sz w:val="18"/>
            <w:szCs w:val="18"/>
            <w:rFonts w:ascii="Liberation Sans" w:hAnsi="Liberation Sans"/>
          </w:rPr>
          <w:t>[S9]</w:t>
        </w:r>
      </w:hyperlink>
    </w:p>
    <w:p>
      <w:pPr>
        <w:keepLines w:val="0"/>
        <w:widowControl/>
      </w:pPr>
      <w:r>
        <w:rPr>
          <w:rFonts w:ascii="Liberation Sans" w:hAnsi="Liberation Sans"/>
        </w:rPr>
        <w:t xml:space="preserve">For Vietnam, the 2025 sustainability direction focuses on formal financial access, customer experience, consumer protection, transparency and responsible governance. </w:t>
      </w:r>
      <w:hyperlink r:id="rId30">
        <w:r>
          <w:rPr>
            <w:color w:val="0563C1"/>
            <w:u w:val="single"/>
            <w:sz w:val="18"/>
            <w:szCs w:val="18"/>
            <w:rFonts w:ascii="Liberation Sans" w:hAnsi="Liberation Sans"/>
          </w:rPr>
          <w:t>[S14]</w:t>
        </w:r>
      </w:hyperlink>
      <w:r>
        <w:rPr>
          <w:rFonts w:ascii="Liberation Sans" w:hAnsi="Liberation Sans"/>
        </w:rPr>
        <w:t xml:space="preserve"> The independent 2025 rating analysis attributes growth to macro recovery, advanced customer analytics, tailored offers and the point of sale partner network. </w:t>
      </w:r>
      <w:hyperlink r:id="rId12">
        <w:r>
          <w:rPr>
            <w:color w:val="0563C1"/>
            <w:u w:val="single"/>
            <w:sz w:val="18"/>
            <w:szCs w:val="18"/>
            <w:rFonts w:ascii="Liberation Sans" w:hAnsi="Liberation Sans"/>
          </w:rPr>
          <w:t>[S16]</w:t>
        </w:r>
      </w:hyperlink>
    </w:p>
    <w:p>
      <w:pPr>
        <w:pStyle w:val="Heading2"/>
        <w:keepLines w:val="0"/>
        <w:widowControl/>
      </w:pPr>
      <w:r>
        <w:rPr>
          <w:rFonts w:ascii="Liberation Sans" w:hAnsi="Liberation Sans"/>
        </w:rPr>
        <w:t>Performance dashboard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Scope and period</w:t>
            </w:r>
          </w:p>
        </w:tc>
        <w:tc>
          <w:tcPr>
            <w:tcW w:type="dxa" w:w="17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Metric</w:t>
            </w:r>
          </w:p>
        </w:tc>
        <w:tc>
          <w:tcPr>
            <w:tcW w:type="dxa" w:w="396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Result</w:t>
            </w:r>
          </w:p>
        </w:tc>
        <w:tc>
          <w:tcPr>
            <w:tcW w:type="dxa" w:w="237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Interpretation limit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Home Credit Group 2025</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Assets; net loans; deposits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EUR 10.7bn; EUR 6.7bn; EUR 7.9bn. </w:t>
            </w:r>
            <w:hyperlink r:id="rId11">
              <w:r>
                <w:rPr>
                  <w:color w:val="0563C1"/>
                  <w:u w:val="single"/>
                  <w:sz w:val="15"/>
                  <w:szCs w:val="15"/>
                  <w:rFonts w:ascii="Liberation Sans" w:hAnsi="Liberation Sans"/>
                </w:rPr>
                <w:t>[S5]</w:t>
              </w:r>
            </w:hyperlink>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Includes Air Bank; net loans include Vietnam held for sale. </w:t>
            </w:r>
            <w:hyperlink r:id="rId11">
              <w:r>
                <w:rPr>
                  <w:color w:val="0563C1"/>
                  <w:u w:val="single"/>
                  <w:sz w:val="15"/>
                  <w:szCs w:val="15"/>
                  <w:rFonts w:ascii="Liberation Sans" w:hAnsi="Liberation Sans"/>
                </w:rPr>
                <w:t>[S5]</w:t>
              </w:r>
            </w:hyperlink>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Home Credit Group 2025</w:t>
            </w:r>
          </w:p>
        </w:tc>
        <w:tc>
          <w:tcPr>
            <w:tcW w:type="dxa" w:w="17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Net profit; continuing operating income</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EUR 67m; EUR 564m. Adjusted for the EUR 188m India sale loss, Home Credit result was EUR 255m and all countries contributed profit. </w:t>
            </w:r>
            <w:hyperlink r:id="rId11">
              <w:r>
                <w:rPr>
                  <w:color w:val="0563C1"/>
                  <w:u w:val="single"/>
                  <w:sz w:val="15"/>
                  <w:szCs w:val="15"/>
                  <w:rFonts w:ascii="Liberation Sans" w:hAnsi="Liberation Sans"/>
                </w:rPr>
                <w:t>[S5]</w:t>
              </w:r>
            </w:hyperlink>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Net profit is distorted by divestiture accounting; operating income growth was driven mainly by Air Bank. </w:t>
            </w:r>
            <w:hyperlink r:id="rId11">
              <w:r>
                <w:rPr>
                  <w:color w:val="0563C1"/>
                  <w:u w:val="single"/>
                  <w:sz w:val="15"/>
                  <w:szCs w:val="15"/>
                  <w:rFonts w:ascii="Liberation Sans" w:hAnsi="Liberation Sans"/>
                </w:rPr>
                <w:t>[S5]</w:t>
              </w:r>
            </w:hyperlink>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Home Credit Group year end 2025</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NPL ratio</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5.1 percent, down from 6.0 percent in 2024. </w:t>
            </w:r>
            <w:hyperlink r:id="rId11">
              <w:r>
                <w:rPr>
                  <w:color w:val="0563C1"/>
                  <w:u w:val="single"/>
                  <w:sz w:val="15"/>
                  <w:szCs w:val="15"/>
                  <w:rFonts w:ascii="Liberation Sans" w:hAnsi="Liberation Sans"/>
                </w:rPr>
                <w:t>[S5]</w:t>
              </w:r>
            </w:hyperlink>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Consolidated mix and held for sale classification limit direct country comparison.</w:t>
            </w:r>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Czech and Slovak Home Credit first half 2026</w:t>
            </w:r>
          </w:p>
        </w:tc>
        <w:tc>
          <w:tcPr>
            <w:tcW w:type="dxa" w:w="17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New finance; portfolio; customers; app users</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New finance nearly 10 percent higher year on year; portfolio up CZK 1.6bn or 5 percent from year end; more than 397,000 customers; 295,000 monthly active app users. </w:t>
            </w:r>
            <w:hyperlink r:id="rId22">
              <w:r>
                <w:rPr>
                  <w:color w:val="0563C1"/>
                  <w:u w:val="single"/>
                  <w:sz w:val="15"/>
                  <w:szCs w:val="15"/>
                  <w:rFonts w:ascii="Liberation Sans" w:hAnsi="Liberation Sans"/>
                </w:rPr>
                <w:t>[S10]</w:t>
              </w:r>
            </w:hyperlink>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Company reported and combined across two countries.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Home Credit Vietnam first half 2025</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Loan book; net profit; capital adequacy</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VND 28.287tn loans, up 19.3 percent from year end; VND 1.167tn net profit, up 146 percent year on year; CAR 26.4 percent. </w:t>
            </w:r>
            <w:hyperlink r:id="rId12">
              <w:r>
                <w:rPr>
                  <w:color w:val="0563C1"/>
                  <w:u w:val="single"/>
                  <w:sz w:val="15"/>
                  <w:szCs w:val="15"/>
                  <w:rFonts w:ascii="Liberation Sans" w:hAnsi="Liberation Sans"/>
                </w:rPr>
                <w:t>[S16]</w:t>
              </w:r>
            </w:hyperlink>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Latest detailed independent public review found; not full year 2026.</w:t>
            </w:r>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Home Credit Vietnam 30 Jun 2025</w:t>
            </w:r>
          </w:p>
        </w:tc>
        <w:tc>
          <w:tcPr>
            <w:tcW w:type="dxa" w:w="17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NPL; problem loans; NPL coverage</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1.4 percent; 6.1 percent; above 100 percent coverage. </w:t>
            </w:r>
            <w:hyperlink r:id="rId12">
              <w:r>
                <w:rPr>
                  <w:color w:val="0563C1"/>
                  <w:u w:val="single"/>
                  <w:sz w:val="15"/>
                  <w:szCs w:val="15"/>
                  <w:rFonts w:ascii="Liberation Sans" w:hAnsi="Liberation Sans"/>
                </w:rPr>
                <w:t>[S16]</w:t>
              </w:r>
            </w:hyperlink>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Regulatory definitions may differ from group IFRS measures.</w:t>
            </w:r>
          </w:p>
        </w:tc>
      </w:tr>
    </w:tbl>
    <w:p>
      <w:pPr>
        <w:widowControl/>
        <w:spacing w:after="20"/>
      </w:pPr>
    </w:p>
    <w:p>
      <w:pPr>
        <w:pStyle w:val="Heading2"/>
        <w:keepLines w:val="0"/>
        <w:widowControl/>
      </w:pPr>
      <w:r>
        <w:rPr>
          <w:rFonts w:ascii="Liberation Sans" w:hAnsi="Liberation Sans"/>
        </w:rPr>
        <w:t>Strengths supported by evidence</w:t>
      </w:r>
    </w:p>
    <w:p>
      <w:pPr>
        <w:pStyle w:val="ListBullet"/>
        <w:widowControl/>
        <w:spacing w:after="60"/>
      </w:pPr>
      <w:r>
        <w:rPr>
          <w:rFonts w:ascii="Liberation Sans" w:hAnsi="Liberation Sans"/>
        </w:rPr>
        <w:t xml:space="preserve">Established partner and point of sale distribution, especially in Vietnam. </w:t>
      </w:r>
      <w:hyperlink r:id="rId12">
        <w:r>
          <w:rPr>
            <w:color w:val="0563C1"/>
            <w:u w:val="single"/>
            <w:sz w:val="18"/>
            <w:szCs w:val="18"/>
            <w:rFonts w:ascii="Liberation Sans" w:hAnsi="Liberation Sans"/>
          </w:rPr>
          <w:t>[S16]</w:t>
        </w:r>
      </w:hyperlink>
    </w:p>
    <w:p>
      <w:pPr>
        <w:pStyle w:val="ListBullet"/>
        <w:widowControl/>
        <w:spacing w:after="60"/>
      </w:pPr>
      <w:r>
        <w:rPr>
          <w:rFonts w:ascii="Liberation Sans" w:hAnsi="Liberation Sans"/>
        </w:rPr>
        <w:t xml:space="preserve">Large and growing digital engagement in Czech Republic and Slovakia. </w:t>
      </w:r>
      <w:hyperlink r:id="rId17">
        <w:r>
          <w:rPr>
            <w:color w:val="0563C1"/>
            <w:u w:val="single"/>
            <w:sz w:val="18"/>
            <w:szCs w:val="18"/>
            <w:rFonts w:ascii="Liberation Sans" w:hAnsi="Liberation Sans"/>
          </w:rPr>
          <w:t>[S9]</w:t>
        </w:r>
      </w:hyperlink>
      <w:hyperlink r:id="rId22">
        <w:r>
          <w:rPr>
            <w:color w:val="0563C1"/>
            <w:u w:val="single"/>
            <w:sz w:val="18"/>
            <w:szCs w:val="18"/>
            <w:rFonts w:ascii="Liberation Sans" w:hAnsi="Liberation Sans"/>
          </w:rPr>
          <w:t>[S10]</w:t>
        </w:r>
      </w:hyperlink>
    </w:p>
    <w:p>
      <w:pPr>
        <w:pStyle w:val="ListBullet"/>
        <w:widowControl/>
        <w:spacing w:after="60"/>
      </w:pPr>
      <w:r>
        <w:rPr>
          <w:rFonts w:ascii="Liberation Sans" w:hAnsi="Liberation Sans"/>
        </w:rPr>
        <w:t xml:space="preserve">Formal risk governance, centralized loan management and scoring that incorporates both risk and profitability. </w:t>
      </w:r>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Positive independent indicators: an A stable issuer rating for Vietnam in October 2025 and a strong Czech responsible lending index result. </w:t>
      </w:r>
      <w:hyperlink r:id="rId12">
        <w:r>
          <w:rPr>
            <w:color w:val="0563C1"/>
            <w:u w:val="single"/>
            <w:sz w:val="18"/>
            <w:szCs w:val="18"/>
            <w:rFonts w:ascii="Liberation Sans" w:hAnsi="Liberation Sans"/>
          </w:rPr>
          <w:t>[S16]</w:t>
        </w:r>
      </w:hyperlink>
      <w:hyperlink r:id="rId31">
        <w:r>
          <w:rPr>
            <w:color w:val="0563C1"/>
            <w:u w:val="single"/>
            <w:sz w:val="18"/>
            <w:szCs w:val="18"/>
            <w:rFonts w:ascii="Liberation Sans" w:hAnsi="Liberation Sans"/>
          </w:rPr>
          <w:t>[S18]</w:t>
        </w:r>
      </w:hyperlink>
    </w:p>
    <w:p>
      <w:pPr>
        <w:pStyle w:val="ListBullet"/>
        <w:widowControl/>
        <w:spacing w:after="60"/>
      </w:pPr>
      <w:r>
        <w:rPr>
          <w:rFonts w:ascii="Liberation Sans" w:hAnsi="Liberation Sans"/>
        </w:rPr>
        <w:t xml:space="preserve">Product breadth across purchase finance, cash, revolving, entrepreneur, auto, device leasing, cards and insurance. </w:t>
      </w:r>
      <w:hyperlink r:id="rId16">
        <w:r>
          <w:rPr>
            <w:color w:val="0563C1"/>
            <w:u w:val="single"/>
            <w:sz w:val="18"/>
            <w:szCs w:val="18"/>
            <w:rFonts w:ascii="Liberation Sans" w:hAnsi="Liberation Sans"/>
          </w:rPr>
          <w:t>[S4]</w:t>
        </w:r>
      </w:hyperlink>
      <w:hyperlink r:id="rId17">
        <w:r>
          <w:rPr>
            <w:color w:val="0563C1"/>
            <w:u w:val="single"/>
            <w:sz w:val="18"/>
            <w:szCs w:val="18"/>
            <w:rFonts w:ascii="Liberation Sans" w:hAnsi="Liberation Sans"/>
          </w:rPr>
          <w:t>[S9]</w:t>
        </w:r>
      </w:hyperlink>
      <w:hyperlink r:id="rId18">
        <w:r>
          <w:rPr>
            <w:color w:val="0563C1"/>
            <w:u w:val="single"/>
            <w:sz w:val="18"/>
            <w:szCs w:val="18"/>
            <w:rFonts w:ascii="Liberation Sans" w:hAnsi="Liberation Sans"/>
          </w:rPr>
          <w:t>[S11]</w:t>
        </w:r>
      </w:hyperlink>
      <w:hyperlink r:id="rId19">
        <w:r>
          <w:rPr>
            <w:color w:val="0563C1"/>
            <w:u w:val="single"/>
            <w:sz w:val="18"/>
            <w:szCs w:val="18"/>
            <w:rFonts w:ascii="Liberation Sans" w:hAnsi="Liberation Sans"/>
          </w:rPr>
          <w:t>[S12]</w:t>
        </w:r>
      </w:hyperlink>
      <w:hyperlink r:id="rId28">
        <w:r>
          <w:rPr>
            <w:color w:val="0563C1"/>
            <w:u w:val="single"/>
            <w:sz w:val="18"/>
            <w:szCs w:val="18"/>
            <w:rFonts w:ascii="Liberation Sans" w:hAnsi="Liberation Sans"/>
          </w:rPr>
          <w:t>[S13]</w:t>
        </w:r>
      </w:hyperlink>
    </w:p>
    <w:p>
      <w:pPr>
        <w:pStyle w:val="Heading2"/>
        <w:keepLines w:val="0"/>
        <w:widowControl/>
      </w:pPr>
      <w:r>
        <w:rPr>
          <w:rFonts w:ascii="Liberation Sans" w:hAnsi="Liberation Sans"/>
        </w:rPr>
        <w:t>Risks and weaknesses to test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Issue</w:t>
            </w:r>
          </w:p>
        </w:tc>
        <w:tc>
          <w:tcPr>
            <w:tcW w:type="dxa" w:w="43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Why it matters</w:t>
            </w:r>
          </w:p>
        </w:tc>
        <w:tc>
          <w:tcPr>
            <w:tcW w:type="dxa" w:w="367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Evidence status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Reporting scope complexity</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Air Bank, held for sale accounting and divestitures can create misleading comparisons.</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Verified. </w:t>
            </w:r>
            <w:hyperlink r:id="rId11">
              <w:r>
                <w:rPr>
                  <w:color w:val="0563C1"/>
                  <w:u w:val="single"/>
                  <w:sz w:val="16"/>
                  <w:szCs w:val="16"/>
                  <w:rFonts w:ascii="Liberation Sans" w:hAnsi="Liberation Sans"/>
                </w:rPr>
                <w:t>[S5]</w:t>
              </w:r>
            </w:hyperlink>
            <w:hyperlink r:id="rId21">
              <w:r>
                <w:rPr>
                  <w:color w:val="0563C1"/>
                  <w:u w:val="single"/>
                  <w:sz w:val="16"/>
                  <w:szCs w:val="16"/>
                  <w:rFonts w:ascii="Liberation Sans" w:hAnsi="Liberation Sans"/>
                </w:rPr>
                <w:t>[S6]</w:t>
              </w:r>
            </w:hyperlink>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Wholesale funding exposure in Vietnam</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Funding cost and liquidity can change loan economics even if model accuracy is stable.</w:t>
            </w:r>
          </w:p>
        </w:tc>
        <w:tc>
          <w:tcPr>
            <w:tcW w:type="dxa" w:w="367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FiinRatings reported 49 percent of funding from issued papers and 23 percent from interbank funding at June 2025. </w:t>
            </w:r>
            <w:hyperlink r:id="rId12">
              <w:r>
                <w:rPr>
                  <w:color w:val="0563C1"/>
                  <w:u w:val="single"/>
                  <w:sz w:val="16"/>
                  <w:szCs w:val="16"/>
                  <w:rFonts w:ascii="Liberation Sans" w:hAnsi="Liberation Sans"/>
                </w:rPr>
                <w:t>[S16]</w:t>
              </w:r>
            </w:hyperlink>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Automation and model governance</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Straight through decisions increase the scale of any data, policy or fairness error.</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High automation is verified; error incidence is not public. </w:t>
            </w:r>
            <w:hyperlink r:id="rId17">
              <w:r>
                <w:rPr>
                  <w:color w:val="0563C1"/>
                  <w:u w:val="single"/>
                  <w:sz w:val="16"/>
                  <w:szCs w:val="16"/>
                  <w:rFonts w:ascii="Liberation Sans" w:hAnsi="Liberation Sans"/>
                </w:rPr>
                <w:t>[S9]</w:t>
              </w:r>
            </w:hyperlink>
            <w:hyperlink r:id="rId33">
              <w:r>
                <w:rPr>
                  <w:color w:val="0563C1"/>
                  <w:u w:val="single"/>
                  <w:sz w:val="16"/>
                  <w:szCs w:val="16"/>
                  <w:rFonts w:ascii="Liberation Sans" w:hAnsi="Liberation Sans"/>
                </w:rPr>
                <w:t>[S20]</w:t>
              </w:r>
            </w:hyperlink>
          </w:p>
        </w:tc>
      </w:tr>
      <w:tr>
        <w:trPr>
          <w:cantSplit/>
        </w:trPr>
        <w:tc>
          <w:tcPr>
            <w:tcW w:type="dxa" w:w="208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Regulatory transition</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EU consumer credit and AI rules expand human review, explanation and high risk system obligations.</w:t>
            </w:r>
          </w:p>
        </w:tc>
        <w:tc>
          <w:tcPr>
            <w:tcW w:type="dxa" w:w="367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Official future requirements. </w:t>
            </w:r>
            <w:hyperlink r:id="rId23">
              <w:r>
                <w:rPr>
                  <w:color w:val="0563C1"/>
                  <w:u w:val="single"/>
                  <w:sz w:val="16"/>
                  <w:szCs w:val="16"/>
                  <w:rFonts w:ascii="Liberation Sans" w:hAnsi="Liberation Sans"/>
                </w:rPr>
                <w:t>[S23]</w:t>
              </w:r>
            </w:hyperlink>
            <w:hyperlink r:id="rId24">
              <w:r>
                <w:rPr>
                  <w:color w:val="0563C1"/>
                  <w:u w:val="single"/>
                  <w:sz w:val="16"/>
                  <w:szCs w:val="16"/>
                  <w:rFonts w:ascii="Liberation Sans" w:hAnsi="Liberation Sans"/>
                </w:rPr>
                <w:t>[S24]</w:t>
              </w:r>
            </w:hyperlink>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 and funnel opacity</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Public metrics do not reveal abandonment, false decline, complaint drivers or marginal profitability.</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Research gap requiring internal evidence.</w:t>
            </w:r>
          </w:p>
        </w:tc>
      </w:tr>
    </w:tbl>
    <w:p>
      <w:pPr>
        <w:widowControl/>
        <w:spacing w:after="20"/>
      </w:pPr>
    </w:p>
    <w:p>
      <w:pPr>
        <w:pStyle w:val="Heading1"/>
        <w:keepLines w:val="0"/>
        <w:widowControl/>
      </w:pPr>
      <w:r>
        <w:rPr>
          <w:rFonts w:ascii="Liberation Sans" w:hAnsi="Liberation Sans"/>
        </w:rPr>
        <w:t>6 Credit risk underwriting and collections</w:t>
      </w:r>
    </w:p>
    <w:p>
      <w:pPr>
        <w:pStyle w:val="Heading2"/>
        <w:keepLines w:val="0"/>
        <w:widowControl/>
      </w:pPr>
      <w:r>
        <w:rPr>
          <w:rFonts w:ascii="Liberation Sans" w:hAnsi="Liberation Sans"/>
        </w:rPr>
        <w:t>How risk is governed</w:t>
      </w:r>
    </w:p>
    <w:p>
      <w:pPr>
        <w:keepLines w:val="0"/>
        <w:widowControl/>
      </w:pPr>
      <w:r>
        <w:rPr>
          <w:rFonts w:ascii="Liberation Sans" w:hAnsi="Liberation Sans"/>
        </w:rPr>
        <w:t xml:space="preserve">The Home Credit Board delegates credit risk management to the group credit risk department. That function sets policies for assessment, approval, collection and reporting; establishes approval structures and limits; monitors performance by country, product and channel; and reports regularly to the Board. </w:t>
      </w:r>
      <w:hyperlink r:id="rId11">
        <w:r>
          <w:rPr>
            <w:color w:val="0563C1"/>
            <w:u w:val="single"/>
            <w:sz w:val="18"/>
            <w:szCs w:val="18"/>
            <w:rFonts w:ascii="Liberation Sans" w:hAnsi="Liberation Sans"/>
          </w:rPr>
          <w:t>[S5]</w:t>
        </w:r>
      </w:hyperlink>
    </w:p>
    <w:p>
      <w:pPr>
        <w:keepLines w:val="0"/>
        <w:widowControl/>
      </w:pPr>
      <w:r>
        <w:rPr>
          <w:rFonts w:ascii="Liberation Sans" w:hAnsi="Liberation Sans"/>
        </w:rPr>
        <w:t xml:space="preserve">Local operating management receives authorization limits, while large or novel exposures require group level approval. Home Credit uses a unified central loan management system to support approvals. </w:t>
      </w:r>
      <w:hyperlink r:id="rId11">
        <w:r>
          <w:rPr>
            <w:color w:val="0563C1"/>
            <w:u w:val="single"/>
            <w:sz w:val="18"/>
            <w:szCs w:val="18"/>
            <w:rFonts w:ascii="Liberation Sans" w:hAnsi="Liberation Sans"/>
          </w:rPr>
          <w:t>[S5]</w:t>
        </w:r>
      </w:hyperlink>
    </w:p>
    <w:p>
      <w:pPr>
        <w:pStyle w:val="Heading2"/>
        <w:keepLines w:val="0"/>
        <w:widowControl/>
      </w:pPr>
      <w:r>
        <w:rPr>
          <w:rFonts w:ascii="Liberation Sans" w:hAnsi="Liberation Sans"/>
        </w:rPr>
        <w:t>How approval works</w:t>
      </w:r>
    </w:p>
    <w:p>
      <w:pPr>
        <w:keepLines w:val="0"/>
        <w:widowControl/>
      </w:pPr>
      <w:r>
        <w:rPr>
          <w:rFonts w:ascii="Liberation Sans" w:hAnsi="Liberation Sans"/>
        </w:rPr>
        <w:t xml:space="preserve">The disclosed approval process verifies customer data and combines it with scoring models that consider risk and profitability. The output determines whether the applicant is eligible and, if eligible, at what price; supplied information can be cross checked against national customer databases. </w:t>
      </w:r>
      <w:hyperlink r:id="rId11">
        <w:r>
          <w:rPr>
            <w:color w:val="0563C1"/>
            <w:u w:val="single"/>
            <w:sz w:val="18"/>
            <w:szCs w:val="18"/>
            <w:rFonts w:ascii="Liberation Sans" w:hAnsi="Liberation Sans"/>
          </w:rPr>
          <w:t>[S5]</w:t>
        </w:r>
      </w:hyperlink>
    </w:p>
    <w:p>
      <w:pPr>
        <w:keepLines w:val="0"/>
        <w:widowControl/>
      </w:pPr>
      <w:r>
        <w:rPr>
          <w:rFonts w:ascii="Liberation Sans" w:hAnsi="Liberation Sans"/>
        </w:rPr>
        <w:t xml:space="preserve">Fraud controls include cross checks, verification of customer supplied data, biometrics and third party data, subject to what is available and legally permitted in each market. </w:t>
      </w:r>
      <w:hyperlink r:id="rId11">
        <w:r>
          <w:rPr>
            <w:color w:val="0563C1"/>
            <w:u w:val="single"/>
            <w:sz w:val="18"/>
            <w:szCs w:val="18"/>
            <w:rFonts w:ascii="Liberation Sans" w:hAnsi="Liberation Sans"/>
          </w:rPr>
          <w:t>[S5]</w:t>
        </w:r>
      </w:hyperlink>
    </w:p>
    <w:p>
      <w:pPr>
        <w:pStyle w:val="Heading2"/>
        <w:keepLines w:val="0"/>
        <w:widowControl/>
      </w:pPr>
      <w:r>
        <w:rPr>
          <w:rFonts w:ascii="Liberation Sans" w:hAnsi="Liberation Sans"/>
        </w:rPr>
        <w:t>End to end operating flow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Stage</w:t>
            </w:r>
          </w:p>
        </w:tc>
        <w:tc>
          <w:tcPr>
            <w:tcW w:type="dxa" w:w="439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Disclosed activity</w:t>
            </w:r>
          </w:p>
        </w:tc>
        <w:tc>
          <w:tcPr>
            <w:tcW w:type="dxa" w:w="410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Decision risk</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1 Application</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Customer applies online, in app or through a merchant channel; product and market determine documentation. </w:t>
            </w:r>
            <w:hyperlink r:id="rId16">
              <w:r>
                <w:rPr>
                  <w:color w:val="0563C1"/>
                  <w:u w:val="single"/>
                  <w:sz w:val="16"/>
                  <w:szCs w:val="16"/>
                  <w:rFonts w:ascii="Liberation Sans" w:hAnsi="Liberation Sans"/>
                </w:rPr>
                <w:t>[S4]</w:t>
              </w:r>
            </w:hyperlink>
            <w:hyperlink r:id="rId11">
              <w:r>
                <w:rPr>
                  <w:color w:val="0563C1"/>
                  <w:u w:val="single"/>
                  <w:sz w:val="16"/>
                  <w:szCs w:val="16"/>
                  <w:rFonts w:ascii="Liberation Sans" w:hAnsi="Liberation Sans"/>
                </w:rPr>
                <w:t>[S5]</w:t>
              </w:r>
            </w:hyperlink>
          </w:p>
        </w:tc>
        <w:tc>
          <w:tcPr>
            <w:tcW w:type="dxa" w:w="41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Incomplete data, friction, channel bias and abandonment.</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2 Identity data and fraud checks</w:t>
            </w:r>
          </w:p>
        </w:tc>
        <w:tc>
          <w:tcPr>
            <w:tcW w:type="dxa" w:w="439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Customer data are verified and may be cross checked with internal, bureau, public, device or biometric information. </w:t>
            </w:r>
            <w:hyperlink r:id="rId11">
              <w:r>
                <w:rPr>
                  <w:color w:val="0563C1"/>
                  <w:u w:val="single"/>
                  <w:sz w:val="16"/>
                  <w:szCs w:val="16"/>
                  <w:rFonts w:ascii="Liberation Sans" w:hAnsi="Liberation Sans"/>
                </w:rPr>
                <w:t>[S5]</w:t>
              </w:r>
            </w:hyperlink>
            <w:hyperlink r:id="rId33">
              <w:r>
                <w:rPr>
                  <w:color w:val="0563C1"/>
                  <w:u w:val="single"/>
                  <w:sz w:val="16"/>
                  <w:szCs w:val="16"/>
                  <w:rFonts w:ascii="Liberation Sans" w:hAnsi="Liberation Sans"/>
                </w:rPr>
                <w:t>[S20]</w:t>
              </w:r>
            </w:hyperlink>
            <w:hyperlink r:id="rId29">
              <w:r>
                <w:rPr>
                  <w:color w:val="0563C1"/>
                  <w:u w:val="single"/>
                  <w:sz w:val="16"/>
                  <w:szCs w:val="16"/>
                  <w:rFonts w:ascii="Liberation Sans" w:hAnsi="Liberation Sans"/>
                </w:rPr>
                <w:t>[S22]</w:t>
              </w:r>
            </w:hyperlink>
          </w:p>
        </w:tc>
        <w:tc>
          <w:tcPr>
            <w:tcW w:type="dxa" w:w="41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False fraud positives, identity error, privacy and data quality.</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3 Credit decision</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Scoring and policy determine eligibility and price, considering risk and profitability. </w:t>
            </w:r>
            <w:hyperlink r:id="rId11">
              <w:r>
                <w:rPr>
                  <w:color w:val="0563C1"/>
                  <w:u w:val="single"/>
                  <w:sz w:val="16"/>
                  <w:szCs w:val="16"/>
                  <w:rFonts w:ascii="Liberation Sans" w:hAnsi="Liberation Sans"/>
                </w:rPr>
                <w:t>[S5]</w:t>
              </w:r>
            </w:hyperlink>
          </w:p>
        </w:tc>
        <w:tc>
          <w:tcPr>
            <w:tcW w:type="dxa" w:w="41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False approval, false decline, mispricing or unaffordable terms.</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4 Contract and fulfilment</w:t>
            </w:r>
          </w:p>
        </w:tc>
        <w:tc>
          <w:tcPr>
            <w:tcW w:type="dxa" w:w="439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The loan funds a merchant purchase or is provided as cash or revolving access. </w:t>
            </w:r>
            <w:hyperlink r:id="rId16">
              <w:r>
                <w:rPr>
                  <w:color w:val="0563C1"/>
                  <w:u w:val="single"/>
                  <w:sz w:val="16"/>
                  <w:szCs w:val="16"/>
                  <w:rFonts w:ascii="Liberation Sans" w:hAnsi="Liberation Sans"/>
                </w:rPr>
                <w:t>[S4]</w:t>
              </w:r>
            </w:hyperlink>
            <w:hyperlink r:id="rId11">
              <w:r>
                <w:rPr>
                  <w:color w:val="0563C1"/>
                  <w:u w:val="single"/>
                  <w:sz w:val="16"/>
                  <w:szCs w:val="16"/>
                  <w:rFonts w:ascii="Liberation Sans" w:hAnsi="Liberation Sans"/>
                </w:rPr>
                <w:t>[S5]</w:t>
              </w:r>
            </w:hyperlink>
          </w:p>
        </w:tc>
        <w:tc>
          <w:tcPr>
            <w:tcW w:type="dxa" w:w="41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Disclosure, consent, take up and operational error.</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5 Servicing and monitoring</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Home Credit sends repayment reminders and monitors late payment, default and collection effectiveness. </w:t>
            </w:r>
            <w:hyperlink r:id="rId11">
              <w:r>
                <w:rPr>
                  <w:color w:val="0563C1"/>
                  <w:u w:val="single"/>
                  <w:sz w:val="16"/>
                  <w:szCs w:val="16"/>
                  <w:rFonts w:ascii="Liberation Sans" w:hAnsi="Liberation Sans"/>
                </w:rPr>
                <w:t>[S5]</w:t>
              </w:r>
            </w:hyperlink>
          </w:p>
        </w:tc>
        <w:tc>
          <w:tcPr>
            <w:tcW w:type="dxa" w:w="41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Missed early warning, poor contact strategy or payment friction.</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6 Early collection</w:t>
            </w:r>
          </w:p>
        </w:tc>
        <w:tc>
          <w:tcPr>
            <w:tcW w:type="dxa" w:w="439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Typically applies at 5 to 75 days past due using SMS, calls, letters and interactive voice tools. </w:t>
            </w:r>
            <w:hyperlink r:id="rId11">
              <w:r>
                <w:rPr>
                  <w:color w:val="0563C1"/>
                  <w:u w:val="single"/>
                  <w:sz w:val="16"/>
                  <w:szCs w:val="16"/>
                  <w:rFonts w:ascii="Liberation Sans" w:hAnsi="Liberation Sans"/>
                </w:rPr>
                <w:t>[S5]</w:t>
              </w:r>
            </w:hyperlink>
          </w:p>
        </w:tc>
        <w:tc>
          <w:tcPr>
            <w:tcW w:type="dxa" w:w="41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 harm, inefficient contact and cure probability.</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7 Late and legal collection</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Late collection generally begins at 90 or more days past due; at 360 or more days, loans may go to external legal counsel or be sold with ALCO approval. </w:t>
            </w:r>
            <w:hyperlink r:id="rId11">
              <w:r>
                <w:rPr>
                  <w:color w:val="0563C1"/>
                  <w:u w:val="single"/>
                  <w:sz w:val="16"/>
                  <w:szCs w:val="16"/>
                  <w:rFonts w:ascii="Liberation Sans" w:hAnsi="Liberation Sans"/>
                </w:rPr>
                <w:t>[S5]</w:t>
              </w:r>
            </w:hyperlink>
          </w:p>
        </w:tc>
        <w:tc>
          <w:tcPr>
            <w:tcW w:type="dxa" w:w="41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Cost, recovery, reputation, vulnerable customer treatment and legal compliance.</w:t>
            </w:r>
          </w:p>
        </w:tc>
      </w:tr>
    </w:tbl>
    <w:p>
      <w:pPr>
        <w:widowControl/>
        <w:spacing w:after="20"/>
      </w:pPr>
    </w:p>
    <w:p>
      <w:pPr>
        <w:pStyle w:val="Heading2"/>
        <w:keepLines w:val="0"/>
        <w:widowControl/>
      </w:pPr>
      <w:r>
        <w:rPr>
          <w:rFonts w:ascii="Liberation Sans" w:hAnsi="Liberation Sans"/>
        </w:rPr>
        <w:t>What causes loss</w:t>
      </w:r>
    </w:p>
    <w:p>
      <w:pPr>
        <w:keepLines w:val="0"/>
        <w:widowControl/>
      </w:pPr>
      <w:r>
        <w:rPr>
          <w:rFonts w:ascii="Liberation Sans" w:hAnsi="Liberation Sans"/>
        </w:rPr>
        <w:t xml:space="preserve">Verified drivers include borrower non payment, fraud, macroeconomic deterioration and portfolio mix. Home Credit monitors payment lateness, default frequency and collection effectiveness and adjusts approval, pricing and collection strategy when conditions deteriorate. </w:t>
      </w:r>
      <w:hyperlink r:id="rId11">
        <w:r>
          <w:rPr>
            <w:color w:val="0563C1"/>
            <w:u w:val="single"/>
            <w:sz w:val="18"/>
            <w:szCs w:val="18"/>
            <w:rFonts w:ascii="Liberation Sans" w:hAnsi="Liberation Sans"/>
          </w:rPr>
          <w:t>[S5]</w:t>
        </w:r>
      </w:hyperlink>
    </w:p>
    <w:p>
      <w:pPr>
        <w:keepLines w:val="0"/>
        <w:widowControl/>
      </w:pPr>
      <w:r>
        <w:rPr>
          <w:rFonts w:ascii="Liberation Sans" w:hAnsi="Liberation Sans"/>
        </w:rPr>
        <w:t>Research gap. Public sources do not quantify root causes by income shock, fraud type, product, partner, channel, geography, score band or affordability measure. Those breakdowns are essential before prioritizing a model or operational intervention.</w:t>
      </w:r>
    </w:p>
    <w:p>
      <w:pPr>
        <w:pStyle w:val="Heading2"/>
        <w:keepNext/>
        <w:keepLines w:val="0"/>
        <w:widowControl/>
      </w:pPr>
      <w:r>
        <w:rPr>
          <w:rFonts w:ascii="Liberation Sans" w:hAnsi="Liberation Sans"/>
        </w:rPr>
        <w:t>Risk problem formulation</w:t>
      </w:r>
    </w:p>
    <w:p>
      <w:pPr>
        <w:keepLines w:val="0"/>
        <w:widowControl/>
      </w:pPr>
      <w:r>
        <w:rPr>
          <w:rFonts w:ascii="Liberation Sans" w:hAnsi="Liberation Sans"/>
        </w:rPr>
        <w:t>Synthesis. The analytical target should not be simply lower default. It should improve expected value of the full decision while controlling bad outcomes. A threshold that minimizes classification error may approve too little, price incorrectly or shift harm to customers near the margin.</w:t>
      </w:r>
    </w:p>
    <w:p>
      <w:pPr>
        <w:pStyle w:val="Heading1"/>
        <w:keepLines w:val="0"/>
        <w:widowControl/>
      </w:pPr>
      <w:r>
        <w:rPr>
          <w:rFonts w:ascii="Liberation Sans" w:hAnsi="Liberation Sans"/>
        </w:rPr>
        <w:t>7 Data and analytics opportunity</w:t>
      </w:r>
    </w:p>
    <w:p>
      <w:pPr>
        <w:pStyle w:val="Heading2"/>
        <w:keepLines w:val="0"/>
        <w:widowControl/>
      </w:pPr>
      <w:r>
        <w:rPr>
          <w:rFonts w:ascii="Liberation Sans" w:hAnsi="Liberation Sans"/>
        </w:rPr>
        <w:t>What data Home Credit publicly indicates it uses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Data family</w:t>
            </w:r>
          </w:p>
        </w:tc>
        <w:tc>
          <w:tcPr>
            <w:tcW w:type="dxa" w:w="576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Examples disclosed</w:t>
            </w:r>
          </w:p>
        </w:tc>
        <w:tc>
          <w:tcPr>
            <w:tcW w:type="dxa" w:w="237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Source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Application and contract</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Identity, contact, loan amount, price, income and expense, payment and product data</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Czech privacy memorandum. </w:t>
            </w:r>
            <w:hyperlink r:id="rId33">
              <w:r>
                <w:rPr>
                  <w:color w:val="0563C1"/>
                  <w:u w:val="single"/>
                  <w:sz w:val="16"/>
                  <w:szCs w:val="16"/>
                  <w:rFonts w:ascii="Liberation Sans" w:hAnsi="Liberation Sans"/>
                </w:rPr>
                <w:t>[S20]</w:t>
              </w:r>
            </w:hyperlink>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Credit history</w:t>
            </w:r>
          </w:p>
        </w:tc>
        <w:tc>
          <w:tcPr>
            <w:tcW w:type="dxa" w:w="57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Internal customer databases and credit registers such as NRKI, BRKI and SOLUS in the Czech Republic and NRKI or SRBI in Slovakia</w:t>
            </w:r>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Current country privacy memoranda. </w:t>
            </w:r>
            <w:hyperlink r:id="rId33">
              <w:r>
                <w:rPr>
                  <w:color w:val="0563C1"/>
                  <w:u w:val="single"/>
                  <w:sz w:val="16"/>
                  <w:szCs w:val="16"/>
                  <w:rFonts w:ascii="Liberation Sans" w:hAnsi="Liberation Sans"/>
                </w:rPr>
                <w:t>[S20]</w:t>
              </w:r>
            </w:hyperlink>
            <w:hyperlink r:id="rId34">
              <w:r>
                <w:rPr>
                  <w:color w:val="0563C1"/>
                  <w:u w:val="single"/>
                  <w:sz w:val="16"/>
                  <w:szCs w:val="16"/>
                  <w:rFonts w:ascii="Liberation Sans" w:hAnsi="Liberation Sans"/>
                </w:rPr>
                <w:t>[S21]</w:t>
              </w:r>
            </w:hyperlink>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Digital and device</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Online behavior, device metadata and app interaction for risk, fraud or service purposes</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Czech and Vietnam privacy policies. </w:t>
            </w:r>
            <w:hyperlink r:id="rId33">
              <w:r>
                <w:rPr>
                  <w:color w:val="0563C1"/>
                  <w:u w:val="single"/>
                  <w:sz w:val="16"/>
                  <w:szCs w:val="16"/>
                  <w:rFonts w:ascii="Liberation Sans" w:hAnsi="Liberation Sans"/>
                </w:rPr>
                <w:t>[S20]</w:t>
              </w:r>
            </w:hyperlink>
            <w:hyperlink r:id="rId29">
              <w:r>
                <w:rPr>
                  <w:color w:val="0563C1"/>
                  <w:u w:val="single"/>
                  <w:sz w:val="16"/>
                  <w:szCs w:val="16"/>
                  <w:rFonts w:ascii="Liberation Sans" w:hAnsi="Liberation Sans"/>
                </w:rPr>
                <w:t>[S22]</w:t>
              </w:r>
            </w:hyperlink>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Biometric and identity</w:t>
            </w:r>
          </w:p>
        </w:tc>
        <w:tc>
          <w:tcPr>
            <w:tcW w:type="dxa" w:w="57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Biometric verification may be used for fraud or identity checks where permitted</w:t>
            </w:r>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Group annual report and Vietnam privacy policy. </w:t>
            </w:r>
            <w:hyperlink r:id="rId11">
              <w:r>
                <w:rPr>
                  <w:color w:val="0563C1"/>
                  <w:u w:val="single"/>
                  <w:sz w:val="16"/>
                  <w:szCs w:val="16"/>
                  <w:rFonts w:ascii="Liberation Sans" w:hAnsi="Liberation Sans"/>
                </w:rPr>
                <w:t>[S5]</w:t>
              </w:r>
            </w:hyperlink>
            <w:hyperlink r:id="rId29">
              <w:r>
                <w:rPr>
                  <w:color w:val="0563C1"/>
                  <w:u w:val="single"/>
                  <w:sz w:val="16"/>
                  <w:szCs w:val="16"/>
                  <w:rFonts w:ascii="Liberation Sans" w:hAnsi="Liberation Sans"/>
                </w:rPr>
                <w:t>[S22]</w:t>
              </w:r>
            </w:hyperlink>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Performance and collections</w:t>
            </w:r>
          </w:p>
        </w:tc>
        <w:tc>
          <w:tcPr>
            <w:tcW w:type="dxa" w:w="57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Payment history, lateness, default and collection outcomes</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Annual report and privacy memoranda. </w:t>
            </w:r>
            <w:hyperlink r:id="rId11">
              <w:r>
                <w:rPr>
                  <w:color w:val="0563C1"/>
                  <w:u w:val="single"/>
                  <w:sz w:val="16"/>
                  <w:szCs w:val="16"/>
                  <w:rFonts w:ascii="Liberation Sans" w:hAnsi="Liberation Sans"/>
                </w:rPr>
                <w:t>[S5]</w:t>
              </w:r>
            </w:hyperlink>
            <w:hyperlink r:id="rId33">
              <w:r>
                <w:rPr>
                  <w:color w:val="0563C1"/>
                  <w:u w:val="single"/>
                  <w:sz w:val="16"/>
                  <w:szCs w:val="16"/>
                  <w:rFonts w:ascii="Liberation Sans" w:hAnsi="Liberation Sans"/>
                </w:rPr>
                <w:t>[S20]</w:t>
              </w:r>
            </w:hyperlink>
            <w:hyperlink r:id="rId34">
              <w:r>
                <w:rPr>
                  <w:color w:val="0563C1"/>
                  <w:u w:val="single"/>
                  <w:sz w:val="16"/>
                  <w:szCs w:val="16"/>
                  <w:rFonts w:ascii="Liberation Sans" w:hAnsi="Liberation Sans"/>
                </w:rPr>
                <w:t>[S21]</w:t>
              </w:r>
            </w:hyperlink>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Partner and channel</w:t>
            </w:r>
          </w:p>
        </w:tc>
        <w:tc>
          <w:tcPr>
            <w:tcW w:type="dxa" w:w="57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Product, merchant, channel and partner interactions</w:t>
            </w:r>
          </w:p>
        </w:tc>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Risk is monitored by product and channel; Vietnam uses a large partner network. </w:t>
            </w:r>
            <w:hyperlink r:id="rId11">
              <w:r>
                <w:rPr>
                  <w:color w:val="0563C1"/>
                  <w:u w:val="single"/>
                  <w:sz w:val="16"/>
                  <w:szCs w:val="16"/>
                  <w:rFonts w:ascii="Liberation Sans" w:hAnsi="Liberation Sans"/>
                </w:rPr>
                <w:t>[S5]</w:t>
              </w:r>
            </w:hyperlink>
            <w:hyperlink r:id="rId12">
              <w:r>
                <w:rPr>
                  <w:color w:val="0563C1"/>
                  <w:u w:val="single"/>
                  <w:sz w:val="16"/>
                  <w:szCs w:val="16"/>
                  <w:rFonts w:ascii="Liberation Sans" w:hAnsi="Liberation Sans"/>
                </w:rPr>
                <w:t>[S16]</w:t>
              </w:r>
            </w:hyperlink>
          </w:p>
        </w:tc>
      </w:tr>
    </w:tbl>
    <w:p>
      <w:pPr>
        <w:widowControl/>
        <w:spacing w:after="20"/>
      </w:pPr>
    </w:p>
    <w:p>
      <w:pPr>
        <w:pStyle w:val="Heading2"/>
        <w:keepLines w:val="0"/>
        <w:widowControl/>
      </w:pPr>
      <w:r>
        <w:rPr>
          <w:rFonts w:ascii="Liberation Sans" w:hAnsi="Liberation Sans"/>
        </w:rPr>
        <w:t>Public modelling dataset</w:t>
      </w:r>
    </w:p>
    <w:p>
      <w:pPr>
        <w:keepLines w:val="0"/>
        <w:widowControl/>
      </w:pPr>
      <w:r>
        <w:rPr>
          <w:rFonts w:ascii="Liberation Sans" w:hAnsi="Liberation Sans"/>
        </w:rPr>
        <w:t xml:space="preserve">The historical Home Credit Default Risk competition on Kaggle provides a public application level modelling resource. </w:t>
      </w:r>
      <w:hyperlink r:id="rId35">
        <w:r>
          <w:rPr>
            <w:color w:val="0563C1"/>
            <w:u w:val="single"/>
            <w:sz w:val="18"/>
            <w:szCs w:val="18"/>
            <w:rFonts w:ascii="Liberation Sans" w:hAnsi="Liberation Sans"/>
          </w:rPr>
          <w:t>[S27]</w:t>
        </w:r>
      </w:hyperlink>
      <w:hyperlink r:id="rId36">
        <w:r>
          <w:rPr>
            <w:color w:val="0563C1"/>
            <w:u w:val="single"/>
            <w:sz w:val="18"/>
            <w:szCs w:val="18"/>
            <w:rFonts w:ascii="Liberation Sans" w:hAnsi="Liberation Sans"/>
          </w:rPr>
          <w:t>[S28]</w:t>
        </w:r>
      </w:hyperlink>
      <w:r>
        <w:rPr>
          <w:rFonts w:ascii="Liberation Sans" w:hAnsi="Liberation Sans"/>
        </w:rPr>
        <w:t xml:space="preserve"> A third party schema summary describes application train and test tables plus bureau history, prior applications, point of sale cash balances, credit card balances and instalment payment tables. </w:t>
      </w:r>
      <w:hyperlink r:id="rId37">
        <w:r>
          <w:rPr>
            <w:color w:val="0563C1"/>
            <w:u w:val="single"/>
            <w:sz w:val="18"/>
            <w:szCs w:val="18"/>
            <w:rFonts w:ascii="Liberation Sans" w:hAnsi="Liberation Sans"/>
          </w:rPr>
          <w:t>[S29]</w:t>
        </w:r>
      </w:hyperlink>
    </w:p>
    <w:p>
      <w:pPr>
        <w:keepLines w:val="0"/>
        <w:widowControl/>
      </w:pPr>
      <w:r>
        <w:rPr>
          <w:rFonts w:ascii="Liberation Sans" w:hAnsi="Liberation Sans"/>
        </w:rPr>
        <w:t xml:space="preserve">Important limitation. The Kaggle data are suitable for learning feature engineering and classification, but they are not evidence of Home Credit current markets, current underwriting policy, current customer mix or current performance. The competition pages are historical and the public files do not supply the complete economics, interventions, governance and reject outcomes required for production decision optimization. </w:t>
      </w:r>
      <w:hyperlink r:id="rId35">
        <w:r>
          <w:rPr>
            <w:color w:val="0563C1"/>
            <w:u w:val="single"/>
            <w:sz w:val="18"/>
            <w:szCs w:val="18"/>
            <w:rFonts w:ascii="Liberation Sans" w:hAnsi="Liberation Sans"/>
          </w:rPr>
          <w:t>[S27]</w:t>
        </w:r>
      </w:hyperlink>
      <w:hyperlink r:id="rId36">
        <w:r>
          <w:rPr>
            <w:color w:val="0563C1"/>
            <w:u w:val="single"/>
            <w:sz w:val="18"/>
            <w:szCs w:val="18"/>
            <w:rFonts w:ascii="Liberation Sans" w:hAnsi="Liberation Sans"/>
          </w:rPr>
          <w:t>[S28]</w:t>
        </w:r>
      </w:hyperlink>
    </w:p>
    <w:p>
      <w:pPr>
        <w:pStyle w:val="Heading2"/>
        <w:keepLines w:val="0"/>
        <w:widowControl/>
      </w:pPr>
      <w:r>
        <w:rPr>
          <w:rFonts w:ascii="Liberation Sans" w:hAnsi="Liberation Sans"/>
        </w:rPr>
        <w:t>Historical analytics capability</w:t>
      </w:r>
    </w:p>
    <w:p>
      <w:pPr>
        <w:keepLines w:val="0"/>
        <w:widowControl/>
      </w:pPr>
      <w:r>
        <w:rPr>
          <w:rFonts w:ascii="Liberation Sans" w:hAnsi="Liberation Sans"/>
        </w:rPr>
        <w:t xml:space="preserve">In 2020 Home Credit announced use of FICO Decision Optimizer to balance risk, reward and pricing after a Russian pilot, with planned expansion then including Kazakhstan and Vietnam. </w:t>
      </w:r>
      <w:hyperlink r:id="rId38">
        <w:r>
          <w:rPr>
            <w:color w:val="0563C1"/>
            <w:u w:val="single"/>
            <w:sz w:val="18"/>
            <w:szCs w:val="18"/>
            <w:rFonts w:ascii="Liberation Sans" w:hAnsi="Liberation Sans"/>
          </w:rPr>
          <w:t>[S30]</w:t>
        </w:r>
      </w:hyperlink>
      <w:r>
        <w:rPr>
          <w:rFonts w:ascii="Liberation Sans" w:hAnsi="Liberation Sans"/>
        </w:rPr>
        <w:t xml:space="preserve"> This is historical capability evidence only: Russia and Kazakhstan are no longer in the current Home Credit footprint. </w:t>
      </w:r>
      <w:hyperlink r:id="rId11">
        <w:r>
          <w:rPr>
            <w:color w:val="0563C1"/>
            <w:u w:val="single"/>
            <w:sz w:val="18"/>
            <w:szCs w:val="18"/>
            <w:rFonts w:ascii="Liberation Sans" w:hAnsi="Liberation Sans"/>
          </w:rPr>
          <w:t>[S5]</w:t>
        </w:r>
      </w:hyperlink>
      <w:hyperlink r:id="rId25">
        <w:r>
          <w:rPr>
            <w:color w:val="0563C1"/>
            <w:u w:val="single"/>
            <w:sz w:val="18"/>
            <w:szCs w:val="18"/>
            <w:rFonts w:ascii="Liberation Sans" w:hAnsi="Liberation Sans"/>
          </w:rPr>
          <w:t>[S7]</w:t>
        </w:r>
      </w:hyperlink>
    </w:p>
    <w:p>
      <w:pPr>
        <w:keepLines w:val="0"/>
        <w:widowControl/>
      </w:pPr>
      <w:r>
        <w:rPr>
          <w:rFonts w:ascii="Liberation Sans" w:hAnsi="Liberation Sans"/>
        </w:rPr>
        <w:t xml:space="preserve">In 2026 Home Credit Czech Republic said AI was already used in probability model development, contracts, CRM and marketing communication, customer service, legal document review and developer and analyst work. </w:t>
      </w:r>
      <w:hyperlink r:id="rId17">
        <w:r>
          <w:rPr>
            <w:color w:val="0563C1"/>
            <w:u w:val="single"/>
            <w:sz w:val="18"/>
            <w:szCs w:val="18"/>
            <w:rFonts w:ascii="Liberation Sans" w:hAnsi="Liberation Sans"/>
          </w:rPr>
          <w:t>[S9]</w:t>
        </w:r>
      </w:hyperlink>
    </w:p>
    <w:p>
      <w:pPr>
        <w:pStyle w:val="Heading2"/>
        <w:keepLines w:val="0"/>
        <w:widowControl/>
      </w:pPr>
      <w:r>
        <w:rPr>
          <w:rFonts w:ascii="Liberation Sans" w:hAnsi="Liberation Sans"/>
        </w:rPr>
        <w:t>Recommended modelling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Layer</w:t>
            </w:r>
          </w:p>
        </w:tc>
        <w:tc>
          <w:tcPr>
            <w:tcW w:type="dxa" w:w="489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Recommended purpose</w:t>
            </w:r>
          </w:p>
        </w:tc>
        <w:tc>
          <w:tcPr>
            <w:tcW w:type="dxa" w:w="338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Minimum validation</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Probability models</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Estimate default, fraud, take up, prepayment, cure and recovery separately.</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Out of time and out of channel validation; calibration by product and segment.</w:t>
            </w:r>
          </w:p>
        </w:tc>
      </w:tr>
      <w:tr>
        <w:trPr>
          <w:cantSplit/>
        </w:trPr>
        <w:tc>
          <w:tcPr>
            <w:tcW w:type="dxa" w:w="18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Economics layer</w:t>
            </w:r>
          </w:p>
        </w:tc>
        <w:tc>
          <w:tcPr>
            <w:tcW w:type="dxa" w:w="489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Convert predicted events into expected contribution under each amount, term and price option.</w:t>
            </w:r>
          </w:p>
        </w:tc>
        <w:tc>
          <w:tcPr>
            <w:tcW w:type="dxa" w:w="33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Finance owned assumptions, sensitivity ranges and realized value back testing.</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Policy optimizer</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Choose approve, review, decline and offer terms subject to hard constraints.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Champion challenger testing and override controls.</w:t>
            </w:r>
          </w:p>
        </w:tc>
      </w:tr>
      <w:tr>
        <w:trPr>
          <w:cantSplit/>
        </w:trPr>
        <w:tc>
          <w:tcPr>
            <w:tcW w:type="dxa" w:w="18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Fairness and explanation</w:t>
            </w:r>
          </w:p>
        </w:tc>
        <w:tc>
          <w:tcPr>
            <w:tcW w:type="dxa" w:w="489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Test outcome and error gaps, reason stability and human review quality.</w:t>
            </w:r>
          </w:p>
        </w:tc>
        <w:tc>
          <w:tcPr>
            <w:tcW w:type="dxa" w:w="33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Legal review, protected group analysis where lawful, appeal monitoring.</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Monitoring</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Detect data drift, calibration drift, policy leakage, fraud adaptation and customer harm.</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Owner, thresholds, escalation route and rollback plan.</w:t>
            </w:r>
          </w:p>
        </w:tc>
      </w:tr>
    </w:tbl>
    <w:p>
      <w:pPr>
        <w:widowControl/>
        <w:spacing w:after="20"/>
      </w:pPr>
    </w:p>
    <w:p>
      <w:pPr>
        <w:pStyle w:val="Heading2"/>
        <w:keepLines w:val="0"/>
        <w:widowControl/>
      </w:pPr>
      <w:r>
        <w:rPr>
          <w:rFonts w:ascii="Liberation Sans" w:hAnsi="Liberation Sans"/>
        </w:rPr>
        <w:t>Metrics that matter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Outcome</w:t>
            </w:r>
          </w:p>
        </w:tc>
        <w:tc>
          <w:tcPr>
            <w:tcW w:type="dxa" w:w="46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Primary metric</w:t>
            </w:r>
          </w:p>
        </w:tc>
        <w:tc>
          <w:tcPr>
            <w:tcW w:type="dxa" w:w="36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Guardrail or diagnostic</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Economic value</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Risk adjusted contribution per application and total contribution</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Expected credit loss, cost of capital, acquisition and service cost.</w:t>
            </w:r>
          </w:p>
        </w:tc>
      </w:tr>
      <w:tr>
        <w:trPr>
          <w:cantSplit/>
        </w:trPr>
        <w:tc>
          <w:tcPr>
            <w:tcW w:type="dxa" w:w="18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Growth and access</w:t>
            </w:r>
          </w:p>
        </w:tc>
        <w:tc>
          <w:tcPr>
            <w:tcW w:type="dxa" w:w="46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Approval rate, take up, booked volume and new to credit access</w:t>
            </w:r>
          </w:p>
        </w:tc>
        <w:tc>
          <w:tcPr>
            <w:tcW w:type="dxa" w:w="36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Affordability pass rate and customer payment burden.</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Credit quality</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Cohort bad rate, 30 and 90 day delinquency, NPL and write off</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Calibration, vintage curves and loss by score, amount, term, price and channel.</w:t>
            </w:r>
          </w:p>
        </w:tc>
      </w:tr>
      <w:tr>
        <w:trPr>
          <w:cantSplit/>
        </w:trPr>
        <w:tc>
          <w:tcPr>
            <w:tcW w:type="dxa" w:w="18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w:t>
            </w:r>
          </w:p>
        </w:tc>
        <w:tc>
          <w:tcPr>
            <w:tcW w:type="dxa" w:w="46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Completion time, abandonment, first contact resolution and hardship cure</w:t>
            </w:r>
          </w:p>
        </w:tc>
        <w:tc>
          <w:tcPr>
            <w:tcW w:type="dxa" w:w="36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Complaint severity, repeat complaints and appeal overturns.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Model</w:t>
            </w:r>
          </w:p>
        </w:tc>
        <w:tc>
          <w:tcPr>
            <w:tcW w:type="dxa" w:w="46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Calibration and stability first; discrimination metrics second</w:t>
            </w:r>
          </w:p>
        </w:tc>
        <w:tc>
          <w:tcPr>
            <w:tcW w:type="dxa" w:w="360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AUC or Gini, drift, reason code stability and manual review rate.</w:t>
            </w:r>
          </w:p>
        </w:tc>
      </w:tr>
      <w:tr>
        <w:trPr>
          <w:cantSplit/>
        </w:trPr>
        <w:tc>
          <w:tcPr>
            <w:tcW w:type="dxa" w:w="18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Fairness and law</w:t>
            </w:r>
          </w:p>
        </w:tc>
        <w:tc>
          <w:tcPr>
            <w:tcW w:type="dxa" w:w="46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Outcome and error gaps with lawful group definitions</w:t>
            </w:r>
          </w:p>
        </w:tc>
        <w:tc>
          <w:tcPr>
            <w:tcW w:type="dxa" w:w="360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Human review access, explanation coverage, privacy incidents and overrides.</w:t>
            </w:r>
          </w:p>
        </w:tc>
      </w:tr>
    </w:tbl>
    <w:p>
      <w:pPr>
        <w:widowControl/>
        <w:spacing w:after="20"/>
      </w:pPr>
    </w:p>
    <w:p>
      <w:pPr>
        <w:widowControl/>
      </w:pPr>
      <w:r>
        <w:rPr>
          <w:rFonts w:ascii="Liberation Sans" w:hAnsi="Liberation Sans"/>
        </w:rPr>
        <w:br w:type="page"/>
      </w:r>
    </w:p>
    <w:p>
      <w:pPr>
        <w:pStyle w:val="Heading1"/>
        <w:keepLines w:val="0"/>
        <w:widowControl/>
      </w:pPr>
      <w:r>
        <w:rPr>
          <w:rFonts w:ascii="Liberation Sans" w:hAnsi="Liberation Sans"/>
        </w:rPr>
        <w:t>8 Regulation privacy and ethics</w:t>
      </w:r>
    </w:p>
    <w:p>
      <w:pPr>
        <w:pStyle w:val="Heading2"/>
        <w:keepLines w:val="0"/>
        <w:widowControl/>
      </w:pPr>
      <w:r>
        <w:rPr>
          <w:rFonts w:ascii="Liberation Sans" w:hAnsi="Liberation Sans"/>
        </w:rPr>
        <w:t>Current and emerging obligations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Jurisdiction</w:t>
            </w:r>
          </w:p>
        </w:tc>
        <w:tc>
          <w:tcPr>
            <w:tcW w:type="dxa" w:w="53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Requirement relevant to analytics</w:t>
            </w:r>
          </w:p>
        </w:tc>
        <w:tc>
          <w:tcPr>
            <w:tcW w:type="dxa" w:w="28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5"/>
              </w:rPr>
              <w:t>Timing and implication</w:t>
            </w:r>
          </w:p>
        </w:tc>
      </w:tr>
      <w:tr>
        <w:trPr>
          <w:cantSplit/>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Czech Republic and Slovakia</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Consumer lenders are licensed and supervised nationally; Home Credit Czech Republic is registered as a payment institution and non bank consumer credit provider. </w:t>
            </w:r>
            <w:hyperlink r:id="rId17">
              <w:r>
                <w:rPr>
                  <w:color w:val="0563C1"/>
                  <w:u w:val="single"/>
                  <w:sz w:val="15"/>
                  <w:szCs w:val="15"/>
                  <w:rFonts w:ascii="Liberation Sans" w:hAnsi="Liberation Sans"/>
                </w:rPr>
                <w:t>[S9]</w:t>
              </w:r>
            </w:hyperlink>
            <w:hyperlink r:id="rId39">
              <w:r>
                <w:rPr>
                  <w:color w:val="0563C1"/>
                  <w:u w:val="single"/>
                  <w:sz w:val="15"/>
                  <w:szCs w:val="15"/>
                  <w:rFonts w:ascii="Liberation Sans" w:hAnsi="Liberation Sans"/>
                </w:rPr>
                <w:t>[S25]</w:t>
              </w:r>
            </w:hyperlink>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Credit decisions must sit inside local consumer credit, privacy and supervisory requirements.</w:t>
            </w:r>
          </w:p>
        </w:tc>
      </w:tr>
      <w:tr>
        <w:trPr>
          <w:cantSplit/>
        </w:trPr>
        <w:tc>
          <w:tcPr>
            <w:tcW w:type="dxa" w:w="187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European Union consumer credit</w:t>
            </w:r>
          </w:p>
        </w:tc>
        <w:tc>
          <w:tcPr>
            <w:tcW w:type="dxa" w:w="53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Directive EU 2023 2225 brings BNPL into scope and requires, for automated creditworthiness assessment, access to human intervention, a clear explanation, expression of the customer view and review of the assessment and credit decision. </w:t>
            </w:r>
            <w:hyperlink r:id="rId23">
              <w:r>
                <w:rPr>
                  <w:color w:val="0563C1"/>
                  <w:u w:val="single"/>
                  <w:sz w:val="15"/>
                  <w:szCs w:val="15"/>
                  <w:rFonts w:ascii="Liberation Sans" w:hAnsi="Liberation Sans"/>
                </w:rPr>
                <w:t>[S23]</w:t>
              </w:r>
            </w:hyperlink>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Member state measures apply from 20 Nov 2026, shortly after this report cutoff. </w:t>
            </w:r>
            <w:hyperlink r:id="rId23">
              <w:r>
                <w:rPr>
                  <w:color w:val="0563C1"/>
                  <w:u w:val="single"/>
                  <w:sz w:val="15"/>
                  <w:szCs w:val="15"/>
                  <w:rFonts w:ascii="Liberation Sans" w:hAnsi="Liberation Sans"/>
                </w:rPr>
                <w:t>[S23]</w:t>
              </w:r>
            </w:hyperlink>
          </w:p>
        </w:tc>
      </w:tr>
      <w:tr>
        <w:trPr>
          <w:cantSplit/>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European Union AI</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The AI Act classifies AI used to evaluate natural person creditworthiness or credit scores as high risk, except fraud detection. </w:t>
            </w:r>
            <w:hyperlink r:id="rId24">
              <w:r>
                <w:rPr>
                  <w:color w:val="0563C1"/>
                  <w:u w:val="single"/>
                  <w:sz w:val="15"/>
                  <w:szCs w:val="15"/>
                  <w:rFonts w:ascii="Liberation Sans" w:hAnsi="Liberation Sans"/>
                </w:rPr>
                <w:t>[S24]</w:t>
              </w:r>
            </w:hyperlink>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The regulation generally applies from 2 Aug 2026; the relevant Annex III high risk requirements apply from 2 Dec 2027 under the July 2026 consolidated text. </w:t>
            </w:r>
            <w:hyperlink r:id="rId24">
              <w:r>
                <w:rPr>
                  <w:color w:val="0563C1"/>
                  <w:u w:val="single"/>
                  <w:sz w:val="15"/>
                  <w:szCs w:val="15"/>
                  <w:rFonts w:ascii="Liberation Sans" w:hAnsi="Liberation Sans"/>
                </w:rPr>
                <w:t>[S24]</w:t>
              </w:r>
            </w:hyperlink>
          </w:p>
        </w:tc>
      </w:tr>
      <w:tr>
        <w:trPr>
          <w:cantSplit/>
        </w:trPr>
        <w:tc>
          <w:tcPr>
            <w:tcW w:type="dxa" w:w="187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European privacy practice</w:t>
            </w:r>
          </w:p>
        </w:tc>
        <w:tc>
          <w:tcPr>
            <w:tcW w:type="dxa" w:w="53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Current Czech and Slovak memoranda disclose profiling, automated credit decisions and a right to request human review. </w:t>
            </w:r>
            <w:hyperlink r:id="rId33">
              <w:r>
                <w:rPr>
                  <w:color w:val="0563C1"/>
                  <w:u w:val="single"/>
                  <w:sz w:val="15"/>
                  <w:szCs w:val="15"/>
                  <w:rFonts w:ascii="Liberation Sans" w:hAnsi="Liberation Sans"/>
                </w:rPr>
                <w:t>[S20]</w:t>
              </w:r>
            </w:hyperlink>
            <w:hyperlink r:id="rId34">
              <w:r>
                <w:rPr>
                  <w:color w:val="0563C1"/>
                  <w:u w:val="single"/>
                  <w:sz w:val="15"/>
                  <w:szCs w:val="15"/>
                  <w:rFonts w:ascii="Liberation Sans" w:hAnsi="Liberation Sans"/>
                </w:rPr>
                <w:t>[S21]</w:t>
              </w:r>
            </w:hyperlink>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Model design must support lawful data use, review, challenge and traceable reasons now.</w:t>
            </w:r>
          </w:p>
        </w:tc>
      </w:tr>
      <w:tr>
        <w:trPr>
          <w:cantSplit/>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Vietnam personal data</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Vietnam's Law on Personal Data Protection took effect on 1 Jan 2026; announced maximum penalties include revenue based fines for data sale and cross border transfer violations. </w:t>
            </w:r>
            <w:hyperlink r:id="rId40">
              <w:r>
                <w:rPr>
                  <w:color w:val="0563C1"/>
                  <w:u w:val="single"/>
                  <w:sz w:val="15"/>
                  <w:szCs w:val="15"/>
                  <w:rFonts w:ascii="Liberation Sans" w:hAnsi="Liberation Sans"/>
                </w:rPr>
                <w:t>[S26]</w:t>
              </w:r>
            </w:hyperlink>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Data lineage, consent, cross border processing and third party controls are material business risks.</w:t>
            </w:r>
          </w:p>
        </w:tc>
      </w:tr>
      <w:tr>
        <w:trPr>
          <w:cantSplit/>
        </w:trPr>
        <w:tc>
          <w:tcPr>
            <w:tcW w:type="dxa" w:w="187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Vietnam company policy</w:t>
            </w:r>
          </w:p>
        </w:tc>
        <w:tc>
          <w:tcPr>
            <w:tcW w:type="dxa" w:w="532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 xml:space="preserve">Home Credit Vietnam says it uses personal, biometric, demographic, credit and financial data for verification, creditworthiness, risk, fraud, service and collections, and provides access, correction and deletion request channels subject to law. </w:t>
            </w:r>
            <w:hyperlink r:id="rId29">
              <w:r>
                <w:rPr>
                  <w:color w:val="0563C1"/>
                  <w:u w:val="single"/>
                  <w:sz w:val="15"/>
                  <w:szCs w:val="15"/>
                  <w:rFonts w:ascii="Liberation Sans" w:hAnsi="Liberation Sans"/>
                </w:rPr>
                <w:t>[S22]</w:t>
              </w:r>
            </w:hyperlink>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5"/>
              </w:rPr>
              <w:t>Any analytics proposal must map each field to purpose, authority, retention and recipients.</w:t>
            </w:r>
          </w:p>
        </w:tc>
      </w:tr>
    </w:tbl>
    <w:p>
      <w:pPr>
        <w:widowControl/>
        <w:spacing w:after="20"/>
      </w:pPr>
    </w:p>
    <w:p>
      <w:pPr>
        <w:pStyle w:val="Heading2"/>
        <w:keepLines w:val="0"/>
        <w:widowControl/>
      </w:pPr>
      <w:r>
        <w:rPr>
          <w:rFonts w:ascii="Liberation Sans" w:hAnsi="Liberation Sans"/>
        </w:rPr>
        <w:t>Ethical risks</w:t>
      </w:r>
    </w:p>
    <w:p>
      <w:pPr>
        <w:pStyle w:val="ListBullet"/>
        <w:widowControl/>
        <w:spacing w:after="60"/>
      </w:pPr>
      <w:r>
        <w:rPr>
          <w:rFonts w:ascii="Liberation Sans" w:hAnsi="Liberation Sans"/>
        </w:rPr>
        <w:t xml:space="preserve">Over lending. Faster or more accurate approval is harmful if the offered amount or repayment burden is unaffordable. Home Credit historically framed its Customer Charter around preventing over leverage, strengthening customer rights and supporting informed decisions. </w:t>
      </w:r>
      <w:hyperlink r:id="rId27">
        <w:r>
          <w:rPr>
            <w:color w:val="0563C1"/>
            <w:u w:val="single"/>
            <w:sz w:val="18"/>
            <w:szCs w:val="18"/>
            <w:rFonts w:ascii="Liberation Sans" w:hAnsi="Liberation Sans"/>
          </w:rPr>
          <w:t>[S19]</w:t>
        </w:r>
      </w:hyperlink>
    </w:p>
    <w:p>
      <w:pPr>
        <w:pStyle w:val="ListBullet"/>
        <w:widowControl/>
        <w:spacing w:after="60"/>
      </w:pPr>
      <w:r>
        <w:rPr>
          <w:rFonts w:ascii="Liberation Sans" w:hAnsi="Liberation Sans"/>
        </w:rPr>
        <w:t>Bias and exclusion. Thin file customers may benefit from alternative data, but proxies can reproduce social disadvantage; testing must examine both false approvals and false declines.</w:t>
      </w:r>
    </w:p>
    <w:p>
      <w:pPr>
        <w:pStyle w:val="ListBullet"/>
        <w:widowControl/>
        <w:spacing w:after="60"/>
      </w:pPr>
      <w:r>
        <w:rPr>
          <w:rFonts w:ascii="Liberation Sans" w:hAnsi="Liberation Sans"/>
        </w:rPr>
        <w:t xml:space="preserve">Opacity. An accurate score is insufficient when customers, reviewers and regulators cannot understand the principal reasons for a decision. The coming EU consumer credit rules explicitly require clear and comprehensible explanations and human review for automated assessment. </w:t>
      </w:r>
      <w:hyperlink r:id="rId23">
        <w:r>
          <w:rPr>
            <w:color w:val="0563C1"/>
            <w:u w:val="single"/>
            <w:sz w:val="18"/>
            <w:szCs w:val="18"/>
            <w:rFonts w:ascii="Liberation Sans" w:hAnsi="Liberation Sans"/>
          </w:rPr>
          <w:t>[S23]</w:t>
        </w:r>
      </w:hyperlink>
    </w:p>
    <w:p>
      <w:pPr>
        <w:pStyle w:val="ListBullet"/>
        <w:widowControl/>
        <w:spacing w:after="60"/>
      </w:pPr>
      <w:r>
        <w:rPr>
          <w:rFonts w:ascii="Liberation Sans" w:hAnsi="Liberation Sans"/>
        </w:rPr>
        <w:t xml:space="preserve">Privacy and purpose creep. Device, behavioral and biometric data can improve fraud or risk decisions but increase consent, necessity, security and cross border processing risk. </w:t>
      </w:r>
      <w:hyperlink r:id="rId33">
        <w:r>
          <w:rPr>
            <w:color w:val="0563C1"/>
            <w:u w:val="single"/>
            <w:sz w:val="18"/>
            <w:szCs w:val="18"/>
            <w:rFonts w:ascii="Liberation Sans" w:hAnsi="Liberation Sans"/>
          </w:rPr>
          <w:t>[S20]</w:t>
        </w:r>
      </w:hyperlink>
      <w:hyperlink r:id="rId29">
        <w:r>
          <w:rPr>
            <w:color w:val="0563C1"/>
            <w:u w:val="single"/>
            <w:sz w:val="18"/>
            <w:szCs w:val="18"/>
            <w:rFonts w:ascii="Liberation Sans" w:hAnsi="Liberation Sans"/>
          </w:rPr>
          <w:t>[S22]</w:t>
        </w:r>
      </w:hyperlink>
      <w:hyperlink r:id="rId40">
        <w:r>
          <w:rPr>
            <w:color w:val="0563C1"/>
            <w:u w:val="single"/>
            <w:sz w:val="18"/>
            <w:szCs w:val="18"/>
            <w:rFonts w:ascii="Liberation Sans" w:hAnsi="Liberation Sans"/>
          </w:rPr>
          <w:t>[S26]</w:t>
        </w:r>
      </w:hyperlink>
    </w:p>
    <w:p>
      <w:pPr>
        <w:pStyle w:val="ListBullet"/>
        <w:widowControl/>
        <w:spacing w:after="60"/>
      </w:pPr>
      <w:r>
        <w:rPr>
          <w:rFonts w:ascii="Liberation Sans" w:hAnsi="Liberation Sans"/>
        </w:rPr>
        <w:t xml:space="preserve">Collections harm. Contact intensity and legal escalation must distinguish unwillingness from hardship and vulnerability; the operating process spans reminders through external collections and legal action. </w:t>
      </w:r>
      <w:hyperlink r:id="rId11">
        <w:r>
          <w:rPr>
            <w:color w:val="0563C1"/>
            <w:u w:val="single"/>
            <w:sz w:val="18"/>
            <w:szCs w:val="18"/>
            <w:rFonts w:ascii="Liberation Sans" w:hAnsi="Liberation Sans"/>
          </w:rPr>
          <w:t>[S5]</w:t>
        </w:r>
      </w:hyperlink>
    </w:p>
    <w:p>
      <w:pPr>
        <w:pStyle w:val="Heading2"/>
        <w:keepLines w:val="0"/>
        <w:widowControl/>
      </w:pPr>
      <w:r>
        <w:rPr>
          <w:rFonts w:ascii="Liberation Sans" w:hAnsi="Liberation Sans"/>
        </w:rPr>
        <w:t>Minimum responsible analytics controls</w:t>
      </w:r>
    </w:p>
    <w:p>
      <w:pPr>
        <w:pStyle w:val="ListBullet"/>
        <w:widowControl/>
        <w:spacing w:after="60"/>
      </w:pPr>
      <w:r>
        <w:rPr>
          <w:rFonts w:ascii="Liberation Sans" w:hAnsi="Liberation Sans"/>
        </w:rPr>
        <w:t>Affordability rules outside the model with documented override authority.</w:t>
      </w:r>
    </w:p>
    <w:p>
      <w:pPr>
        <w:pStyle w:val="ListBullet"/>
        <w:widowControl/>
        <w:spacing w:after="60"/>
      </w:pPr>
      <w:r>
        <w:rPr>
          <w:rFonts w:ascii="Liberation Sans" w:hAnsi="Liberation Sans"/>
        </w:rPr>
        <w:t>Data purpose inventory and feature approval by privacy and legal owners.</w:t>
      </w:r>
    </w:p>
    <w:p>
      <w:pPr>
        <w:pStyle w:val="ListBullet"/>
        <w:widowControl/>
        <w:spacing w:after="60"/>
      </w:pPr>
      <w:r>
        <w:rPr>
          <w:rFonts w:ascii="Liberation Sans" w:hAnsi="Liberation Sans"/>
        </w:rPr>
        <w:t>Explanation reason testing for fidelity, stability and customer comprehension.</w:t>
      </w:r>
    </w:p>
    <w:p>
      <w:pPr>
        <w:pStyle w:val="ListBullet"/>
        <w:widowControl/>
        <w:spacing w:after="60"/>
      </w:pPr>
      <w:r>
        <w:rPr>
          <w:rFonts w:ascii="Liberation Sans" w:hAnsi="Liberation Sans"/>
        </w:rPr>
        <w:t>Human review service level, review quality sampling and appeal outcome monitoring.</w:t>
      </w:r>
    </w:p>
    <w:p>
      <w:pPr>
        <w:pStyle w:val="ListBullet"/>
        <w:widowControl/>
        <w:spacing w:after="60"/>
      </w:pPr>
      <w:r>
        <w:rPr>
          <w:rFonts w:ascii="Liberation Sans" w:hAnsi="Liberation Sans"/>
        </w:rPr>
        <w:t>Fairness tests across approval, pricing, limit, default, collection and false decline outcomes where lawful.</w:t>
      </w:r>
    </w:p>
    <w:p>
      <w:pPr>
        <w:pStyle w:val="ListBullet"/>
        <w:widowControl/>
        <w:spacing w:after="60"/>
      </w:pPr>
      <w:r>
        <w:rPr>
          <w:rFonts w:ascii="Liberation Sans" w:hAnsi="Liberation Sans"/>
        </w:rPr>
        <w:t>Pre deployment simulation, controlled rollout, incident thresholds and rollback.</w:t>
      </w:r>
    </w:p>
    <w:p>
      <w:pPr>
        <w:pStyle w:val="Heading1"/>
        <w:keepLines w:val="0"/>
        <w:pageBreakBefore/>
        <w:widowControl/>
      </w:pPr>
      <w:r>
        <w:rPr>
          <w:rFonts w:ascii="Liberation Sans" w:hAnsi="Liberation Sans"/>
        </w:rPr>
        <w:t>9 Technology operations and delivery</w:t>
      </w:r>
    </w:p>
    <w:p>
      <w:pPr>
        <w:pStyle w:val="Heading2"/>
        <w:keepLines w:val="0"/>
        <w:widowControl/>
      </w:pPr>
      <w:r>
        <w:rPr>
          <w:rFonts w:ascii="Liberation Sans" w:hAnsi="Liberation Sans"/>
        </w:rPr>
        <w:t>Current capabilities</w:t>
      </w:r>
    </w:p>
    <w:p>
      <w:pPr>
        <w:pStyle w:val="ListBullet"/>
        <w:widowControl/>
        <w:spacing w:after="60"/>
      </w:pPr>
      <w:r>
        <w:rPr>
          <w:rFonts w:ascii="Liberation Sans" w:hAnsi="Liberation Sans"/>
        </w:rPr>
        <w:t xml:space="preserve">Home Credit lists EmbedIT in Prague as its group IT centre. </w:t>
      </w:r>
      <w:hyperlink r:id="rId13">
        <w:r>
          <w:rPr>
            <w:color w:val="0563C1"/>
            <w:u w:val="single"/>
            <w:sz w:val="18"/>
            <w:szCs w:val="18"/>
            <w:rFonts w:ascii="Liberation Sans" w:hAnsi="Liberation Sans"/>
          </w:rPr>
          <w:t>[S2]</w:t>
        </w:r>
      </w:hyperlink>
    </w:p>
    <w:p>
      <w:pPr>
        <w:pStyle w:val="ListBullet"/>
        <w:widowControl/>
        <w:spacing w:after="60"/>
      </w:pPr>
      <w:r>
        <w:rPr>
          <w:rFonts w:ascii="Liberation Sans" w:hAnsi="Liberation Sans"/>
        </w:rPr>
        <w:t xml:space="preserve">The group uses a unified central loan management system and monitors credit performance by country, product and distribution channel. </w:t>
      </w:r>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In Czech Republic and Slovakia during 2025, about 80 percent of instalment purchases were completed online and more than 60 percent of online purchase transactions were processed fully digitally without human intervention. </w:t>
      </w:r>
      <w:hyperlink r:id="rId17">
        <w:r>
          <w:rPr>
            <w:color w:val="0563C1"/>
            <w:u w:val="single"/>
            <w:sz w:val="18"/>
            <w:szCs w:val="18"/>
            <w:rFonts w:ascii="Liberation Sans" w:hAnsi="Liberation Sans"/>
          </w:rPr>
          <w:t>[S9]</w:t>
        </w:r>
      </w:hyperlink>
    </w:p>
    <w:p>
      <w:pPr>
        <w:pStyle w:val="ListBullet"/>
        <w:widowControl/>
        <w:spacing w:after="60"/>
      </w:pPr>
      <w:r>
        <w:rPr>
          <w:rFonts w:ascii="Liberation Sans" w:hAnsi="Liberation Sans"/>
        </w:rPr>
        <w:t xml:space="preserve">By June 2026, Czech and Slovak Home Credit monthly active app users reached 295,000, 50,000 more than a year earlier. </w:t>
      </w:r>
      <w:hyperlink r:id="rId22">
        <w:r>
          <w:rPr>
            <w:color w:val="0563C1"/>
            <w:u w:val="single"/>
            <w:sz w:val="18"/>
            <w:szCs w:val="18"/>
            <w:rFonts w:ascii="Liberation Sans" w:hAnsi="Liberation Sans"/>
          </w:rPr>
          <w:t>[S10]</w:t>
        </w:r>
      </w:hyperlink>
    </w:p>
    <w:p>
      <w:pPr>
        <w:pStyle w:val="ListBullet"/>
        <w:widowControl/>
        <w:spacing w:after="60"/>
      </w:pPr>
      <w:r>
        <w:rPr>
          <w:rFonts w:ascii="Liberation Sans" w:hAnsi="Liberation Sans"/>
        </w:rPr>
        <w:t xml:space="preserve">FiinRatings credits Home Credit Vietnam with technology enabled customer analytics and a large point of sale partner network. </w:t>
      </w:r>
      <w:hyperlink r:id="rId12">
        <w:r>
          <w:rPr>
            <w:color w:val="0563C1"/>
            <w:u w:val="single"/>
            <w:sz w:val="18"/>
            <w:szCs w:val="18"/>
            <w:rFonts w:ascii="Liberation Sans" w:hAnsi="Liberation Sans"/>
          </w:rPr>
          <w:t>[S16]</w:t>
        </w:r>
      </w:hyperlink>
    </w:p>
    <w:p>
      <w:pPr>
        <w:pStyle w:val="Heading2"/>
        <w:keepLines w:val="0"/>
        <w:widowControl/>
      </w:pPr>
      <w:r>
        <w:rPr>
          <w:rFonts w:ascii="Liberation Sans" w:hAnsi="Liberation Sans"/>
        </w:rPr>
        <w:t>Where operational pain may occur</w:t>
      </w:r>
    </w:p>
    <w:p>
      <w:pPr>
        <w:keepLines w:val="0"/>
        <w:widowControl/>
      </w:pPr>
      <w:r>
        <w:rPr>
          <w:rFonts w:ascii="Liberation Sans" w:hAnsi="Liberation Sans"/>
        </w:rPr>
        <w:t xml:space="preserve">Hypotheses requiring internal measurement. The most plausible friction points are document or identity verification, bureau or third party response, fraud referrals, policy rule conflicts, offer comprehension, contract completion, merchant handoff, payment setup and collections contact. Public sources establish the steps and automation level but do not disclose delay, error or abandonment rates. </w:t>
      </w:r>
      <w:hyperlink r:id="rId11">
        <w:r>
          <w:rPr>
            <w:color w:val="0563C1"/>
            <w:u w:val="single"/>
            <w:sz w:val="18"/>
            <w:szCs w:val="18"/>
            <w:rFonts w:ascii="Liberation Sans" w:hAnsi="Liberation Sans"/>
          </w:rPr>
          <w:t>[S5]</w:t>
        </w:r>
      </w:hyperlink>
      <w:hyperlink r:id="rId17">
        <w:r>
          <w:rPr>
            <w:color w:val="0563C1"/>
            <w:u w:val="single"/>
            <w:sz w:val="18"/>
            <w:szCs w:val="18"/>
            <w:rFonts w:ascii="Liberation Sans" w:hAnsi="Liberation Sans"/>
          </w:rPr>
          <w:t>[S9]</w:t>
        </w:r>
      </w:hyperlink>
      <w:hyperlink r:id="rId33">
        <w:r>
          <w:rPr>
            <w:color w:val="0563C1"/>
            <w:u w:val="single"/>
            <w:sz w:val="18"/>
            <w:szCs w:val="18"/>
            <w:rFonts w:ascii="Liberation Sans" w:hAnsi="Liberation Sans"/>
          </w:rPr>
          <w:t>[S20]</w:t>
        </w:r>
      </w:hyperlink>
      <w:hyperlink r:id="rId29">
        <w:r>
          <w:rPr>
            <w:color w:val="0563C1"/>
            <w:u w:val="single"/>
            <w:sz w:val="18"/>
            <w:szCs w:val="18"/>
            <w:rFonts w:ascii="Liberation Sans" w:hAnsi="Liberation Sans"/>
          </w:rPr>
          <w:t>[S22]</w:t>
        </w:r>
      </w:hyperlink>
    </w:p>
    <w:p>
      <w:pPr>
        <w:pStyle w:val="Heading2"/>
        <w:keepLines w:val="0"/>
        <w:widowControl/>
      </w:pPr>
      <w:r>
        <w:rPr>
          <w:rFonts w:ascii="Liberation Sans" w:hAnsi="Liberation Sans"/>
        </w:rPr>
        <w:t>Operational measurement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Stage</w:t>
            </w:r>
          </w:p>
        </w:tc>
        <w:tc>
          <w:tcPr>
            <w:tcW w:type="dxa" w:w="604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Event instrumentation</w:t>
            </w:r>
          </w:p>
        </w:tc>
        <w:tc>
          <w:tcPr>
            <w:tcW w:type="dxa" w:w="28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Decision owner</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Application</w:t>
            </w:r>
          </w:p>
        </w:tc>
        <w:tc>
          <w:tcPr>
            <w:tcW w:type="dxa" w:w="604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Start, field completion, document upload, validation error, exit and resume</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Product and digital channel</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Verification</w:t>
            </w:r>
          </w:p>
        </w:tc>
        <w:tc>
          <w:tcPr>
            <w:tcW w:type="dxa" w:w="604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Source requested, response time, mismatch, retry, failure and manual referral</w:t>
            </w:r>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Fraud, operations and data</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Decision</w:t>
            </w:r>
          </w:p>
        </w:tc>
        <w:tc>
          <w:tcPr>
            <w:tcW w:type="dxa" w:w="604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Model version, features, policy rules, score, reason, offer set, override and latency</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Credit risk and model risk</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Acceptance</w:t>
            </w:r>
          </w:p>
        </w:tc>
        <w:tc>
          <w:tcPr>
            <w:tcW w:type="dxa" w:w="604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Offer viewed, disclosure viewed, contract signed, disbursed and merchant completed</w:t>
            </w:r>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Product, legal and merchant operations</w:t>
            </w:r>
          </w:p>
        </w:tc>
      </w:tr>
      <w:tr>
        <w:trPr>
          <w:cantSplit/>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Servicing</w:t>
            </w:r>
          </w:p>
        </w:tc>
        <w:tc>
          <w:tcPr>
            <w:tcW w:type="dxa" w:w="6048"/>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Payment method, reminder, contact, hardship flag, delinquency and cure</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Servicing and collections</w:t>
            </w:r>
          </w:p>
        </w:tc>
      </w:tr>
      <w:tr>
        <w:trPr>
          <w:cantSplit/>
        </w:trPr>
        <w:tc>
          <w:tcPr>
            <w:tcW w:type="dxa" w:w="158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Review</w:t>
            </w:r>
          </w:p>
        </w:tc>
        <w:tc>
          <w:tcPr>
            <w:tcW w:type="dxa" w:w="6048"/>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 challenge, human review, result, reason change and time to resolve</w:t>
            </w:r>
          </w:p>
        </w:tc>
        <w:tc>
          <w:tcPr>
            <w:tcW w:type="dxa" w:w="288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Credit operations, compliance and customer care</w:t>
            </w:r>
          </w:p>
        </w:tc>
      </w:tr>
    </w:tbl>
    <w:p>
      <w:pPr>
        <w:widowControl/>
        <w:spacing w:after="20"/>
      </w:pPr>
    </w:p>
    <w:p>
      <w:pPr>
        <w:pStyle w:val="Heading2"/>
        <w:keepLines w:val="0"/>
        <w:widowControl/>
      </w:pPr>
      <w:r>
        <w:rPr>
          <w:rFonts w:ascii="Liberation Sans" w:hAnsi="Liberation Sans"/>
        </w:rPr>
        <w:t>Technology decision</w:t>
      </w:r>
    </w:p>
    <w:p>
      <w:pPr>
        <w:keepLines w:val="0"/>
        <w:widowControl/>
      </w:pPr>
      <w:r>
        <w:rPr>
          <w:rFonts w:ascii="Liberation Sans" w:hAnsi="Liberation Sans"/>
        </w:rPr>
        <w:t>Synthesis. Because Home Credit already automates much of the journey, the highest value architecture is likely a controlled decision service rather than a standalone notebook model. It should version data, models, policies, offers and reasons together and retain enough history to reconstruct every decision.</w:t>
      </w:r>
    </w:p>
    <w:p>
      <w:pPr>
        <w:pStyle w:val="Heading1"/>
        <w:keepLines w:val="0"/>
        <w:widowControl/>
      </w:pPr>
      <w:r>
        <w:rPr>
          <w:rFonts w:ascii="Liberation Sans" w:hAnsi="Liberation Sans"/>
        </w:rPr>
        <w:t>10 Stakeholders and decision rights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Stakeholder</w:t>
            </w:r>
          </w:p>
        </w:tc>
        <w:tc>
          <w:tcPr>
            <w:tcW w:type="dxa" w:w="43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Interest and authority</w:t>
            </w:r>
          </w:p>
        </w:tc>
        <w:tc>
          <w:tcPr>
            <w:tcW w:type="dxa" w:w="396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Evidence or required role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PPF shareholder and Home Credit Board</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Strategy, capital, return, risk appetite and oversight</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PPF ownership and Board responsibilities are published. </w:t>
            </w:r>
            <w:hyperlink r:id="rId14">
              <w:r>
                <w:rPr>
                  <w:color w:val="0563C1"/>
                  <w:u w:val="single"/>
                  <w:sz w:val="16"/>
                  <w:szCs w:val="16"/>
                  <w:rFonts w:ascii="Liberation Sans" w:hAnsi="Liberation Sans"/>
                </w:rPr>
                <w:t>[S3]</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Group credit risk</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Credit policy, approval structure, limits, monitoring, collections policy and Board reporting</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Explicitly delegated responsibility. </w:t>
            </w:r>
            <w:hyperlink r:id="rId11">
              <w:r>
                <w:rPr>
                  <w:color w:val="0563C1"/>
                  <w:u w:val="single"/>
                  <w:sz w:val="16"/>
                  <w:szCs w:val="16"/>
                  <w:rFonts w:ascii="Liberation Sans" w:hAnsi="Liberation Sans"/>
                </w:rPr>
                <w:t>[S5]</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Local operating management</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Execution within limits; local product, channel and market decisions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Local authorization limits are described in the annual report. </w:t>
            </w:r>
            <w:hyperlink r:id="rId11">
              <w:r>
                <w:rPr>
                  <w:color w:val="0563C1"/>
                  <w:u w:val="single"/>
                  <w:sz w:val="16"/>
                  <w:szCs w:val="16"/>
                  <w:rFonts w:ascii="Liberation Sans" w:hAnsi="Liberation Sans"/>
                </w:rPr>
                <w:t>[S5]</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Air Bank</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Parent and funding or operating context for Czech and Slovak Home Credit</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Air Bank controls the two subsidiaries and reports combined performance. </w:t>
            </w:r>
            <w:hyperlink r:id="rId17">
              <w:r>
                <w:rPr>
                  <w:color w:val="0563C1"/>
                  <w:u w:val="single"/>
                  <w:sz w:val="16"/>
                  <w:szCs w:val="16"/>
                  <w:rFonts w:ascii="Liberation Sans" w:hAnsi="Liberation Sans"/>
                </w:rPr>
                <w:t>[S9]</w:t>
              </w:r>
            </w:hyperlink>
            <w:hyperlink r:id="rId22">
              <w:r>
                <w:rPr>
                  <w:color w:val="0563C1"/>
                  <w:u w:val="single"/>
                  <w:sz w:val="16"/>
                  <w:szCs w:val="16"/>
                  <w:rFonts w:ascii="Liberation Sans" w:hAnsi="Liberation Sans"/>
                </w:rPr>
                <w:t>[S10]</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Finance and treasury</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Funding cost, capital, liquidity, profit measurement and financial guardrails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Required to turn predictions into decision economics; group and Vietnam funding data show material funding effects. </w:t>
            </w:r>
            <w:hyperlink r:id="rId11">
              <w:r>
                <w:rPr>
                  <w:color w:val="0563C1"/>
                  <w:u w:val="single"/>
                  <w:sz w:val="16"/>
                  <w:szCs w:val="16"/>
                  <w:rFonts w:ascii="Liberation Sans" w:hAnsi="Liberation Sans"/>
                </w:rPr>
                <w:t>[S5]</w:t>
              </w:r>
            </w:hyperlink>
            <w:hyperlink r:id="rId12">
              <w:r>
                <w:rPr>
                  <w:color w:val="0563C1"/>
                  <w:u w:val="single"/>
                  <w:sz w:val="16"/>
                  <w:szCs w:val="16"/>
                  <w:rFonts w:ascii="Liberation Sans" w:hAnsi="Liberation Sans"/>
                </w:rPr>
                <w:t>[S16]</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Data science model risk and IT</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Data quality, models, decision service, validation, monitoring and incidents</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Current strategy emphasizes AI and centralized systems. </w:t>
            </w:r>
            <w:hyperlink r:id="rId11">
              <w:r>
                <w:rPr>
                  <w:color w:val="0563C1"/>
                  <w:u w:val="single"/>
                  <w:sz w:val="16"/>
                  <w:szCs w:val="16"/>
                  <w:rFonts w:ascii="Liberation Sans" w:hAnsi="Liberation Sans"/>
                </w:rPr>
                <w:t>[S5]</w:t>
              </w:r>
            </w:hyperlink>
            <w:hyperlink r:id="rId17">
              <w:r>
                <w:rPr>
                  <w:color w:val="0563C1"/>
                  <w:u w:val="single"/>
                  <w:sz w:val="16"/>
                  <w:szCs w:val="16"/>
                  <w:rFonts w:ascii="Liberation Sans" w:hAnsi="Liberation Sans"/>
                </w:rPr>
                <w:t>[S9]</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Legal compliance and privacy</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Permitted data, affordability, disclosures, explanation, review and regulatory engagement</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Current privacy policies and new EU or Vietnam rules establish the need. </w:t>
            </w:r>
            <w:hyperlink r:id="rId33">
              <w:r>
                <w:rPr>
                  <w:color w:val="0563C1"/>
                  <w:u w:val="single"/>
                  <w:sz w:val="16"/>
                  <w:szCs w:val="16"/>
                  <w:rFonts w:ascii="Liberation Sans" w:hAnsi="Liberation Sans"/>
                </w:rPr>
                <w:t>[S20]</w:t>
              </w:r>
            </w:hyperlink>
            <w:hyperlink r:id="rId29">
              <w:r>
                <w:rPr>
                  <w:color w:val="0563C1"/>
                  <w:u w:val="single"/>
                  <w:sz w:val="16"/>
                  <w:szCs w:val="16"/>
                  <w:rFonts w:ascii="Liberation Sans" w:hAnsi="Liberation Sans"/>
                </w:rPr>
                <w:t>[S22]</w:t>
              </w:r>
            </w:hyperlink>
            <w:hyperlink r:id="rId23">
              <w:r>
                <w:rPr>
                  <w:color w:val="0563C1"/>
                  <w:u w:val="single"/>
                  <w:sz w:val="16"/>
                  <w:szCs w:val="16"/>
                  <w:rFonts w:ascii="Liberation Sans" w:hAnsi="Liberation Sans"/>
                </w:rPr>
                <w:t>[S23]</w:t>
              </w:r>
            </w:hyperlink>
            <w:hyperlink r:id="rId24">
              <w:r>
                <w:rPr>
                  <w:color w:val="0563C1"/>
                  <w:u w:val="single"/>
                  <w:sz w:val="16"/>
                  <w:szCs w:val="16"/>
                  <w:rFonts w:ascii="Liberation Sans" w:hAnsi="Liberation Sans"/>
                </w:rPr>
                <w:t>[S24]</w:t>
              </w:r>
            </w:hyperlink>
            <w:hyperlink r:id="rId40">
              <w:r>
                <w:rPr>
                  <w:color w:val="0563C1"/>
                  <w:u w:val="single"/>
                  <w:sz w:val="16"/>
                  <w:szCs w:val="16"/>
                  <w:rFonts w:ascii="Liberation Sans" w:hAnsi="Liberation Sans"/>
                </w:rPr>
                <w:t>[S26]</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Merchants and strategic partners</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 conversion, integration quality, fraud controls and point of sale experience</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Partner ecosystems are central, especially in Vietnam. </w:t>
            </w:r>
            <w:hyperlink r:id="rId16">
              <w:r>
                <w:rPr>
                  <w:color w:val="0563C1"/>
                  <w:u w:val="single"/>
                  <w:sz w:val="16"/>
                  <w:szCs w:val="16"/>
                  <w:rFonts w:ascii="Liberation Sans" w:hAnsi="Liberation Sans"/>
                </w:rPr>
                <w:t>[S4]</w:t>
              </w:r>
            </w:hyperlink>
            <w:hyperlink r:id="rId12">
              <w:r>
                <w:rPr>
                  <w:color w:val="0563C1"/>
                  <w:u w:val="single"/>
                  <w:sz w:val="16"/>
                  <w:szCs w:val="16"/>
                  <w:rFonts w:ascii="Liberation Sans" w:hAnsi="Liberation Sans"/>
                </w:rPr>
                <w:t>[S16]</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 service and collections</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Resolution, hardship support, cure and complaint learning</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Servicing and collection stages are disclosed. </w:t>
            </w:r>
            <w:hyperlink r:id="rId11">
              <w:r>
                <w:rPr>
                  <w:color w:val="0563C1"/>
                  <w:u w:val="single"/>
                  <w:sz w:val="16"/>
                  <w:szCs w:val="16"/>
                  <w:rFonts w:ascii="Liberation Sans" w:hAnsi="Liberation Sans"/>
                </w:rPr>
                <w:t>[S5]</w:t>
              </w:r>
            </w:hyperlink>
          </w:p>
        </w:tc>
      </w:tr>
      <w:tr>
        <w:trPr>
          <w:cantSplit/>
        </w:trPr>
        <w:tc>
          <w:tcPr>
            <w:tcW w:type="dxa" w:w="2232"/>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Customers including vulnerable groups</w:t>
            </w:r>
          </w:p>
        </w:tc>
        <w:tc>
          <w:tcPr>
            <w:tcW w:type="dxa" w:w="43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Fair access, suitable terms, privacy, clear reasons and humane treatment</w:t>
            </w:r>
          </w:p>
        </w:tc>
        <w:tc>
          <w:tcPr>
            <w:tcW w:type="dxa" w:w="396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Home Credit targets underserved borrowers and states responsible finance commitments. </w:t>
            </w:r>
            <w:hyperlink r:id="rId15">
              <w:r>
                <w:rPr>
                  <w:color w:val="0563C1"/>
                  <w:u w:val="single"/>
                  <w:sz w:val="16"/>
                  <w:szCs w:val="16"/>
                  <w:rFonts w:ascii="Liberation Sans" w:hAnsi="Liberation Sans"/>
                </w:rPr>
                <w:t>[S1]</w:t>
              </w:r>
            </w:hyperlink>
            <w:hyperlink r:id="rId30">
              <w:r>
                <w:rPr>
                  <w:color w:val="0563C1"/>
                  <w:u w:val="single"/>
                  <w:sz w:val="16"/>
                  <w:szCs w:val="16"/>
                  <w:rFonts w:ascii="Liberation Sans" w:hAnsi="Liberation Sans"/>
                </w:rPr>
                <w:t>[S14]</w:t>
              </w:r>
            </w:hyperlink>
            <w:hyperlink r:id="rId27">
              <w:r>
                <w:rPr>
                  <w:color w:val="0563C1"/>
                  <w:u w:val="single"/>
                  <w:sz w:val="16"/>
                  <w:szCs w:val="16"/>
                  <w:rFonts w:ascii="Liberation Sans" w:hAnsi="Liberation Sans"/>
                </w:rPr>
                <w:t>[S19]</w:t>
              </w:r>
            </w:hyperlink>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Regulators and consumer advocates</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Lawful creditworthiness assessment, transparency, data protection and fair treatment</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 xml:space="preserve">Relevant official rules and independent index criteria are public. </w:t>
            </w:r>
            <w:hyperlink r:id="rId31">
              <w:r>
                <w:rPr>
                  <w:color w:val="0563C1"/>
                  <w:u w:val="single"/>
                  <w:sz w:val="16"/>
                  <w:szCs w:val="16"/>
                  <w:rFonts w:ascii="Liberation Sans" w:hAnsi="Liberation Sans"/>
                </w:rPr>
                <w:t>[S18]</w:t>
              </w:r>
            </w:hyperlink>
            <w:hyperlink r:id="rId23">
              <w:r>
                <w:rPr>
                  <w:color w:val="0563C1"/>
                  <w:u w:val="single"/>
                  <w:sz w:val="16"/>
                  <w:szCs w:val="16"/>
                  <w:rFonts w:ascii="Liberation Sans" w:hAnsi="Liberation Sans"/>
                </w:rPr>
                <w:t>[S23]</w:t>
              </w:r>
            </w:hyperlink>
            <w:hyperlink r:id="rId24">
              <w:r>
                <w:rPr>
                  <w:color w:val="0563C1"/>
                  <w:u w:val="single"/>
                  <w:sz w:val="16"/>
                  <w:szCs w:val="16"/>
                  <w:rFonts w:ascii="Liberation Sans" w:hAnsi="Liberation Sans"/>
                </w:rPr>
                <w:t>[S24]</w:t>
              </w:r>
            </w:hyperlink>
            <w:hyperlink r:id="rId39">
              <w:r>
                <w:rPr>
                  <w:color w:val="0563C1"/>
                  <w:u w:val="single"/>
                  <w:sz w:val="16"/>
                  <w:szCs w:val="16"/>
                  <w:rFonts w:ascii="Liberation Sans" w:hAnsi="Liberation Sans"/>
                </w:rPr>
                <w:t>[S25]</w:t>
              </w:r>
            </w:hyperlink>
            <w:hyperlink r:id="rId40">
              <w:r>
                <w:rPr>
                  <w:color w:val="0563C1"/>
                  <w:u w:val="single"/>
                  <w:sz w:val="16"/>
                  <w:szCs w:val="16"/>
                  <w:rFonts w:ascii="Liberation Sans" w:hAnsi="Liberation Sans"/>
                </w:rPr>
                <w:t>[S26]</w:t>
              </w:r>
            </w:hyperlink>
          </w:p>
        </w:tc>
      </w:tr>
    </w:tbl>
    <w:p>
      <w:pPr>
        <w:widowControl/>
        <w:spacing w:after="20"/>
      </w:pPr>
    </w:p>
    <w:p>
      <w:pPr>
        <w:pStyle w:val="Heading2"/>
        <w:keepLines w:val="0"/>
        <w:widowControl/>
      </w:pPr>
      <w:r>
        <w:rPr>
          <w:rFonts w:ascii="Liberation Sans" w:hAnsi="Liberation Sans"/>
        </w:rPr>
        <w:t>Who should make the final project decision</w:t>
      </w:r>
    </w:p>
    <w:p>
      <w:pPr>
        <w:keepLines w:val="0"/>
        <w:widowControl/>
      </w:pPr>
      <w:r>
        <w:rPr>
          <w:rFonts w:ascii="Liberation Sans" w:hAnsi="Liberation Sans"/>
        </w:rPr>
        <w:t>Synthesis. Credit risk should own the decision policy; finance should own economic value assumptions; product and operations should own customer journey feasibility; legal, compliance and privacy should hold approval rights over regulatory and data constraints; model risk should independently validate; and local management should approve market deployment within Board risk appetite. No single data science team should be able to change production approval policy alone.</w:t>
      </w:r>
    </w:p>
    <w:p>
      <w:pPr>
        <w:pStyle w:val="Heading1"/>
        <w:keepLines w:val="0"/>
        <w:widowControl/>
      </w:pPr>
      <w:r>
        <w:rPr>
          <w:rFonts w:ascii="Liberation Sans" w:hAnsi="Liberation Sans"/>
        </w:rPr>
        <w:t>11 Recommended business problem statement</w:t>
      </w:r>
    </w:p>
    <w:p>
      <w:pPr>
        <w:pStyle w:val="Heading2"/>
        <w:keepLines w:val="0"/>
        <w:widowControl/>
      </w:pPr>
      <w:r>
        <w:rPr>
          <w:rFonts w:ascii="Liberation Sans" w:hAnsi="Liberation Sans"/>
        </w:rPr>
        <w:t>Evidence chain</w:t>
      </w:r>
    </w:p>
    <w:p>
      <w:pPr>
        <w:pStyle w:val="ListBullet"/>
        <w:widowControl/>
        <w:spacing w:after="60"/>
      </w:pPr>
      <w:r>
        <w:rPr>
          <w:rFonts w:ascii="Liberation Sans" w:hAnsi="Liberation Sans"/>
        </w:rPr>
        <w:t xml:space="preserve">Home Credit competes through fast, accessible, data driven consumer finance and makes approval and price decisions using scoring that considers risk and profitability. </w:t>
      </w:r>
      <w:hyperlink r:id="rId15">
        <w:r>
          <w:rPr>
            <w:color w:val="0563C1"/>
            <w:u w:val="single"/>
            <w:sz w:val="18"/>
            <w:szCs w:val="18"/>
            <w:rFonts w:ascii="Liberation Sans" w:hAnsi="Liberation Sans"/>
          </w:rPr>
          <w:t>[S1]</w:t>
        </w:r>
      </w:hyperlink>
      <w:hyperlink r:id="rId16">
        <w:r>
          <w:rPr>
            <w:color w:val="0563C1"/>
            <w:u w:val="single"/>
            <w:sz w:val="18"/>
            <w:szCs w:val="18"/>
            <w:rFonts w:ascii="Liberation Sans" w:hAnsi="Liberation Sans"/>
          </w:rPr>
          <w:t>[S4]</w:t>
        </w:r>
      </w:hyperlink>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A large share of Czech and Slovak purchase finance is already digital and straight through, so decision changes can affect customers and economics at scale. </w:t>
      </w:r>
      <w:hyperlink r:id="rId17">
        <w:r>
          <w:rPr>
            <w:color w:val="0563C1"/>
            <w:u w:val="single"/>
            <w:sz w:val="18"/>
            <w:szCs w:val="18"/>
            <w:rFonts w:ascii="Liberation Sans" w:hAnsi="Liberation Sans"/>
          </w:rPr>
          <w:t>[S9]</w:t>
        </w:r>
      </w:hyperlink>
      <w:hyperlink r:id="rId22">
        <w:r>
          <w:rPr>
            <w:color w:val="0563C1"/>
            <w:u w:val="single"/>
            <w:sz w:val="18"/>
            <w:szCs w:val="18"/>
            <w:rFonts w:ascii="Liberation Sans" w:hAnsi="Liberation Sans"/>
          </w:rPr>
          <w:t>[S10]</w:t>
        </w:r>
      </w:hyperlink>
    </w:p>
    <w:p>
      <w:pPr>
        <w:pStyle w:val="ListBullet"/>
        <w:widowControl/>
        <w:spacing w:after="60"/>
      </w:pPr>
      <w:r>
        <w:rPr>
          <w:rFonts w:ascii="Liberation Sans" w:hAnsi="Liberation Sans"/>
        </w:rPr>
        <w:t xml:space="preserve">Current public credit quality is stable or improving, which does not support assuming that the primary problem is simply excessive default. </w:t>
      </w:r>
      <w:hyperlink r:id="rId11">
        <w:r>
          <w:rPr>
            <w:color w:val="0563C1"/>
            <w:u w:val="single"/>
            <w:sz w:val="18"/>
            <w:szCs w:val="18"/>
            <w:rFonts w:ascii="Liberation Sans" w:hAnsi="Liberation Sans"/>
          </w:rPr>
          <w:t>[S5]</w:t>
        </w:r>
      </w:hyperlink>
      <w:hyperlink r:id="rId12">
        <w:r>
          <w:rPr>
            <w:color w:val="0563C1"/>
            <w:u w:val="single"/>
            <w:sz w:val="18"/>
            <w:szCs w:val="18"/>
            <w:rFonts w:ascii="Liberation Sans" w:hAnsi="Liberation Sans"/>
          </w:rPr>
          <w:t>[S16]</w:t>
        </w:r>
      </w:hyperlink>
    </w:p>
    <w:p>
      <w:pPr>
        <w:pStyle w:val="ListBullet"/>
        <w:widowControl/>
        <w:spacing w:after="60"/>
      </w:pPr>
      <w:r>
        <w:rPr>
          <w:rFonts w:ascii="Liberation Sans" w:hAnsi="Liberation Sans"/>
        </w:rPr>
        <w:t xml:space="preserve">Growth, access, profitability and responsible treatment can conflict, especially for thin file and underserved customers. </w:t>
      </w:r>
      <w:hyperlink r:id="rId15">
        <w:r>
          <w:rPr>
            <w:color w:val="0563C1"/>
            <w:u w:val="single"/>
            <w:sz w:val="18"/>
            <w:szCs w:val="18"/>
            <w:rFonts w:ascii="Liberation Sans" w:hAnsi="Liberation Sans"/>
          </w:rPr>
          <w:t>[S1]</w:t>
        </w:r>
      </w:hyperlink>
      <w:hyperlink r:id="rId30">
        <w:r>
          <w:rPr>
            <w:color w:val="0563C1"/>
            <w:u w:val="single"/>
            <w:sz w:val="18"/>
            <w:szCs w:val="18"/>
            <w:rFonts w:ascii="Liberation Sans" w:hAnsi="Liberation Sans"/>
          </w:rPr>
          <w:t>[S14]</w:t>
        </w:r>
      </w:hyperlink>
      <w:hyperlink r:id="rId27">
        <w:r>
          <w:rPr>
            <w:color w:val="0563C1"/>
            <w:u w:val="single"/>
            <w:sz w:val="18"/>
            <w:szCs w:val="18"/>
            <w:rFonts w:ascii="Liberation Sans" w:hAnsi="Liberation Sans"/>
          </w:rPr>
          <w:t>[S19]</w:t>
        </w:r>
      </w:hyperlink>
    </w:p>
    <w:p>
      <w:pPr>
        <w:pStyle w:val="ListBullet"/>
        <w:widowControl/>
        <w:spacing w:after="60"/>
      </w:pPr>
      <w:r>
        <w:rPr>
          <w:rFonts w:ascii="Liberation Sans" w:hAnsi="Liberation Sans"/>
        </w:rPr>
        <w:t xml:space="preserve">EU rules increase the importance of human review, clear explanations and governance for automated creditworthiness assessment. </w:t>
      </w:r>
      <w:hyperlink r:id="rId23">
        <w:r>
          <w:rPr>
            <w:color w:val="0563C1"/>
            <w:u w:val="single"/>
            <w:sz w:val="18"/>
            <w:szCs w:val="18"/>
            <w:rFonts w:ascii="Liberation Sans" w:hAnsi="Liberation Sans"/>
          </w:rPr>
          <w:t>[S23]</w:t>
        </w:r>
      </w:hyperlink>
      <w:hyperlink r:id="rId24">
        <w:r>
          <w:rPr>
            <w:color w:val="0563C1"/>
            <w:u w:val="single"/>
            <w:sz w:val="18"/>
            <w:szCs w:val="18"/>
            <w:rFonts w:ascii="Liberation Sans" w:hAnsi="Liberation Sans"/>
          </w:rPr>
          <w:t>[S24]</w:t>
        </w:r>
      </w:hyperlink>
    </w:p>
    <w:p>
      <w:pPr>
        <w:pStyle w:val="Heading2"/>
        <w:keepLines w:val="0"/>
        <w:widowControl/>
      </w:pPr>
      <w:r>
        <w:rPr>
          <w:rFonts w:ascii="Liberation Sans" w:hAnsi="Liberation Sans"/>
        </w:rPr>
        <w:t>Recommended statement</w:t>
      </w:r>
    </w:p>
    <w:p>
      <w:pPr>
        <w:keepLines w:val="0"/>
        <w:widowControl/>
      </w:pPr>
      <w:r>
        <w:rPr>
          <w:rFonts w:ascii="Liberation Sans" w:hAnsi="Liberation Sans"/>
        </w:rPr>
        <w:t>Home Credit should improve its application time credit decision strategy so that it approves more economically viable and affordable customers likely to repay, and chooses an appropriate amount, price and term, while keeping expected credit loss, fraud, capital use, fairness, explanation quality, privacy and decision latency within agreed limits.</w:t>
      </w:r>
    </w:p>
    <w:p>
      <w:pPr>
        <w:pStyle w:val="Heading2"/>
        <w:keepLines w:val="0"/>
        <w:widowControl/>
      </w:pPr>
      <w:r>
        <w:rPr>
          <w:rFonts w:ascii="Liberation Sans" w:hAnsi="Liberation Sans"/>
        </w:rPr>
        <w:t>Why this statement is defensible</w:t>
      </w:r>
    </w:p>
    <w:p>
      <w:pPr>
        <w:pStyle w:val="ListBullet"/>
        <w:widowControl/>
        <w:spacing w:after="60"/>
      </w:pPr>
      <w:r>
        <w:rPr>
          <w:rFonts w:ascii="Liberation Sans" w:hAnsi="Liberation Sans"/>
        </w:rPr>
        <w:t xml:space="preserve">It matches the disclosed decision: eligibility and price based on risk and profitability. </w:t>
      </w:r>
      <w:hyperlink r:id="rId11">
        <w:r>
          <w:rPr>
            <w:color w:val="0563C1"/>
            <w:u w:val="single"/>
            <w:sz w:val="18"/>
            <w:szCs w:val="18"/>
            <w:rFonts w:ascii="Liberation Sans" w:hAnsi="Liberation Sans"/>
          </w:rPr>
          <w:t>[S5]</w:t>
        </w:r>
      </w:hyperlink>
    </w:p>
    <w:p>
      <w:pPr>
        <w:pStyle w:val="ListBullet"/>
        <w:widowControl/>
        <w:spacing w:after="60"/>
      </w:pPr>
      <w:r>
        <w:rPr>
          <w:rFonts w:ascii="Liberation Sans" w:hAnsi="Liberation Sans"/>
        </w:rPr>
        <w:t xml:space="preserve">It treats good customers who would otherwise be rejected as a value and inclusion loss, consistent with Home Credit positioning toward thin file and underserved borrowers. </w:t>
      </w:r>
      <w:hyperlink r:id="rId15">
        <w:r>
          <w:rPr>
            <w:color w:val="0563C1"/>
            <w:u w:val="single"/>
            <w:sz w:val="18"/>
            <w:szCs w:val="18"/>
            <w:rFonts w:ascii="Liberation Sans" w:hAnsi="Liberation Sans"/>
          </w:rPr>
          <w:t>[S1]</w:t>
        </w:r>
      </w:hyperlink>
      <w:hyperlink r:id="rId16">
        <w:r>
          <w:rPr>
            <w:color w:val="0563C1"/>
            <w:u w:val="single"/>
            <w:sz w:val="18"/>
            <w:szCs w:val="18"/>
            <w:rFonts w:ascii="Liberation Sans" w:hAnsi="Liberation Sans"/>
          </w:rPr>
          <w:t>[S4]</w:t>
        </w:r>
      </w:hyperlink>
    </w:p>
    <w:p>
      <w:pPr>
        <w:pStyle w:val="ListBullet"/>
        <w:widowControl/>
        <w:spacing w:after="60"/>
      </w:pPr>
      <w:r>
        <w:rPr>
          <w:rFonts w:ascii="Liberation Sans" w:hAnsi="Liberation Sans"/>
        </w:rPr>
        <w:t xml:space="preserve">It does not invent a current crisis. The strongest public credit quality evidence is favorable. </w:t>
      </w:r>
      <w:hyperlink r:id="rId11">
        <w:r>
          <w:rPr>
            <w:color w:val="0563C1"/>
            <w:u w:val="single"/>
            <w:sz w:val="18"/>
            <w:szCs w:val="18"/>
            <w:rFonts w:ascii="Liberation Sans" w:hAnsi="Liberation Sans"/>
          </w:rPr>
          <w:t>[S5]</w:t>
        </w:r>
      </w:hyperlink>
      <w:hyperlink r:id="rId12">
        <w:r>
          <w:rPr>
            <w:color w:val="0563C1"/>
            <w:u w:val="single"/>
            <w:sz w:val="18"/>
            <w:szCs w:val="18"/>
            <w:rFonts w:ascii="Liberation Sans" w:hAnsi="Liberation Sans"/>
          </w:rPr>
          <w:t>[S16]</w:t>
        </w:r>
      </w:hyperlink>
    </w:p>
    <w:p>
      <w:pPr>
        <w:pStyle w:val="ListBullet"/>
        <w:widowControl/>
        <w:spacing w:after="60"/>
      </w:pPr>
      <w:r>
        <w:rPr>
          <w:rFonts w:ascii="Liberation Sans" w:hAnsi="Liberation Sans"/>
        </w:rPr>
        <w:t xml:space="preserve">It makes regulatory and customer constraints part of the objective rather than an afterthought. </w:t>
      </w:r>
      <w:hyperlink r:id="rId33">
        <w:r>
          <w:rPr>
            <w:color w:val="0563C1"/>
            <w:u w:val="single"/>
            <w:sz w:val="18"/>
            <w:szCs w:val="18"/>
            <w:rFonts w:ascii="Liberation Sans" w:hAnsi="Liberation Sans"/>
          </w:rPr>
          <w:t>[S20]</w:t>
        </w:r>
      </w:hyperlink>
      <w:hyperlink r:id="rId29">
        <w:r>
          <w:rPr>
            <w:color w:val="0563C1"/>
            <w:u w:val="single"/>
            <w:sz w:val="18"/>
            <w:szCs w:val="18"/>
            <w:rFonts w:ascii="Liberation Sans" w:hAnsi="Liberation Sans"/>
          </w:rPr>
          <w:t>[S22]</w:t>
        </w:r>
      </w:hyperlink>
      <w:hyperlink r:id="rId23">
        <w:r>
          <w:rPr>
            <w:color w:val="0563C1"/>
            <w:u w:val="single"/>
            <w:sz w:val="18"/>
            <w:szCs w:val="18"/>
            <w:rFonts w:ascii="Liberation Sans" w:hAnsi="Liberation Sans"/>
          </w:rPr>
          <w:t>[S23]</w:t>
        </w:r>
      </w:hyperlink>
      <w:hyperlink r:id="rId24">
        <w:r>
          <w:rPr>
            <w:color w:val="0563C1"/>
            <w:u w:val="single"/>
            <w:sz w:val="18"/>
            <w:szCs w:val="18"/>
            <w:rFonts w:ascii="Liberation Sans" w:hAnsi="Liberation Sans"/>
          </w:rPr>
          <w:t>[S24]</w:t>
        </w:r>
      </w:hyperlink>
      <w:hyperlink r:id="rId40">
        <w:r>
          <w:rPr>
            <w:color w:val="0563C1"/>
            <w:u w:val="single"/>
            <w:sz w:val="18"/>
            <w:szCs w:val="18"/>
            <w:rFonts w:ascii="Liberation Sans" w:hAnsi="Liberation Sans"/>
          </w:rPr>
          <w:t>[S26]</w:t>
        </w:r>
      </w:hyperlink>
    </w:p>
    <w:p>
      <w:pPr>
        <w:pStyle w:val="Heading2"/>
        <w:keepLines w:val="0"/>
        <w:widowControl/>
      </w:pPr>
      <w:r>
        <w:rPr>
          <w:rFonts w:ascii="Liberation Sans" w:hAnsi="Liberation Sans"/>
        </w:rPr>
        <w:t>Decision objective and guardrails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Element</w:t>
            </w:r>
          </w:p>
        </w:tc>
        <w:tc>
          <w:tcPr>
            <w:tcW w:type="dxa" w:w="770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Definition</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Decision unit</w:t>
            </w:r>
          </w:p>
        </w:tc>
        <w:tc>
          <w:tcPr>
            <w:tcW w:type="dxa" w:w="77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One application and the set of feasible approve, review or decline actions with amount, term and price options.</w:t>
            </w:r>
          </w:p>
        </w:tc>
      </w:tr>
      <w:tr>
        <w:trPr>
          <w:cantSplit/>
        </w:trPr>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Primary objective</w:t>
            </w:r>
          </w:p>
        </w:tc>
        <w:tc>
          <w:tcPr>
            <w:tcW w:type="dxa" w:w="77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Maximize expected risk adjusted contribution per application and total portfolio contribution over a defined horizon.</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Credit guardrails</w:t>
            </w:r>
          </w:p>
        </w:tc>
        <w:tc>
          <w:tcPr>
            <w:tcW w:type="dxa" w:w="77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Expected loss, cohort bad rate, delinquency, NPL, write off, concentration and stress limits.</w:t>
            </w:r>
          </w:p>
        </w:tc>
      </w:tr>
      <w:tr>
        <w:trPr>
          <w:cantSplit/>
        </w:trPr>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Customer guardrails</w:t>
            </w:r>
          </w:p>
        </w:tc>
        <w:tc>
          <w:tcPr>
            <w:tcW w:type="dxa" w:w="77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Affordability, payment burden, completion time, clear reasons, review access, complaint severity and hardship outcomes.</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Fairness guardrails</w:t>
            </w:r>
          </w:p>
        </w:tc>
        <w:tc>
          <w:tcPr>
            <w:tcW w:type="dxa" w:w="77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Outcome and error gaps, price and limit disparities, explanation stability and lawful protected group testing.</w:t>
            </w:r>
          </w:p>
        </w:tc>
      </w:tr>
      <w:tr>
        <w:trPr>
          <w:cantSplit/>
        </w:trPr>
        <w:tc>
          <w:tcPr>
            <w:tcW w:type="dxa" w:w="237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Operational guardrails</w:t>
            </w:r>
          </w:p>
        </w:tc>
        <w:tc>
          <w:tcPr>
            <w:tcW w:type="dxa" w:w="77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Decision latency, manual review capacity, source availability, override rate and rollback readiness.</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Financial guardrails</w:t>
            </w:r>
          </w:p>
        </w:tc>
        <w:tc>
          <w:tcPr>
            <w:tcW w:type="dxa" w:w="77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Funding cost, capital consumption, liquidity, acquisition cost and minimum contribution.</w:t>
            </w:r>
          </w:p>
        </w:tc>
      </w:tr>
    </w:tbl>
    <w:p>
      <w:pPr>
        <w:widowControl/>
        <w:spacing w:after="20"/>
      </w:pPr>
    </w:p>
    <w:p>
      <w:pPr>
        <w:pStyle w:val="Heading2"/>
        <w:keepLines w:val="0"/>
        <w:widowControl/>
      </w:pPr>
      <w:r>
        <w:rPr>
          <w:rFonts w:ascii="Liberation Sans" w:hAnsi="Liberation Sans"/>
        </w:rPr>
        <w:t>Alternative problem statements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Candidate</w:t>
            </w:r>
          </w:p>
        </w:tc>
        <w:tc>
          <w:tcPr>
            <w:tcW w:type="dxa" w:w="165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Evidence fit</w:t>
            </w:r>
          </w:p>
        </w:tc>
        <w:tc>
          <w:tcPr>
            <w:tcW w:type="dxa" w:w="590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7"/>
              </w:rPr>
              <w:t>Use only if internal evidence confirms</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Application funnel completion</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Medium</w:t>
            </w:r>
          </w:p>
        </w:tc>
        <w:tc>
          <w:tcPr>
            <w:tcW w:type="dxa" w:w="59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Material abandonment or verification failure among otherwise viable applicants.</w:t>
            </w:r>
          </w:p>
        </w:tc>
      </w:tr>
      <w:tr>
        <w:trPr>
          <w:cantSplit/>
        </w:trPr>
        <w:tc>
          <w:tcPr>
            <w:tcW w:type="dxa" w:w="25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Early arrears intervention</w:t>
            </w:r>
          </w:p>
        </w:tc>
        <w:tc>
          <w:tcPr>
            <w:tcW w:type="dxa" w:w="165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Medium</w:t>
            </w:r>
          </w:p>
        </w:tc>
        <w:tc>
          <w:tcPr>
            <w:tcW w:type="dxa" w:w="59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Avoidable missed payments and measurable treatment differences in cure or loss.</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Fraud referral optimization</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Medium</w:t>
            </w:r>
          </w:p>
        </w:tc>
        <w:tc>
          <w:tcPr>
            <w:tcW w:type="dxa" w:w="59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High false positive cost or rising fraud concentrated in identifiable channels.</w:t>
            </w:r>
          </w:p>
        </w:tc>
      </w:tr>
      <w:tr>
        <w:trPr>
          <w:cantSplit/>
        </w:trPr>
        <w:tc>
          <w:tcPr>
            <w:tcW w:type="dxa" w:w="2520"/>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Customer next best product</w:t>
            </w:r>
          </w:p>
        </w:tc>
        <w:tc>
          <w:tcPr>
            <w:tcW w:type="dxa" w:w="165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Medium to low</w:t>
            </w:r>
          </w:p>
        </w:tc>
        <w:tc>
          <w:tcPr>
            <w:tcW w:type="dxa" w:w="590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Strong retention economics and robust suitability controls.</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Reduce defaults</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Low as a standalone claim</w:t>
            </w:r>
          </w:p>
        </w:tc>
        <w:tc>
          <w:tcPr>
            <w:tcW w:type="dxa" w:w="590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7"/>
              </w:rPr>
              <w:t>A specific product or cohort has deteriorated despite favorable public aggregate figures.</w:t>
            </w:r>
          </w:p>
        </w:tc>
      </w:tr>
    </w:tbl>
    <w:p>
      <w:pPr>
        <w:widowControl/>
        <w:spacing w:after="20"/>
      </w:pPr>
    </w:p>
    <w:p>
      <w:pPr>
        <w:widowControl/>
      </w:pPr>
      <w:r>
        <w:rPr>
          <w:rFonts w:ascii="Liberation Sans" w:hAnsi="Liberation Sans"/>
        </w:rPr>
        <w:br w:type="page"/>
      </w:r>
    </w:p>
    <w:p>
      <w:pPr>
        <w:pStyle w:val="Heading1"/>
        <w:keepLines w:val="0"/>
        <w:widowControl/>
      </w:pPr>
      <w:r>
        <w:rPr>
          <w:rFonts w:ascii="Liberation Sans" w:hAnsi="Liberation Sans"/>
        </w:rPr>
        <w:t>12 Validation plan and internal research agenda</w:t>
      </w:r>
    </w:p>
    <w:p>
      <w:pPr>
        <w:pStyle w:val="Heading2"/>
        <w:keepLines w:val="0"/>
        <w:widowControl/>
      </w:pPr>
      <w:r>
        <w:rPr>
          <w:rFonts w:ascii="Liberation Sans" w:hAnsi="Liberation Sans"/>
        </w:rPr>
        <w:t>First thirty days</w:t>
      </w:r>
    </w:p>
    <w:p>
      <w:pPr>
        <w:pStyle w:val="ListBullet"/>
        <w:widowControl/>
        <w:spacing w:after="60"/>
      </w:pPr>
      <w:r>
        <w:rPr>
          <w:rFonts w:ascii="Liberation Sans" w:hAnsi="Liberation Sans"/>
        </w:rPr>
        <w:t xml:space="preserve">Choose one legal entity, product, channel and decision point. Recommended starting scope is one high volume purchase finance flow in either Czech Republic or Slovakia because current digital automation is documented. </w:t>
      </w:r>
      <w:hyperlink r:id="rId17">
        <w:r>
          <w:rPr>
            <w:color w:val="0563C1"/>
            <w:u w:val="single"/>
            <w:sz w:val="18"/>
            <w:szCs w:val="18"/>
            <w:rFonts w:ascii="Liberation Sans" w:hAnsi="Liberation Sans"/>
          </w:rPr>
          <w:t>[S9]</w:t>
        </w:r>
      </w:hyperlink>
    </w:p>
    <w:p>
      <w:pPr>
        <w:pStyle w:val="ListBullet"/>
        <w:widowControl/>
        <w:spacing w:after="60"/>
      </w:pPr>
      <w:r>
        <w:rPr>
          <w:rFonts w:ascii="Liberation Sans" w:hAnsi="Liberation Sans"/>
        </w:rPr>
        <w:t>Reconcile a twelve to twenty four month application level data mart from application through repayment, collections, complaint and finance outcomes.</w:t>
      </w:r>
    </w:p>
    <w:p>
      <w:pPr>
        <w:pStyle w:val="ListBullet"/>
        <w:widowControl/>
        <w:spacing w:after="60"/>
      </w:pPr>
      <w:r>
        <w:rPr>
          <w:rFonts w:ascii="Liberation Sans" w:hAnsi="Liberation Sans"/>
        </w:rPr>
        <w:t>Document the current policy tree, scorecards, manual review, affordability rules, fraud rules, reasons, overrides and known exceptions.</w:t>
      </w:r>
    </w:p>
    <w:p>
      <w:pPr>
        <w:pStyle w:val="ListBullet"/>
        <w:widowControl/>
        <w:spacing w:after="60"/>
      </w:pPr>
      <w:r>
        <w:rPr>
          <w:rFonts w:ascii="Liberation Sans" w:hAnsi="Liberation Sans"/>
        </w:rPr>
        <w:t>Build a finance approved unit economics model and stress it for funding cost, loss severity, take up and collections cost.</w:t>
      </w:r>
    </w:p>
    <w:p>
      <w:pPr>
        <w:pStyle w:val="ListBullet"/>
        <w:widowControl/>
        <w:spacing w:after="60"/>
      </w:pPr>
      <w:r>
        <w:rPr>
          <w:rFonts w:ascii="Liberation Sans" w:hAnsi="Liberation Sans"/>
        </w:rPr>
        <w:t>Complete privacy, consumer credit, model risk and fairness scoping before feature development.</w:t>
      </w:r>
    </w:p>
    <w:p>
      <w:pPr>
        <w:pStyle w:val="Heading2"/>
        <w:keepLines w:val="0"/>
        <w:widowControl/>
      </w:pPr>
      <w:r>
        <w:rPr>
          <w:rFonts w:ascii="Liberation Sans" w:hAnsi="Liberation Sans"/>
        </w:rPr>
        <w:t>Days thirty one to sixty</w:t>
      </w:r>
    </w:p>
    <w:p>
      <w:pPr>
        <w:pStyle w:val="ListBullet"/>
        <w:widowControl/>
        <w:spacing w:after="60"/>
      </w:pPr>
      <w:r>
        <w:rPr>
          <w:rFonts w:ascii="Liberation Sans" w:hAnsi="Liberation Sans"/>
        </w:rPr>
        <w:t>Create time based benchmark models for default, take up, fraud and contribution, then compare them with current production decisions.</w:t>
      </w:r>
    </w:p>
    <w:p>
      <w:pPr>
        <w:pStyle w:val="ListBullet"/>
        <w:widowControl/>
        <w:spacing w:after="60"/>
      </w:pPr>
      <w:r>
        <w:rPr>
          <w:rFonts w:ascii="Liberation Sans" w:hAnsi="Liberation Sans"/>
        </w:rPr>
        <w:t>Estimate policy frontiers showing profit, approval, loss, affordability and fairness tradeoffs rather than selecting one score threshold in isolation.</w:t>
      </w:r>
    </w:p>
    <w:p>
      <w:pPr>
        <w:pStyle w:val="ListBullet"/>
        <w:widowControl/>
        <w:spacing w:after="60"/>
      </w:pPr>
      <w:r>
        <w:rPr>
          <w:rFonts w:ascii="Liberation Sans" w:hAnsi="Liberation Sans"/>
        </w:rPr>
        <w:t>Investigate rejected and abandoned applicant outcomes through lawful bureau follow up, controlled exploration or carefully bounded reject inference.</w:t>
      </w:r>
    </w:p>
    <w:p>
      <w:pPr>
        <w:pStyle w:val="ListBullet"/>
        <w:widowControl/>
        <w:spacing w:after="60"/>
      </w:pPr>
      <w:r>
        <w:rPr>
          <w:rFonts w:ascii="Liberation Sans" w:hAnsi="Liberation Sans"/>
        </w:rPr>
        <w:t>Design reason codes and human review workflow with customer care and compliance, then test comprehension with customers.</w:t>
      </w:r>
    </w:p>
    <w:p>
      <w:pPr>
        <w:pStyle w:val="Heading2"/>
        <w:keepLines w:val="0"/>
        <w:widowControl/>
      </w:pPr>
      <w:r>
        <w:rPr>
          <w:rFonts w:ascii="Liberation Sans" w:hAnsi="Liberation Sans"/>
        </w:rPr>
        <w:t>Days sixty one to ninety</w:t>
      </w:r>
    </w:p>
    <w:p>
      <w:pPr>
        <w:pStyle w:val="ListBullet"/>
        <w:widowControl/>
        <w:spacing w:after="60"/>
      </w:pPr>
      <w:r>
        <w:rPr>
          <w:rFonts w:ascii="Liberation Sans" w:hAnsi="Liberation Sans"/>
        </w:rPr>
        <w:t>Run a shadow decision test with no customer impact and reconcile predicted with realized operational actions.</w:t>
      </w:r>
    </w:p>
    <w:p>
      <w:pPr>
        <w:pStyle w:val="ListBullet"/>
        <w:widowControl/>
        <w:spacing w:after="60"/>
      </w:pPr>
      <w:r>
        <w:rPr>
          <w:rFonts w:ascii="Liberation Sans" w:hAnsi="Liberation Sans"/>
        </w:rPr>
        <w:t>If gates pass, launch a small randomized or champion challenger test with hard risk, fairness and operational stop rules.</w:t>
      </w:r>
    </w:p>
    <w:p>
      <w:pPr>
        <w:pStyle w:val="ListBullet"/>
        <w:widowControl/>
        <w:spacing w:after="60"/>
      </w:pPr>
      <w:r>
        <w:rPr>
          <w:rFonts w:ascii="Liberation Sans" w:hAnsi="Liberation Sans"/>
        </w:rPr>
        <w:t>Monitor approvals, booked volume, contribution, delinquency, complaints, manual review and protected outcome measures together.</w:t>
      </w:r>
    </w:p>
    <w:p>
      <w:pPr>
        <w:pStyle w:val="Heading2"/>
        <w:keepLines w:val="0"/>
        <w:widowControl/>
      </w:pPr>
      <w:r>
        <w:rPr>
          <w:rFonts w:ascii="Liberation Sans" w:hAnsi="Liberation Sans"/>
        </w:rPr>
        <w:t>Internal questions that must be answered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Domain</w:t>
            </w:r>
          </w:p>
        </w:tc>
        <w:tc>
          <w:tcPr>
            <w:tcW w:type="dxa" w:w="813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jc w:val="center"/>
            </w:pPr>
            <w:r>
              <w:rPr>
                <w:rFonts w:ascii="Liberation Sans" w:hAnsi="Liberation Sans"/>
                <w:b/>
                <w:color w:val="FFFFFF"/>
                <w:sz w:val="16"/>
              </w:rPr>
              <w:t>Questions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Scope and economics</w:t>
            </w:r>
          </w:p>
        </w:tc>
        <w:tc>
          <w:tcPr>
            <w:tcW w:type="dxa" w:w="813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Which product and market has the largest decision value? What is contribution by application and account? What horizon and capital charge are used?</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Funnel</w:t>
            </w:r>
          </w:p>
        </w:tc>
        <w:tc>
          <w:tcPr>
            <w:tcW w:type="dxa" w:w="813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How many applications start, complete, approve, decline, refer, take up and fund? Where do customers exit and why?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Risk</w:t>
            </w:r>
          </w:p>
        </w:tc>
        <w:tc>
          <w:tcPr>
            <w:tcW w:type="dxa" w:w="813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What are bad rate, loss, fraud and recovery by score, cohort, product, partner and channel? Which policy rules bind most often?</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Rejects</w:t>
            </w:r>
          </w:p>
        </w:tc>
        <w:tc>
          <w:tcPr>
            <w:tcW w:type="dxa" w:w="813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What outcomes are observable after decline? Can controlled offers or bureau follow up identify false declines lawfully?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Customer</w:t>
            </w:r>
          </w:p>
        </w:tc>
        <w:tc>
          <w:tcPr>
            <w:tcW w:type="dxa" w:w="813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What are the top complaint and contact reasons? Which decisions are appealed and overturned? What predicts hardship and cure?</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Fairness and privacy</w:t>
            </w:r>
          </w:p>
        </w:tc>
        <w:tc>
          <w:tcPr>
            <w:tcW w:type="dxa" w:w="813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Which fields are permitted for each purpose? Which groups and proxies require testing? How is human review delivered and measured?</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Operations</w:t>
            </w:r>
          </w:p>
        </w:tc>
        <w:tc>
          <w:tcPr>
            <w:tcW w:type="dxa" w:w="8136"/>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What are latency, failure, retry and manual review rates by source and step? What capacity limits prevent policy changes?</w:t>
            </w:r>
          </w:p>
        </w:tc>
      </w:tr>
      <w:tr>
        <w:trPr>
          <w:cantSplit/>
        </w:trPr>
        <w:tc>
          <w:tcPr>
            <w:tcW w:type="dxa" w:w="1944"/>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Governance</w:t>
            </w:r>
          </w:p>
        </w:tc>
        <w:tc>
          <w:tcPr>
            <w:tcW w:type="dxa" w:w="8136"/>
            <w:shd w:fill="F5F7FA"/>
            <w:tcBorders>
              <w:top w:val="single" w:sz="5" w:color="D9D9D9"/>
              <w:left w:val="single" w:sz="5" w:color="D9D9D9"/>
              <w:bottom w:val="single" w:sz="5" w:color="D9D9D9"/>
              <w:right w:val="single" w:sz="5" w:color="D9D9D9"/>
              <w:insideH w:val="single" w:sz="5" w:color="D9D9D9"/>
              <w:insideV w:val="single" w:sz="5" w:color="D9D9D9"/>
            </w:tcBorders>
            <w:tcMar>
              <w:top w:w="90" w:type="dxa"/>
              <w:start w:w="90" w:type="dxa"/>
              <w:bottom w:w="90" w:type="dxa"/>
              <w:end w:w="90" w:type="dxa"/>
            </w:tcMar>
            <w:vAlign w:val="center"/>
          </w:tcPr>
          <w:p>
            <w:pPr>
              <w:widowControl/>
              <w:spacing w:after="0" w:line="245" w:lineRule="auto"/>
            </w:pPr>
            <w:r>
              <w:rPr>
                <w:rFonts w:ascii="Liberation Sans" w:hAnsi="Liberation Sans"/>
                <w:sz w:val="16"/>
              </w:rPr>
              <w:t>Who owns threshold, pricing and policy changes? What validation, approval, monitoring and rollback evidence is mandatory?</w:t>
            </w:r>
          </w:p>
        </w:tc>
      </w:tr>
    </w:tbl>
    <w:p>
      <w:pPr>
        <w:widowControl/>
        <w:spacing w:after="20"/>
      </w:pPr>
    </w:p>
    <w:p>
      <w:pPr>
        <w:pStyle w:val="Heading2"/>
        <w:keepNext/>
        <w:keepLines w:val="0"/>
        <w:widowControl/>
      </w:pPr>
      <w:r>
        <w:rPr>
          <w:rFonts w:ascii="Liberation Sans" w:hAnsi="Liberation Sans"/>
        </w:rPr>
        <w:t>Go or no go criteria</w:t>
      </w:r>
    </w:p>
    <w:p>
      <w:pPr>
        <w:pStyle w:val="ListBullet"/>
        <w:widowControl/>
        <w:spacing w:after="60"/>
      </w:pPr>
      <w:r>
        <w:rPr>
          <w:rFonts w:ascii="Liberation Sans" w:hAnsi="Liberation Sans"/>
        </w:rPr>
        <w:t>Go when incremental expected value remains positive under conservative loss and funding scenarios, guardrails pass, explanations are faithful, review capacity is funded and the rollout is reversible.</w:t>
      </w:r>
    </w:p>
    <w:p>
      <w:pPr>
        <w:pStyle w:val="ListBullet"/>
        <w:widowControl/>
        <w:spacing w:after="60"/>
      </w:pPr>
      <w:r>
        <w:rPr>
          <w:rFonts w:ascii="Liberation Sans" w:hAnsi="Liberation Sans"/>
        </w:rPr>
        <w:t>No go when value depends on unvalidated reject inference, prohibited or unnecessary data, unstable reasons, unacceptable group disparities, unmanageable manual review, or a model improvement that does not survive time based testing.</w:t>
      </w:r>
    </w:p>
    <w:p>
      <w:pPr>
        <w:pStyle w:val="Heading1"/>
        <w:keepLines w:val="0"/>
        <w:widowControl/>
      </w:pPr>
      <w:r>
        <w:rPr>
          <w:rFonts w:ascii="Liberation Sans" w:hAnsi="Liberation Sans"/>
        </w:rPr>
        <w:t>Source register</w:t>
      </w:r>
    </w:p>
    <w:p>
      <w:pPr>
        <w:pStyle w:val="Smalltext"/>
        <w:keepLines w:val="0"/>
        <w:widowControl/>
      </w:pPr>
      <w:r>
        <w:rPr>
          <w:rFonts w:ascii="Liberation Sans" w:hAnsi="Liberation Sans"/>
        </w:rPr>
        <w:t>Each factual claim in the report carries a clickable source label. The register below provides the full specific URL, source type and date. Company reported metrics should be interpreted as such; audited, official and independent sources are identified separately.</w:t>
      </w:r>
    </w:p>
    <w:p>
      <w:pPr>
        <w:keepLines/>
        <w:widowControl/>
        <w:spacing w:after="20"/>
      </w:pPr>
      <w:r>
        <w:rPr>
          <w:rFonts w:ascii="Liberation Sans" w:hAnsi="Liberation Sans"/>
          <w:b/>
          <w:sz w:val="18"/>
        </w:rPr>
        <w:t>[S1] Home Credit global homepage</w:t>
      </w:r>
    </w:p>
    <w:p>
      <w:pPr>
        <w:pStyle w:val="Smalltext"/>
        <w:keepLines/>
        <w:widowControl/>
        <w:ind w:left="288"/>
      </w:pPr>
      <w:r>
        <w:rPr>
          <w:rFonts w:ascii="Liberation Sans" w:hAnsi="Liberation Sans"/>
        </w:rPr>
        <w:t>Company website | Current page accessed 8 Sep 2026</w:t>
        <w:br/>
      </w:r>
      <w:hyperlink r:id="rId15">
        <w:r>
          <w:rPr>
            <w:color w:val="0563C1"/>
            <w:u w:val="single"/>
            <w:sz w:val="16"/>
            <w:szCs w:val="16"/>
            <w:rFonts w:ascii="Liberation Sans" w:hAnsi="Liberation Sans"/>
          </w:rPr>
          <w:t>https://www.homecredit.net/</w:t>
        </w:r>
      </w:hyperlink>
    </w:p>
    <w:p>
      <w:pPr>
        <w:keepLines/>
        <w:widowControl/>
        <w:spacing w:after="20"/>
      </w:pPr>
      <w:r>
        <w:rPr>
          <w:rFonts w:ascii="Liberation Sans" w:hAnsi="Liberation Sans"/>
          <w:b/>
          <w:sz w:val="18"/>
        </w:rPr>
        <w:t>[S2] Home Credit contacts and market websites</w:t>
      </w:r>
    </w:p>
    <w:p>
      <w:pPr>
        <w:pStyle w:val="Smalltext"/>
        <w:keepLines/>
        <w:widowControl/>
        <w:ind w:left="288"/>
      </w:pPr>
      <w:r>
        <w:rPr>
          <w:rFonts w:ascii="Liberation Sans" w:hAnsi="Liberation Sans"/>
        </w:rPr>
        <w:t>Company website | Current page accessed 8 Sep 2026</w:t>
        <w:br/>
      </w:r>
      <w:hyperlink r:id="rId13">
        <w:r>
          <w:rPr>
            <w:color w:val="0563C1"/>
            <w:u w:val="single"/>
            <w:sz w:val="16"/>
            <w:szCs w:val="16"/>
            <w:rFonts w:ascii="Liberation Sans" w:hAnsi="Liberation Sans"/>
          </w:rPr>
          <w:t>https://www.homecredit.net/contacts.aspx/</w:t>
        </w:r>
      </w:hyperlink>
    </w:p>
    <w:p>
      <w:pPr>
        <w:keepLines/>
        <w:widowControl/>
        <w:spacing w:after="20"/>
      </w:pPr>
      <w:r>
        <w:rPr>
          <w:rFonts w:ascii="Liberation Sans" w:hAnsi="Liberation Sans"/>
          <w:b/>
          <w:sz w:val="18"/>
        </w:rPr>
        <w:t>[S3] Home Credit corporate structure and governance</w:t>
      </w:r>
    </w:p>
    <w:p>
      <w:pPr>
        <w:pStyle w:val="Smalltext"/>
        <w:keepLines/>
        <w:widowControl/>
        <w:ind w:left="288"/>
      </w:pPr>
      <w:r>
        <w:rPr>
          <w:rFonts w:ascii="Liberation Sans" w:hAnsi="Liberation Sans"/>
        </w:rPr>
        <w:t>Company website | Structure dated 24 Oct 2025; accessed 8 Sep 2026</w:t>
        <w:br/>
      </w:r>
      <w:hyperlink r:id="rId14">
        <w:r>
          <w:rPr>
            <w:color w:val="0563C1"/>
            <w:u w:val="single"/>
            <w:sz w:val="16"/>
            <w:szCs w:val="16"/>
            <w:rFonts w:ascii="Liberation Sans" w:hAnsi="Liberation Sans"/>
          </w:rPr>
          <w:t>https://www.homecredit.net/corporate-structure/</w:t>
        </w:r>
      </w:hyperlink>
    </w:p>
    <w:p>
      <w:pPr>
        <w:keepLines/>
        <w:widowControl/>
        <w:spacing w:after="20"/>
      </w:pPr>
      <w:r>
        <w:rPr>
          <w:rFonts w:ascii="Liberation Sans" w:hAnsi="Liberation Sans"/>
          <w:b/>
          <w:sz w:val="18"/>
        </w:rPr>
        <w:t>[S4] PPF Group Home Credit company profile</w:t>
      </w:r>
    </w:p>
    <w:p>
      <w:pPr>
        <w:pStyle w:val="Smalltext"/>
        <w:keepLines/>
        <w:widowControl/>
        <w:ind w:left="288"/>
      </w:pPr>
      <w:r>
        <w:rPr>
          <w:rFonts w:ascii="Liberation Sans" w:hAnsi="Liberation Sans"/>
        </w:rPr>
        <w:t>Parent company website | Current page accessed 8 Sep 2026</w:t>
        <w:br/>
      </w:r>
      <w:hyperlink r:id="rId16">
        <w:r>
          <w:rPr>
            <w:color w:val="0563C1"/>
            <w:u w:val="single"/>
            <w:sz w:val="16"/>
            <w:szCs w:val="16"/>
            <w:rFonts w:ascii="Liberation Sans" w:hAnsi="Liberation Sans"/>
          </w:rPr>
          <w:t>https://www.ppf.eu/en/our-companies/home-credit?title=Home+Credit</w:t>
        </w:r>
      </w:hyperlink>
    </w:p>
    <w:p>
      <w:pPr>
        <w:keepLines/>
        <w:widowControl/>
        <w:spacing w:after="20"/>
      </w:pPr>
      <w:r>
        <w:rPr>
          <w:rFonts w:ascii="Liberation Sans" w:hAnsi="Liberation Sans"/>
          <w:b/>
          <w:sz w:val="18"/>
        </w:rPr>
        <w:t>[S5] PPF Financial Holdings Annual Report 2025</w:t>
      </w:r>
    </w:p>
    <w:p>
      <w:pPr>
        <w:pStyle w:val="Smalltext"/>
        <w:keepLines/>
        <w:widowControl/>
        <w:ind w:left="288"/>
      </w:pPr>
      <w:r>
        <w:rPr>
          <w:rFonts w:ascii="Liberation Sans" w:hAnsi="Liberation Sans"/>
        </w:rPr>
        <w:t>Audited parent financial report | Year ended 31 Dec 2025</w:t>
        <w:br/>
      </w:r>
      <w:hyperlink r:id="rId11">
        <w:r>
          <w:rPr>
            <w:color w:val="0563C1"/>
            <w:u w:val="single"/>
            <w:sz w:val="16"/>
            <w:szCs w:val="16"/>
            <w:rFonts w:ascii="Liberation Sans" w:hAnsi="Liberation Sans"/>
          </w:rPr>
          <w:t>https://www.datocms-assets.com/40359/1782820474-ppf-financial-holdings-a-s-vyrocni_zprava_2025_signed.pdf</w:t>
        </w:r>
      </w:hyperlink>
    </w:p>
    <w:p>
      <w:pPr>
        <w:keepLines/>
        <w:widowControl/>
        <w:spacing w:after="20"/>
      </w:pPr>
      <w:r>
        <w:rPr>
          <w:rFonts w:ascii="Liberation Sans" w:hAnsi="Liberation Sans"/>
          <w:b/>
          <w:sz w:val="18"/>
        </w:rPr>
        <w:t>[S6] Termination of transaction for sale of Home Credit Vietnam</w:t>
      </w:r>
    </w:p>
    <w:p>
      <w:pPr>
        <w:pStyle w:val="Smalltext"/>
        <w:keepLines/>
        <w:widowControl/>
        <w:ind w:left="288"/>
      </w:pPr>
      <w:r>
        <w:rPr>
          <w:rFonts w:ascii="Liberation Sans" w:hAnsi="Liberation Sans"/>
        </w:rPr>
        <w:t>Company release | 26 Mar 2026</w:t>
        <w:br/>
      </w:r>
      <w:hyperlink r:id="rId21">
        <w:r>
          <w:rPr>
            <w:color w:val="0563C1"/>
            <w:u w:val="single"/>
            <w:sz w:val="16"/>
            <w:szCs w:val="16"/>
            <w:rFonts w:ascii="Liberation Sans" w:hAnsi="Liberation Sans"/>
          </w:rPr>
          <w:t>https://www.homecredit.net/2026/03/26/1758/</w:t>
        </w:r>
      </w:hyperlink>
    </w:p>
    <w:p>
      <w:pPr>
        <w:keepLines/>
        <w:widowControl/>
        <w:spacing w:after="20"/>
      </w:pPr>
      <w:r>
        <w:rPr>
          <w:rFonts w:ascii="Liberation Sans" w:hAnsi="Liberation Sans"/>
          <w:b/>
          <w:sz w:val="18"/>
        </w:rPr>
        <w:t>[S7] Sale of Home Credit Bank Kazakhstan finalised</w:t>
      </w:r>
    </w:p>
    <w:p>
      <w:pPr>
        <w:pStyle w:val="Smalltext"/>
        <w:keepLines/>
        <w:widowControl/>
        <w:ind w:left="288"/>
      </w:pPr>
      <w:r>
        <w:rPr>
          <w:rFonts w:ascii="Liberation Sans" w:hAnsi="Liberation Sans"/>
        </w:rPr>
        <w:t>Company release | 30 Dec 2025</w:t>
        <w:br/>
      </w:r>
      <w:hyperlink r:id="rId25">
        <w:r>
          <w:rPr>
            <w:color w:val="0563C1"/>
            <w:u w:val="single"/>
            <w:sz w:val="16"/>
            <w:szCs w:val="16"/>
            <w:rFonts w:ascii="Liberation Sans" w:hAnsi="Liberation Sans"/>
          </w:rPr>
          <w:t>https://www.homecredit.net/2025/12/30/sale-of-home-credit-bank-kazakhstan-finalised/</w:t>
        </w:r>
      </w:hyperlink>
    </w:p>
    <w:p>
      <w:pPr>
        <w:keepLines/>
        <w:widowControl/>
        <w:spacing w:after="20"/>
      </w:pPr>
      <w:r>
        <w:rPr>
          <w:rFonts w:ascii="Liberation Sans" w:hAnsi="Liberation Sans"/>
          <w:b/>
          <w:sz w:val="18"/>
        </w:rPr>
        <w:t>[S8] Home Credit Group finalises sale of India business</w:t>
      </w:r>
    </w:p>
    <w:p>
      <w:pPr>
        <w:pStyle w:val="Smalltext"/>
        <w:keepLines/>
        <w:widowControl/>
        <w:ind w:left="288"/>
      </w:pPr>
      <w:r>
        <w:rPr>
          <w:rFonts w:ascii="Liberation Sans" w:hAnsi="Liberation Sans"/>
        </w:rPr>
        <w:t>Company release | 3 Feb 2025</w:t>
        <w:br/>
      </w:r>
      <w:hyperlink r:id="rId26">
        <w:r>
          <w:rPr>
            <w:color w:val="0563C1"/>
            <w:u w:val="single"/>
            <w:sz w:val="16"/>
            <w:szCs w:val="16"/>
            <w:rFonts w:ascii="Liberation Sans" w:hAnsi="Liberation Sans"/>
          </w:rPr>
          <w:t>https://www.homecredit.net/2025/02/03/home-credit-group-finalises-sale-of-its-india-business/</w:t>
        </w:r>
      </w:hyperlink>
    </w:p>
    <w:p>
      <w:pPr>
        <w:keepLines/>
        <w:widowControl/>
        <w:spacing w:after="20"/>
      </w:pPr>
      <w:r>
        <w:rPr>
          <w:rFonts w:ascii="Liberation Sans" w:hAnsi="Liberation Sans"/>
          <w:b/>
          <w:sz w:val="18"/>
        </w:rPr>
        <w:t>[S9] Home Credit Czech Republic and Slovakia 2025 results</w:t>
      </w:r>
    </w:p>
    <w:p>
      <w:pPr>
        <w:pStyle w:val="Smalltext"/>
        <w:keepLines/>
        <w:widowControl/>
        <w:ind w:left="288"/>
      </w:pPr>
      <w:r>
        <w:rPr>
          <w:rFonts w:ascii="Liberation Sans" w:hAnsi="Liberation Sans"/>
        </w:rPr>
        <w:t>Company release | 29 Apr 2026</w:t>
        <w:br/>
      </w:r>
      <w:hyperlink r:id="rId17">
        <w:r>
          <w:rPr>
            <w:color w:val="0563C1"/>
            <w:u w:val="single"/>
            <w:sz w:val="16"/>
            <w:szCs w:val="16"/>
            <w:rFonts w:ascii="Liberation Sans" w:hAnsi="Liberation Sans"/>
          </w:rPr>
          <w:t>https://www.homecredit.cz/tiskove-zpravy/home-credit-v-cesku-a-na-slovensku-v-roce-2025-zvysil-uverove-portfolio-o-4-2-miliardy-korun</w:t>
        </w:r>
      </w:hyperlink>
    </w:p>
    <w:p>
      <w:pPr>
        <w:keepLines/>
        <w:widowControl/>
        <w:spacing w:after="20"/>
      </w:pPr>
      <w:r>
        <w:rPr>
          <w:rFonts w:ascii="Liberation Sans" w:hAnsi="Liberation Sans"/>
          <w:b/>
          <w:sz w:val="18"/>
        </w:rPr>
        <w:t>[S10] Air Bank Group first half 2026 results</w:t>
      </w:r>
    </w:p>
    <w:p>
      <w:pPr>
        <w:pStyle w:val="Smalltext"/>
        <w:keepLines/>
        <w:widowControl/>
        <w:ind w:left="288"/>
      </w:pPr>
      <w:r>
        <w:rPr>
          <w:rFonts w:ascii="Liberation Sans" w:hAnsi="Liberation Sans"/>
        </w:rPr>
        <w:t>Parent bank release | 28 Aug 2026</w:t>
        <w:br/>
      </w:r>
      <w:hyperlink r:id="rId22">
        <w:r>
          <w:rPr>
            <w:color w:val="0563C1"/>
            <w:u w:val="single"/>
            <w:sz w:val="16"/>
            <w:szCs w:val="16"/>
            <w:rFonts w:ascii="Liberation Sans" w:hAnsi="Liberation Sans"/>
          </w:rPr>
          <w:t>https://www.airbank.cz/novinky/cisty-zisk-air-bank-za-prvni-polovinu-roku-2026-vzrostl-o-23-a-presahl-2-3-miliardy-korun/</w:t>
        </w:r>
      </w:hyperlink>
    </w:p>
    <w:p>
      <w:pPr>
        <w:keepLines/>
        <w:widowControl/>
        <w:spacing w:after="20"/>
      </w:pPr>
      <w:r>
        <w:rPr>
          <w:rFonts w:ascii="Liberation Sans" w:hAnsi="Liberation Sans"/>
          <w:b/>
          <w:sz w:val="18"/>
        </w:rPr>
        <w:t>[S11] Home Credit Czech Republic products</w:t>
      </w:r>
    </w:p>
    <w:p>
      <w:pPr>
        <w:pStyle w:val="Smalltext"/>
        <w:keepLines/>
        <w:widowControl/>
        <w:ind w:left="288"/>
      </w:pPr>
      <w:r>
        <w:rPr>
          <w:rFonts w:ascii="Liberation Sans" w:hAnsi="Liberation Sans"/>
        </w:rPr>
        <w:t>Company website | Current page accessed 8 Sep 2026</w:t>
        <w:br/>
      </w:r>
      <w:hyperlink r:id="rId18">
        <w:r>
          <w:rPr>
            <w:color w:val="0563C1"/>
            <w:u w:val="single"/>
            <w:sz w:val="16"/>
            <w:szCs w:val="16"/>
            <w:rFonts w:ascii="Liberation Sans" w:hAnsi="Liberation Sans"/>
          </w:rPr>
          <w:t>https://www.homecredit.cz/</w:t>
        </w:r>
      </w:hyperlink>
    </w:p>
    <w:p>
      <w:pPr>
        <w:keepLines/>
        <w:widowControl/>
        <w:spacing w:after="20"/>
      </w:pPr>
      <w:r>
        <w:rPr>
          <w:rFonts w:ascii="Liberation Sans" w:hAnsi="Liberation Sans"/>
          <w:b/>
          <w:sz w:val="18"/>
        </w:rPr>
        <w:t>[S12] Home Credit Slovakia products</w:t>
      </w:r>
    </w:p>
    <w:p>
      <w:pPr>
        <w:pStyle w:val="Smalltext"/>
        <w:keepLines/>
        <w:widowControl/>
        <w:ind w:left="288"/>
      </w:pPr>
      <w:r>
        <w:rPr>
          <w:rFonts w:ascii="Liberation Sans" w:hAnsi="Liberation Sans"/>
        </w:rPr>
        <w:t>Company website | Current page accessed 8 Sep 2026</w:t>
        <w:br/>
      </w:r>
      <w:hyperlink r:id="rId19">
        <w:r>
          <w:rPr>
            <w:color w:val="0563C1"/>
            <w:u w:val="single"/>
            <w:sz w:val="16"/>
            <w:szCs w:val="16"/>
            <w:rFonts w:ascii="Liberation Sans" w:hAnsi="Liberation Sans"/>
          </w:rPr>
          <w:t>https://www.homecredit.sk/</w:t>
        </w:r>
      </w:hyperlink>
    </w:p>
    <w:p>
      <w:pPr>
        <w:keepLines/>
        <w:widowControl/>
        <w:spacing w:after="20"/>
      </w:pPr>
      <w:r>
        <w:rPr>
          <w:rFonts w:ascii="Liberation Sans" w:hAnsi="Liberation Sans"/>
          <w:b/>
          <w:sz w:val="18"/>
        </w:rPr>
        <w:t>[S13] Home Credit Vietnam customer research programme</w:t>
      </w:r>
    </w:p>
    <w:p>
      <w:pPr>
        <w:pStyle w:val="Smalltext"/>
        <w:keepLines/>
        <w:widowControl/>
        <w:ind w:left="288"/>
      </w:pPr>
      <w:r>
        <w:rPr>
          <w:rFonts w:ascii="Liberation Sans" w:hAnsi="Liberation Sans"/>
        </w:rPr>
        <w:t>Company website | Programme July 2025 to January 2026</w:t>
        <w:br/>
      </w:r>
      <w:hyperlink r:id="rId28">
        <w:r>
          <w:rPr>
            <w:color w:val="0563C1"/>
            <w:u w:val="single"/>
            <w:sz w:val="16"/>
            <w:szCs w:val="16"/>
            <w:rFonts w:ascii="Liberation Sans" w:hAnsi="Liberation Sans"/>
          </w:rPr>
          <w:t>https://www.homecredit.vn/tin-tuc/chuong-trinh-chuyen-tro-cung-khach-khao-sat-tim-hieu-nhu-cau-tai-chinh-va-trai-nghiem-san-pham-home-credit</w:t>
        </w:r>
      </w:hyperlink>
    </w:p>
    <w:p>
      <w:pPr>
        <w:keepLines/>
        <w:widowControl/>
        <w:spacing w:after="20"/>
      </w:pPr>
      <w:r>
        <w:rPr>
          <w:rFonts w:ascii="Liberation Sans" w:hAnsi="Liberation Sans"/>
          <w:b/>
          <w:sz w:val="18"/>
        </w:rPr>
        <w:t>[S14] Home Credit Vietnam Sustainability Report 2025 announcement</w:t>
      </w:r>
    </w:p>
    <w:p>
      <w:pPr>
        <w:pStyle w:val="Smalltext"/>
        <w:keepLines/>
        <w:widowControl/>
        <w:ind w:left="288"/>
      </w:pPr>
      <w:r>
        <w:rPr>
          <w:rFonts w:ascii="Liberation Sans" w:hAnsi="Liberation Sans"/>
        </w:rPr>
        <w:t>Company website | 25 Aug 2026</w:t>
        <w:br/>
      </w:r>
      <w:hyperlink r:id="rId30">
        <w:r>
          <w:rPr>
            <w:color w:val="0563C1"/>
            <w:u w:val="single"/>
            <w:sz w:val="16"/>
            <w:szCs w:val="16"/>
            <w:rFonts w:ascii="Liberation Sans" w:hAnsi="Liberation Sans"/>
          </w:rPr>
          <w:t>https://www.homecredit.vn/sustainability/home-credit-viet-nam-cong-bo-bao-cao-phat-trien-ben-vung-2025</w:t>
        </w:r>
      </w:hyperlink>
    </w:p>
    <w:p>
      <w:pPr>
        <w:keepLines/>
        <w:widowControl/>
        <w:spacing w:after="20"/>
      </w:pPr>
      <w:r>
        <w:rPr>
          <w:rFonts w:ascii="Liberation Sans" w:hAnsi="Liberation Sans"/>
          <w:b/>
          <w:sz w:val="18"/>
        </w:rPr>
        <w:t>[S15] Home Credit Vietnam business and product description</w:t>
      </w:r>
    </w:p>
    <w:p>
      <w:pPr>
        <w:pStyle w:val="Smalltext"/>
        <w:keepLines/>
        <w:widowControl/>
        <w:ind w:left="288"/>
      </w:pPr>
      <w:r>
        <w:rPr>
          <w:rFonts w:ascii="Liberation Sans" w:hAnsi="Liberation Sans"/>
        </w:rPr>
        <w:t>Company release | 28 Feb 2024</w:t>
        <w:br/>
      </w:r>
      <w:hyperlink r:id="rId20">
        <w:r>
          <w:rPr>
            <w:color w:val="0563C1"/>
            <w:u w:val="single"/>
            <w:sz w:val="16"/>
            <w:szCs w:val="16"/>
            <w:rFonts w:ascii="Liberation Sans" w:hAnsi="Liberation Sans"/>
          </w:rPr>
          <w:t>https://www.homecredit.net/2024/02/28/home-credit-agrees-to-sell-100-of-its-vietnam-operations-to-thailands-scb/</w:t>
        </w:r>
      </w:hyperlink>
    </w:p>
    <w:p>
      <w:pPr>
        <w:keepLines/>
        <w:widowControl/>
        <w:spacing w:after="20"/>
      </w:pPr>
      <w:r>
        <w:rPr>
          <w:rFonts w:ascii="Liberation Sans" w:hAnsi="Liberation Sans"/>
          <w:b/>
          <w:sz w:val="18"/>
        </w:rPr>
        <w:t>[S16] FiinRatings surveillance note for Home Credit Vietnam</w:t>
      </w:r>
    </w:p>
    <w:p>
      <w:pPr>
        <w:pStyle w:val="Smalltext"/>
        <w:keepLines/>
        <w:widowControl/>
        <w:ind w:left="288"/>
      </w:pPr>
      <w:r>
        <w:rPr>
          <w:rFonts w:ascii="Liberation Sans" w:hAnsi="Liberation Sans"/>
        </w:rPr>
        <w:t>Independent credit rating report | 25 Oct 2025</w:t>
        <w:br/>
      </w:r>
      <w:hyperlink r:id="rId12">
        <w:r>
          <w:rPr>
            <w:color w:val="0563C1"/>
            <w:u w:val="single"/>
            <w:sz w:val="16"/>
            <w:szCs w:val="16"/>
            <w:rFonts w:ascii="Liberation Sans" w:hAnsi="Liberation Sans"/>
          </w:rPr>
          <w:t>https://cms.fiinratings.vn/UploadFile/25-10-2025/VN_FiinRatings_HCVN__Surveillance_Rating_Note_202510__Final.pdf</w:t>
        </w:r>
      </w:hyperlink>
    </w:p>
    <w:p>
      <w:pPr>
        <w:keepLines/>
        <w:widowControl/>
        <w:spacing w:after="20"/>
      </w:pPr>
      <w:r>
        <w:rPr>
          <w:rFonts w:ascii="Liberation Sans" w:hAnsi="Liberation Sans"/>
          <w:b/>
          <w:sz w:val="18"/>
        </w:rPr>
        <w:t>[S17] Vietnam Consumer Finance First Half 2025 Review</w:t>
      </w:r>
    </w:p>
    <w:p>
      <w:pPr>
        <w:pStyle w:val="Smalltext"/>
        <w:keepLines/>
        <w:widowControl/>
        <w:ind w:left="288"/>
      </w:pPr>
      <w:r>
        <w:rPr>
          <w:rFonts w:ascii="Liberation Sans" w:hAnsi="Liberation Sans"/>
        </w:rPr>
        <w:t>Independent market research summary | 28 Oct 2025</w:t>
        <w:br/>
      </w:r>
      <w:hyperlink r:id="rId32">
        <w:r>
          <w:rPr>
            <w:color w:val="0563C1"/>
            <w:u w:val="single"/>
            <w:sz w:val="16"/>
            <w:szCs w:val="16"/>
            <w:rFonts w:ascii="Liberation Sans" w:hAnsi="Liberation Sans"/>
          </w:rPr>
          <w:t>https://fiinresearch.vn/Store/ReportDetails?id=224570</w:t>
        </w:r>
      </w:hyperlink>
    </w:p>
    <w:p>
      <w:pPr>
        <w:keepLines/>
        <w:widowControl/>
        <w:spacing w:after="20"/>
      </w:pPr>
      <w:r>
        <w:rPr>
          <w:rFonts w:ascii="Liberation Sans" w:hAnsi="Liberation Sans"/>
          <w:b/>
          <w:sz w:val="18"/>
        </w:rPr>
        <w:t>[S18] Responsible Lending Index 2025</w:t>
      </w:r>
    </w:p>
    <w:p>
      <w:pPr>
        <w:pStyle w:val="Smalltext"/>
        <w:keepLines/>
        <w:widowControl/>
        <w:ind w:left="288"/>
      </w:pPr>
      <w:r>
        <w:rPr>
          <w:rFonts w:ascii="Liberation Sans" w:hAnsi="Liberation Sans"/>
        </w:rPr>
        <w:t>Independent consumer advocacy research | 18 Nov 2025</w:t>
        <w:br/>
      </w:r>
      <w:hyperlink r:id="rId31">
        <w:r>
          <w:rPr>
            <w:color w:val="0563C1"/>
            <w:u w:val="single"/>
            <w:sz w:val="16"/>
            <w:szCs w:val="16"/>
            <w:rFonts w:ascii="Liberation Sans" w:hAnsi="Liberation Sans"/>
          </w:rPr>
          <w:t>https://www.clovekvtisni.cz/index-odpovedneho-uverovani-ukazuje-krome-rozdilnych-cen-i-mezery-v-dodrzovani-zakona-13071gp</w:t>
        </w:r>
      </w:hyperlink>
    </w:p>
    <w:p>
      <w:pPr>
        <w:keepLines/>
        <w:widowControl/>
        <w:spacing w:after="20"/>
      </w:pPr>
      <w:r>
        <w:rPr>
          <w:rFonts w:ascii="Liberation Sans" w:hAnsi="Liberation Sans"/>
          <w:b/>
          <w:sz w:val="18"/>
        </w:rPr>
        <w:t>[S19] Home Credit Sustainability Report 2022</w:t>
      </w:r>
    </w:p>
    <w:p>
      <w:pPr>
        <w:pStyle w:val="Smalltext"/>
        <w:keepLines/>
        <w:widowControl/>
        <w:ind w:left="288"/>
      </w:pPr>
      <w:r>
        <w:rPr>
          <w:rFonts w:ascii="Liberation Sans" w:hAnsi="Liberation Sans"/>
        </w:rPr>
        <w:t>Company report | Historical group evidence for 2022</w:t>
        <w:br/>
      </w:r>
      <w:hyperlink r:id="rId27">
        <w:r>
          <w:rPr>
            <w:color w:val="0563C1"/>
            <w:u w:val="single"/>
            <w:sz w:val="16"/>
            <w:szCs w:val="16"/>
            <w:rFonts w:ascii="Liberation Sans" w:hAnsi="Liberation Sans"/>
          </w:rPr>
          <w:t>https://www.homecredit.vn/upload/home_credit_esg_group_report_en_compressed_d6ec41605c.pdf</w:t>
        </w:r>
      </w:hyperlink>
    </w:p>
    <w:p>
      <w:pPr>
        <w:keepLines/>
        <w:widowControl/>
        <w:spacing w:after="20"/>
      </w:pPr>
      <w:r>
        <w:rPr>
          <w:rFonts w:ascii="Liberation Sans" w:hAnsi="Liberation Sans"/>
          <w:b/>
          <w:sz w:val="18"/>
        </w:rPr>
        <w:t>[S20] Home Credit Czech Republic privacy memorandum</w:t>
      </w:r>
    </w:p>
    <w:p>
      <w:pPr>
        <w:pStyle w:val="Smalltext"/>
        <w:keepLines/>
        <w:widowControl/>
        <w:ind w:left="288"/>
      </w:pPr>
      <w:r>
        <w:rPr>
          <w:rFonts w:ascii="Liberation Sans" w:hAnsi="Liberation Sans"/>
        </w:rPr>
        <w:t>Company policy | Effective June 2026</w:t>
        <w:br/>
      </w:r>
      <w:hyperlink r:id="rId33">
        <w:r>
          <w:rPr>
            <w:color w:val="0563C1"/>
            <w:u w:val="single"/>
            <w:sz w:val="16"/>
            <w:szCs w:val="16"/>
            <w:rFonts w:ascii="Liberation Sans" w:hAnsi="Liberation Sans"/>
          </w:rPr>
          <w:t>https://www.homecredit.cz/cms-assets/download-library/Memorandum-pro-fyzicke-osoby.pdf</w:t>
        </w:r>
      </w:hyperlink>
    </w:p>
    <w:p>
      <w:pPr>
        <w:keepLines/>
        <w:widowControl/>
        <w:spacing w:after="20"/>
      </w:pPr>
      <w:r>
        <w:rPr>
          <w:rFonts w:ascii="Liberation Sans" w:hAnsi="Liberation Sans"/>
          <w:b/>
          <w:sz w:val="18"/>
        </w:rPr>
        <w:t>[S21] Home Credit Slovakia privacy memorandum</w:t>
      </w:r>
    </w:p>
    <w:p>
      <w:pPr>
        <w:pStyle w:val="Smalltext"/>
        <w:keepLines/>
        <w:widowControl/>
        <w:ind w:left="288"/>
      </w:pPr>
      <w:r>
        <w:rPr>
          <w:rFonts w:ascii="Liberation Sans" w:hAnsi="Liberation Sans"/>
        </w:rPr>
        <w:t>Company policy | Effective 17 Jun 2026</w:t>
        <w:br/>
      </w:r>
      <w:hyperlink r:id="rId34">
        <w:r>
          <w:rPr>
            <w:color w:val="0563C1"/>
            <w:u w:val="single"/>
            <w:sz w:val="16"/>
            <w:szCs w:val="16"/>
            <w:rFonts w:ascii="Liberation Sans" w:hAnsi="Liberation Sans"/>
          </w:rPr>
          <w:t>https://www.homecredit.sk/Memorandum-fyzicke-osoby</w:t>
        </w:r>
      </w:hyperlink>
    </w:p>
    <w:p>
      <w:pPr>
        <w:keepLines/>
        <w:widowControl/>
        <w:spacing w:after="20"/>
      </w:pPr>
      <w:r>
        <w:rPr>
          <w:rFonts w:ascii="Liberation Sans" w:hAnsi="Liberation Sans"/>
          <w:b/>
          <w:sz w:val="18"/>
        </w:rPr>
        <w:t>[S22] Home Credit Vietnam data and privacy policy</w:t>
      </w:r>
    </w:p>
    <w:p>
      <w:pPr>
        <w:pStyle w:val="Smalltext"/>
        <w:keepLines/>
        <w:widowControl/>
        <w:ind w:left="288"/>
      </w:pPr>
      <w:r>
        <w:rPr>
          <w:rFonts w:ascii="Liberation Sans" w:hAnsi="Liberation Sans"/>
        </w:rPr>
        <w:t>Company policy | Current page accessed 8 Sep 2026</w:t>
        <w:br/>
      </w:r>
      <w:hyperlink r:id="rId29">
        <w:r>
          <w:rPr>
            <w:color w:val="0563C1"/>
            <w:u w:val="single"/>
            <w:sz w:val="16"/>
            <w:szCs w:val="16"/>
            <w:rFonts w:ascii="Liberation Sans" w:hAnsi="Liberation Sans"/>
          </w:rPr>
          <w:t>https://www.homecredit.vn/privacy-policy</w:t>
        </w:r>
      </w:hyperlink>
    </w:p>
    <w:p>
      <w:pPr>
        <w:keepLines/>
        <w:widowControl/>
        <w:spacing w:after="20"/>
      </w:pPr>
      <w:r>
        <w:rPr>
          <w:rFonts w:ascii="Liberation Sans" w:hAnsi="Liberation Sans"/>
          <w:b/>
          <w:sz w:val="18"/>
        </w:rPr>
        <w:t>[S23] Directive EU 2023 2225 on consumer credit</w:t>
      </w:r>
    </w:p>
    <w:p>
      <w:pPr>
        <w:pStyle w:val="Smalltext"/>
        <w:keepLines/>
        <w:widowControl/>
        <w:ind w:left="288"/>
      </w:pPr>
      <w:r>
        <w:rPr>
          <w:rFonts w:ascii="Liberation Sans" w:hAnsi="Liberation Sans"/>
        </w:rPr>
        <w:t>Official EU law | Measures apply from 20 Nov 2026</w:t>
        <w:br/>
      </w:r>
      <w:hyperlink r:id="rId23">
        <w:r>
          <w:rPr>
            <w:color w:val="0563C1"/>
            <w:u w:val="single"/>
            <w:sz w:val="16"/>
            <w:szCs w:val="16"/>
            <w:rFonts w:ascii="Liberation Sans" w:hAnsi="Liberation Sans"/>
          </w:rPr>
          <w:t>https://eur-lex.europa.eu/eli/dir/2023/2225/oj/eng</w:t>
        </w:r>
      </w:hyperlink>
    </w:p>
    <w:p>
      <w:pPr>
        <w:keepLines/>
        <w:widowControl/>
        <w:spacing w:after="20"/>
      </w:pPr>
      <w:r>
        <w:rPr>
          <w:rFonts w:ascii="Liberation Sans" w:hAnsi="Liberation Sans"/>
          <w:b/>
          <w:sz w:val="18"/>
        </w:rPr>
        <w:t>[S24] EU Artificial Intelligence Act consolidated text</w:t>
      </w:r>
    </w:p>
    <w:p>
      <w:pPr>
        <w:pStyle w:val="Smalltext"/>
        <w:keepLines/>
        <w:widowControl/>
        <w:ind w:left="288"/>
      </w:pPr>
      <w:r>
        <w:rPr>
          <w:rFonts w:ascii="Liberation Sans" w:hAnsi="Liberation Sans"/>
        </w:rPr>
        <w:t>Official EU law | Consolidated 27 Jul 2026</w:t>
        <w:br/>
      </w:r>
      <w:hyperlink r:id="rId24">
        <w:r>
          <w:rPr>
            <w:color w:val="0563C1"/>
            <w:u w:val="single"/>
            <w:sz w:val="16"/>
            <w:szCs w:val="16"/>
            <w:rFonts w:ascii="Liberation Sans" w:hAnsi="Liberation Sans"/>
          </w:rPr>
          <w:t>https://eur-lex.europa.eu/legal-content/EN/TXT/HTML/?uri=CELEX:02024R1689-20260727</w:t>
        </w:r>
      </w:hyperlink>
    </w:p>
    <w:p>
      <w:pPr>
        <w:keepLines/>
        <w:widowControl/>
        <w:spacing w:after="20"/>
      </w:pPr>
      <w:r>
        <w:rPr>
          <w:rFonts w:ascii="Liberation Sans" w:hAnsi="Liberation Sans"/>
          <w:b/>
          <w:sz w:val="18"/>
        </w:rPr>
        <w:t>[S25] Czech National Bank consumer credit licensing</w:t>
      </w:r>
    </w:p>
    <w:p>
      <w:pPr>
        <w:pStyle w:val="Smalltext"/>
        <w:keepLines/>
        <w:widowControl/>
        <w:ind w:left="288"/>
      </w:pPr>
      <w:r>
        <w:rPr>
          <w:rFonts w:ascii="Liberation Sans" w:hAnsi="Liberation Sans"/>
        </w:rPr>
        <w:t>Official regulator guidance | Current page accessed 8 Sep 2026</w:t>
        <w:br/>
      </w:r>
      <w:hyperlink r:id="rId39">
        <w:r>
          <w:rPr>
            <w:color w:val="0563C1"/>
            <w:u w:val="single"/>
            <w:sz w:val="16"/>
            <w:szCs w:val="16"/>
            <w:rFonts w:ascii="Liberation Sans" w:hAnsi="Liberation Sans"/>
          </w:rPr>
          <w:t>https://www.cnb.cz/en/supervision-financial-market/conduct-of-supervision/licensing-and-approval-proceedings/licensing-and-approval-proceedings-under-the-consumer-credit-act/?flavour=mobile</w:t>
        </w:r>
      </w:hyperlink>
    </w:p>
    <w:p>
      <w:pPr>
        <w:keepLines/>
        <w:widowControl/>
        <w:spacing w:after="20"/>
      </w:pPr>
      <w:r>
        <w:rPr>
          <w:rFonts w:ascii="Liberation Sans" w:hAnsi="Liberation Sans"/>
          <w:b/>
          <w:sz w:val="18"/>
        </w:rPr>
        <w:t>[S26] Vietnam Law on Personal Data Protection announcement</w:t>
      </w:r>
    </w:p>
    <w:p>
      <w:pPr>
        <w:pStyle w:val="Smalltext"/>
        <w:keepLines/>
        <w:widowControl/>
        <w:ind w:left="288"/>
      </w:pPr>
      <w:r>
        <w:rPr>
          <w:rFonts w:ascii="Liberation Sans" w:hAnsi="Liberation Sans"/>
        </w:rPr>
        <w:t>Official government news | 11 Jul 2025; law effective 1 Jan 2026</w:t>
        <w:br/>
      </w:r>
      <w:hyperlink r:id="rId40">
        <w:r>
          <w:rPr>
            <w:color w:val="0563C1"/>
            <w:u w:val="single"/>
            <w:sz w:val="16"/>
            <w:szCs w:val="16"/>
            <w:rFonts w:ascii="Liberation Sans" w:hAnsi="Liberation Sans"/>
          </w:rPr>
          <w:t>https://en.baochinhphu.vn/presidential-office-announces-18-new-laws-111250711204559004.htm</w:t>
        </w:r>
      </w:hyperlink>
    </w:p>
    <w:p>
      <w:pPr>
        <w:keepLines/>
        <w:widowControl/>
        <w:spacing w:after="20"/>
      </w:pPr>
      <w:r>
        <w:rPr>
          <w:rFonts w:ascii="Liberation Sans" w:hAnsi="Liberation Sans"/>
          <w:b/>
          <w:sz w:val="18"/>
        </w:rPr>
        <w:t>[S27] Home Credit Default Risk competition overview</w:t>
      </w:r>
    </w:p>
    <w:p>
      <w:pPr>
        <w:pStyle w:val="Smalltext"/>
        <w:keepLines/>
        <w:widowControl/>
        <w:ind w:left="288"/>
      </w:pPr>
      <w:r>
        <w:rPr>
          <w:rFonts w:ascii="Liberation Sans" w:hAnsi="Liberation Sans"/>
        </w:rPr>
        <w:t>Kaggle competition page | Historical public modelling resource</w:t>
        <w:br/>
      </w:r>
      <w:hyperlink r:id="rId35">
        <w:r>
          <w:rPr>
            <w:color w:val="0563C1"/>
            <w:u w:val="single"/>
            <w:sz w:val="16"/>
            <w:szCs w:val="16"/>
            <w:rFonts w:ascii="Liberation Sans" w:hAnsi="Liberation Sans"/>
          </w:rPr>
          <w:t>https://www.kaggle.com/competitions/home-credit-default-risk/overview</w:t>
        </w:r>
      </w:hyperlink>
    </w:p>
    <w:p>
      <w:pPr>
        <w:keepLines/>
        <w:widowControl/>
        <w:spacing w:after="20"/>
      </w:pPr>
      <w:r>
        <w:rPr>
          <w:rFonts w:ascii="Liberation Sans" w:hAnsi="Liberation Sans"/>
          <w:b/>
          <w:sz w:val="18"/>
        </w:rPr>
        <w:t>[S28] Home Credit Default Risk competition data</w:t>
      </w:r>
    </w:p>
    <w:p>
      <w:pPr>
        <w:pStyle w:val="Smalltext"/>
        <w:keepLines/>
        <w:widowControl/>
        <w:ind w:left="288"/>
      </w:pPr>
      <w:r>
        <w:rPr>
          <w:rFonts w:ascii="Liberation Sans" w:hAnsi="Liberation Sans"/>
        </w:rPr>
        <w:t>Kaggle competition data page | Historical public modelling resource</w:t>
        <w:br/>
      </w:r>
      <w:hyperlink r:id="rId36">
        <w:r>
          <w:rPr>
            <w:color w:val="0563C1"/>
            <w:u w:val="single"/>
            <w:sz w:val="16"/>
            <w:szCs w:val="16"/>
            <w:rFonts w:ascii="Liberation Sans" w:hAnsi="Liberation Sans"/>
          </w:rPr>
          <w:t>https://www.kaggle.com/competitions/home-credit-default-risk/data?select=application_train.csv</w:t>
        </w:r>
      </w:hyperlink>
    </w:p>
    <w:p>
      <w:pPr>
        <w:keepLines/>
        <w:widowControl/>
        <w:spacing w:after="20"/>
      </w:pPr>
      <w:r>
        <w:rPr>
          <w:rFonts w:ascii="Liberation Sans" w:hAnsi="Liberation Sans"/>
          <w:b/>
          <w:sz w:val="18"/>
        </w:rPr>
        <w:t>[S29] Home Credit Default Risk dataset schema summary</w:t>
      </w:r>
    </w:p>
    <w:p>
      <w:pPr>
        <w:pStyle w:val="Smalltext"/>
        <w:keepLines/>
        <w:widowControl/>
        <w:ind w:left="288"/>
      </w:pPr>
      <w:r>
        <w:rPr>
          <w:rFonts w:ascii="Liberation Sans" w:hAnsi="Liberation Sans"/>
        </w:rPr>
        <w:t>Third party technical summary | Historical public modelling resource</w:t>
        <w:br/>
      </w:r>
      <w:hyperlink r:id="rId37">
        <w:r>
          <w:rPr>
            <w:color w:val="0563C1"/>
            <w:u w:val="single"/>
            <w:sz w:val="16"/>
            <w:szCs w:val="16"/>
            <w:rFonts w:ascii="Liberation Sans" w:hAnsi="Liberation Sans"/>
          </w:rPr>
          <w:t>https://github.com/ahmetcankaraoglan/Home-Credit-Default-Risk</w:t>
        </w:r>
      </w:hyperlink>
    </w:p>
    <w:p>
      <w:pPr>
        <w:keepLines/>
        <w:widowControl/>
        <w:spacing w:after="20"/>
      </w:pPr>
      <w:r>
        <w:rPr>
          <w:rFonts w:ascii="Liberation Sans" w:hAnsi="Liberation Sans"/>
          <w:b/>
          <w:sz w:val="18"/>
        </w:rPr>
        <w:t>[S30] Home Credit use of FICO Decision Optimizer</w:t>
      </w:r>
    </w:p>
    <w:p>
      <w:pPr>
        <w:pStyle w:val="Smalltext"/>
        <w:keepLines/>
        <w:widowControl/>
        <w:ind w:left="288"/>
      </w:pPr>
      <w:r>
        <w:rPr>
          <w:rFonts w:ascii="Liberation Sans" w:hAnsi="Liberation Sans"/>
        </w:rPr>
        <w:t>Company and vendor release | 20 Oct 2020; historical evidence</w:t>
        <w:br/>
      </w:r>
      <w:hyperlink r:id="rId38">
        <w:r>
          <w:rPr>
            <w:color w:val="0563C1"/>
            <w:u w:val="single"/>
            <w:sz w:val="16"/>
            <w:szCs w:val="16"/>
            <w:rFonts w:ascii="Liberation Sans" w:hAnsi="Liberation Sans"/>
          </w:rPr>
          <w:t>https://www.homecredit.net/media/press-releases/2020/201024-hc-will-expand-credit-in-eastern-europe-and-asia-with-fico.aspx</w:t>
        </w:r>
      </w:hyperlink>
    </w:p>
    <w:p>
      <w:pPr>
        <w:pStyle w:val="Heading2"/>
        <w:keepLines w:val="0"/>
        <w:widowControl/>
      </w:pPr>
      <w:r>
        <w:rPr>
          <w:rFonts w:ascii="Liberation Sans" w:hAnsi="Liberation Sans"/>
        </w:rPr>
        <w:t>Method note</w:t>
      </w:r>
    </w:p>
    <w:p>
      <w:pPr>
        <w:keepLines w:val="0"/>
        <w:widowControl/>
      </w:pPr>
      <w:r>
        <w:rPr>
          <w:rFonts w:ascii="Liberation Sans" w:hAnsi="Liberation Sans"/>
        </w:rPr>
        <w:t>The research prioritized audited financial statements, official laws and regulators, current company policies and recent independent market or consumer research. Company releases were used for current product and operating facts. Historical sources are labelled and used only for capability or policy context. The cutoff is 8 September 2026; later events are outside scope.</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0"/>
      <w:jc w:val="center"/>
    </w:pPr>
    <w:r>
      <w:rPr>
        <w:color w:val="666666"/>
        <w:sz w:val="17"/>
      </w:rPr>
    </w:r>
    <w:fldSimple w:instr="PAGE">
      <w:r>
        <w:rPr>
          <w:color w:val="666666"/>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A6A6A"/>
        <w:sz w:val="16"/>
      </w:rPr>
      <w:t>Home Credit Company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b w:val="0"/>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00000"/>
      <w:sz w:val="34"/>
      <w:szCs w:val="28"/>
    </w:rPr>
  </w:style>
  <w:style w:type="paragraph" w:styleId="Heading2">
    <w:name w:val="heading 2"/>
    <w:basedOn w:val="Normal"/>
    <w:next w:val="Normal"/>
    <w:link w:val="Heading2Char"/>
    <w:uiPriority w:val="9"/>
    <w:unhideWhenUsed/>
    <w:qFormat/>
    <w:rsid w:val="00FC693F"/>
    <w:pPr>
      <w:keepNext w:val="0"/>
      <w:keepLines/>
      <w:spacing w:before="180" w:after="80"/>
      <w:outlineLvl w:val="1"/>
    </w:pPr>
    <w:rPr>
      <w:rFonts w:asciiTheme="majorHAnsi" w:eastAsiaTheme="majorEastAsia" w:hAnsiTheme="majorHAnsi" w:cstheme="majorBidi" w:ascii="Liberation Sans" w:hAnsi="Liberation Sans" w:eastAsia="Liberation Sans"/>
      <w:b/>
      <w:bCs/>
      <w:color w:val="000000"/>
      <w:sz w:val="25"/>
      <w:szCs w:val="26"/>
    </w:rPr>
  </w:style>
  <w:style w:type="paragraph" w:styleId="Heading3">
    <w:name w:val="heading 3"/>
    <w:basedOn w:val="Normal"/>
    <w:next w:val="Normal"/>
    <w:link w:val="Heading3Char"/>
    <w:uiPriority w:val="9"/>
    <w:unhideWhenUsed/>
    <w:qFormat/>
    <w:rsid w:val="00FC693F"/>
    <w:pPr>
      <w:keepNext w:val="0"/>
      <w:keepLines/>
      <w:spacing w:before="140" w:after="60"/>
      <w:outlineLvl w:val="2"/>
    </w:pPr>
    <w:rPr>
      <w:rFonts w:asciiTheme="majorHAnsi" w:eastAsiaTheme="majorEastAsia" w:hAnsiTheme="majorHAnsi" w:cstheme="majorBidi" w:ascii="Liberation Sans" w:hAnsi="Liberation Sans" w:eastAsia="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eastAsia="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eastAsia="Liberation Sans"/>
      <w:b w:val="0"/>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50" w:lineRule="auto"/>
    </w:pPr>
    <w:rPr>
      <w:rFonts w:ascii="Liberation Sans" w:hAnsi="Liberation Sans" w:eastAsia="Liberation Sans"/>
      <w:b w:val="0"/>
      <w:color w:val="4B4B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tocms-assets.com/40359/1782820474-ppf-financial-holdings-a-s-vyrocni_zprava_2025_signed.pdf" TargetMode="External"/><Relationship Id="rId12" Type="http://schemas.openxmlformats.org/officeDocument/2006/relationships/hyperlink" Target="https://cms.fiinratings.vn/UploadFile/25-10-2025/VN_FiinRatings_HCVN__Surveillance_Rating_Note_202510__Final.pdf" TargetMode="External"/><Relationship Id="rId13" Type="http://schemas.openxmlformats.org/officeDocument/2006/relationships/hyperlink" Target="https://www.homecredit.net/contacts.aspx/" TargetMode="External"/><Relationship Id="rId14" Type="http://schemas.openxmlformats.org/officeDocument/2006/relationships/hyperlink" Target="https://www.homecredit.net/corporate-structure/" TargetMode="External"/><Relationship Id="rId15" Type="http://schemas.openxmlformats.org/officeDocument/2006/relationships/hyperlink" Target="https://www.homecredit.net/" TargetMode="External"/><Relationship Id="rId16" Type="http://schemas.openxmlformats.org/officeDocument/2006/relationships/hyperlink" Target="https://www.ppf.eu/en/our-companies/home-credit?title=Home+Credit" TargetMode="External"/><Relationship Id="rId17" Type="http://schemas.openxmlformats.org/officeDocument/2006/relationships/hyperlink" Target="https://www.homecredit.cz/tiskove-zpravy/home-credit-v-cesku-a-na-slovensku-v-roce-2025-zvysil-uverove-portfolio-o-4-2-miliardy-korun" TargetMode="External"/><Relationship Id="rId18" Type="http://schemas.openxmlformats.org/officeDocument/2006/relationships/hyperlink" Target="https://www.homecredit.cz/" TargetMode="External"/><Relationship Id="rId19" Type="http://schemas.openxmlformats.org/officeDocument/2006/relationships/hyperlink" Target="https://www.homecredit.sk/" TargetMode="External"/><Relationship Id="rId20" Type="http://schemas.openxmlformats.org/officeDocument/2006/relationships/hyperlink" Target="https://www.homecredit.net/2024/02/28/home-credit-agrees-to-sell-100-of-its-vietnam-operations-to-thailands-scb/" TargetMode="External"/><Relationship Id="rId21" Type="http://schemas.openxmlformats.org/officeDocument/2006/relationships/hyperlink" Target="https://www.homecredit.net/2026/03/26/1758/" TargetMode="External"/><Relationship Id="rId22" Type="http://schemas.openxmlformats.org/officeDocument/2006/relationships/hyperlink" Target="https://www.airbank.cz/novinky/cisty-zisk-air-bank-za-prvni-polovinu-roku-2026-vzrostl-o-23-a-presahl-2-3-miliardy-korun/" TargetMode="External"/><Relationship Id="rId23" Type="http://schemas.openxmlformats.org/officeDocument/2006/relationships/hyperlink" Target="https://eur-lex.europa.eu/eli/dir/2023/2225/oj/eng" TargetMode="External"/><Relationship Id="rId24" Type="http://schemas.openxmlformats.org/officeDocument/2006/relationships/hyperlink" Target="https://eur-lex.europa.eu/legal-content/EN/TXT/HTML/?uri=CELEX:02024R1689-20260727" TargetMode="External"/><Relationship Id="rId25" Type="http://schemas.openxmlformats.org/officeDocument/2006/relationships/hyperlink" Target="https://www.homecredit.net/2025/12/30/sale-of-home-credit-bank-kazakhstan-finalised/" TargetMode="External"/><Relationship Id="rId26" Type="http://schemas.openxmlformats.org/officeDocument/2006/relationships/hyperlink" Target="https://www.homecredit.net/2025/02/03/home-credit-group-finalises-sale-of-its-india-business/" TargetMode="External"/><Relationship Id="rId27" Type="http://schemas.openxmlformats.org/officeDocument/2006/relationships/hyperlink" Target="https://www.homecredit.vn/upload/home_credit_esg_group_report_en_compressed_d6ec41605c.pdf" TargetMode="External"/><Relationship Id="rId28" Type="http://schemas.openxmlformats.org/officeDocument/2006/relationships/hyperlink" Target="https://www.homecredit.vn/tin-tuc/chuong-trinh-chuyen-tro-cung-khach-khao-sat-tim-hieu-nhu-cau-tai-chinh-va-trai-nghiem-san-pham-home-credit" TargetMode="External"/><Relationship Id="rId29" Type="http://schemas.openxmlformats.org/officeDocument/2006/relationships/hyperlink" Target="https://www.homecredit.vn/privacy-policy" TargetMode="External"/><Relationship Id="rId30" Type="http://schemas.openxmlformats.org/officeDocument/2006/relationships/hyperlink" Target="https://www.homecredit.vn/sustainability/home-credit-viet-nam-cong-bo-bao-cao-phat-trien-ben-vung-2025" TargetMode="External"/><Relationship Id="rId31" Type="http://schemas.openxmlformats.org/officeDocument/2006/relationships/hyperlink" Target="https://www.clovekvtisni.cz/index-odpovedneho-uverovani-ukazuje-krome-rozdilnych-cen-i-mezery-v-dodrzovani-zakona-13071gp" TargetMode="External"/><Relationship Id="rId32" Type="http://schemas.openxmlformats.org/officeDocument/2006/relationships/hyperlink" Target="https://fiinresearch.vn/Store/ReportDetails?id=224570" TargetMode="External"/><Relationship Id="rId33" Type="http://schemas.openxmlformats.org/officeDocument/2006/relationships/hyperlink" Target="https://www.homecredit.cz/cms-assets/download-library/Memorandum-pro-fyzicke-osoby.pdf" TargetMode="External"/><Relationship Id="rId34" Type="http://schemas.openxmlformats.org/officeDocument/2006/relationships/hyperlink" Target="https://www.homecredit.sk/Memorandum-fyzicke-osoby" TargetMode="External"/><Relationship Id="rId35" Type="http://schemas.openxmlformats.org/officeDocument/2006/relationships/hyperlink" Target="https://www.kaggle.com/competitions/home-credit-default-risk/overview" TargetMode="External"/><Relationship Id="rId36" Type="http://schemas.openxmlformats.org/officeDocument/2006/relationships/hyperlink" Target="https://www.kaggle.com/competitions/home-credit-default-risk/data?select=application_train.csv" TargetMode="External"/><Relationship Id="rId37" Type="http://schemas.openxmlformats.org/officeDocument/2006/relationships/hyperlink" Target="https://github.com/ahmetcankaraoglan/Home-Credit-Default-Risk" TargetMode="External"/><Relationship Id="rId38" Type="http://schemas.openxmlformats.org/officeDocument/2006/relationships/hyperlink" Target="https://www.homecredit.net/media/press-releases/2020/201024-hc-will-expand-credit-in-eastern-europe-and-asia-with-fico.aspx" TargetMode="External"/><Relationship Id="rId39" Type="http://schemas.openxmlformats.org/officeDocument/2006/relationships/hyperlink" Target="https://www.cnb.cz/en/supervision-financial-market/conduct-of-supervision/licensing-and-approval-proceedings/licensing-and-approval-proceedings-under-the-consumer-credit-act/?flavour=mobile" TargetMode="External"/><Relationship Id="rId40" Type="http://schemas.openxmlformats.org/officeDocument/2006/relationships/hyperlink" Target="https://en.baochinhphu.vn/presidential-office-announces-18-new-laws-11125071120455900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Credit Company Research</dc:title>
  <dc:subject>Business model credit risk data and business problem framing</dc:subject>
  <dc:creator>OpenAI</dc:creator>
  <cp:keywords>Home Credit, consumer finance, credit risk, underwriting, analytics, research</cp:keywords>
  <dc:description>generated by python-docx</dc:description>
  <cp:lastModifiedBy/>
  <cp:revision>1</cp:revision>
  <dcterms:created xsi:type="dcterms:W3CDTF">2013-12-23T23:15:00Z</dcterms:created>
  <dcterms:modified xsi:type="dcterms:W3CDTF">2013-12-23T23:15:00Z</dcterms:modified>
  <cp:category/>
</cp:coreProperties>
</file>