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240"/>
      </w:pPr>
      <w:r>
        <w:rPr>
          <w:color w:val="0C7C86"/>
          <w:sz w:val="20"/>
        </w:rPr>
        <w:t>━━━━━━━━━━━━━━━━━━━━━━━━━━━━━━━━━━━━━━</w:t>
      </w:r>
    </w:p>
    <w:p>
      <w:pPr>
        <w:pStyle w:val="Title"/>
        <w:widowControl/>
        <w:spacing w:before="840"/>
      </w:pPr>
      <w:r>
        <w:t>Home Credit</w:t>
        <w:br/>
        <w:t>Industry Research Report</w:t>
      </w:r>
    </w:p>
    <w:p>
      <w:pPr>
        <w:pStyle w:val="Subtitle"/>
        <w:widowControl/>
      </w:pPr>
      <w:r>
        <w:t>Nonbank consumer finance in the Czech Republic, Slovakia and Vietnam</w:t>
      </w:r>
    </w:p>
    <w:p>
      <w:pPr>
        <w:widowControl/>
        <w:spacing w:before="160"/>
      </w:pPr>
      <w:r>
        <w:rPr>
          <w:color w:val="65727C"/>
          <w:sz w:val="22"/>
        </w:rPr>
        <w:t>A decision-oriented review of market structure, customers, products, economics, underwriting, regulation, technology, funding, responsibility and outlook</w:t>
      </w:r>
    </w:p>
    <w:p>
      <w:pPr>
        <w:widowControl/>
        <w:spacing w:after="720"/>
      </w:pPr>
    </w:p>
    <w:tbl>
      <w:tblPr>
        <w:tblW w:type="auto" w:w="0"/>
        <w:jc w:val="center"/>
        <w:tblLayout w:type="fixed"/>
        <w:tblLook w:firstColumn="1" w:firstRow="1" w:lastColumn="0" w:lastRow="0" w:noHBand="0" w:noVBand="1" w:val="04A0"/>
      </w:tblPr>
      <w:tblGrid>
        <w:gridCol w:w="2232"/>
        <w:gridCol w:w="3240"/>
        <w:gridCol w:w="4680"/>
      </w:tblGrid>
      <w:tr>
        <w:trPr>
          <w:trHeight w:hRule="atLeast"/>
          <w:tblHeader w:val="true"/>
          <w:cantSplit w:val="true"/>
        </w:trPr>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8"/>
              </w:rPr>
              <w:t>Research cut-off</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8"/>
              </w:rPr>
              <w:t>Geographic focus</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8"/>
              </w:rPr>
              <w:t>Evidence standard</w:t>
            </w:r>
          </w:p>
        </w:tc>
      </w:tr>
      <w:tr>
        <w:trPr>
          <w:cantSplit w:val="true"/>
          <w:trHeight w:hRule="atLeast"/>
        </w:trPr>
        <w:tc>
          <w:tcPr>
            <w:tcW w:type="dxa" w:w="223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8"/>
              </w:rPr>
              <w:t>15 September 2026</w:t>
            </w:r>
          </w:p>
        </w:tc>
        <w:tc>
          <w:tcPr>
            <w:tcW w:type="dxa" w:w="324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8"/>
              </w:rPr>
              <w:t>Czech Republic • Slovakia • Vietnam</w:t>
            </w:r>
          </w:p>
        </w:tc>
        <w:tc>
          <w:tcPr>
            <w:tcW w:type="dxa" w:w="46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8"/>
              </w:rPr>
              <w:t>Primary sources first; every factual claim linked</w:t>
            </w:r>
          </w:p>
        </w:tc>
      </w:tr>
    </w:tbl>
    <w:p>
      <w:pPr>
        <w:widowControl/>
        <w:spacing w:after="0"/>
      </w:pPr>
    </w:p>
    <w:p>
      <w:pPr>
        <w:widowControl/>
        <w:spacing w:after="1080"/>
      </w:pPr>
    </w:p>
    <w:p>
      <w:pPr>
        <w:widowControl/>
        <w:jc w:val="left"/>
      </w:pPr>
      <w:r>
        <w:rPr>
          <w:b/>
          <w:color w:val="0C7C86"/>
          <w:sz w:val="18"/>
        </w:rPr>
        <w:t>Bottom line</w:t>
      </w:r>
    </w:p>
    <w:p>
      <w:pPr>
        <w:widowControl/>
        <w:ind w:left="259" w:right="648"/>
      </w:pPr>
      <w:r>
        <w:rPr>
          <w:b/>
          <w:color w:val="16324F"/>
          <w:sz w:val="26"/>
        </w:rPr>
        <w:t>Home Credit competes where underwriting, distribution and funding must work as one system. The near-term opportunity is digital and embedded growth; the binding constraint is proving that growth remains affordable, explainable and resilient across the credit cycle.</w:t>
      </w:r>
    </w:p>
    <w:p>
      <w:pPr>
        <w:widowControl/>
        <w:spacing w:before="1000"/>
      </w:pPr>
      <w:r>
        <w:rPr>
          <w:color w:val="65727C"/>
          <w:sz w:val="17"/>
        </w:rPr>
        <w:t>Prepared as an external-evidence research report. Company disclosures are identified as such; missing proprietary metrics are not estimated.</w:t>
      </w:r>
    </w:p>
    <w:p>
      <w:pPr>
        <w:widowControl/>
      </w:pPr>
      <w:r>
        <w:br w:type="page"/>
      </w:r>
    </w:p>
    <w:p>
      <w:pPr>
        <w:pStyle w:val="Heading1"/>
        <w:keepNext/>
        <w:widowControl/>
      </w:pPr>
      <w:r>
        <w:rPr>
          <w:color w:val="0C7C86"/>
        </w:rPr>
        <w:t xml:space="preserve">  </w:t>
      </w:r>
      <w:r>
        <w:rPr>
          <w:color w:val="16324F"/>
        </w:rPr>
        <w:t>Reader guide</w:t>
      </w:r>
    </w:p>
    <w:p>
      <w:pPr>
        <w:pStyle w:val="SectionStrap"/>
        <w:widowControl/>
      </w:pPr>
      <w:r>
        <w:t>How to use the report and interpret the evidence</w:t>
      </w:r>
    </w:p>
    <w:p>
      <w:pPr>
        <w:keepLines w:val="0"/>
        <w:widowControl/>
        <w:spacing w:after="100"/>
      </w:pPr>
      <w:r>
        <w:rPr>
          <w:color w:val="182026"/>
        </w:rPr>
        <w:t>This report answers the full industry-research question set through fifteen analytical sections, a question-to-section crosswalk and a source register. Each factual claim ends with one or more blue source markers. Every marker is a clickable link to the specific URL; the source register repeats the full URL and records what the source supports.</w:t>
      </w:r>
    </w:p>
    <w:tbl>
      <w:tblPr>
        <w:tblW w:type="auto" w:w="0"/>
        <w:jc w:val="center"/>
        <w:tblLayout w:type="fixed"/>
        <w:tblLook w:firstColumn="1" w:firstRow="1" w:lastColumn="0" w:lastRow="0" w:noHBand="0" w:noVBand="1" w:val="04A0"/>
      </w:tblPr>
      <w:tblGrid>
        <w:gridCol w:w="1800"/>
        <w:gridCol w:w="8424"/>
      </w:tblGrid>
      <w:tr>
        <w:trPr>
          <w:cantSplit w:val="true"/>
        </w:trPr>
        <w:tc>
          <w:tcPr>
            <w:tcW w:type="dxa" w:w="1800"/>
            <w:shd w:fill="1F5A7A"/>
            <w:tcMar>
              <w:top w:w="100" w:type="dxa"/>
              <w:start w:w="120" w:type="dxa"/>
              <w:bottom w:w="100" w:type="dxa"/>
              <w:end w:w="120" w:type="dxa"/>
            </w:tcMar>
            <w:tcBorders>
              <w:top w:val="single" w:sz="4" w:color="E5E9EC"/>
              <w:left w:val="single" w:sz="4" w:color="E5E9EC"/>
              <w:bottom w:val="single" w:sz="4" w:color="E5E9EC"/>
              <w:right w:val="single" w:sz="4" w:color="E5E9EC"/>
            </w:tcBorders>
          </w:tcPr>
          <w:p>
            <w:pPr>
              <w:jc w:val="center"/>
            </w:pPr>
            <w:r>
              <w:rPr>
                <w:b/>
                <w:color w:val="FFFFFF"/>
                <w:sz w:val="16"/>
              </w:rPr>
              <w:t>EVIDENCE</w:t>
            </w:r>
          </w:p>
        </w:tc>
        <w:tc>
          <w:tcPr>
            <w:tcW w:type="dxa" w:w="8424"/>
            <w:shd w:fill="F4F8FA"/>
            <w:tcMar>
              <w:top w:w="100" w:type="dxa"/>
              <w:start w:w="120" w:type="dxa"/>
              <w:bottom w:w="100" w:type="dxa"/>
              <w:end w:w="120" w:type="dxa"/>
            </w:tcMar>
            <w:tcBorders>
              <w:top w:val="single" w:sz="4" w:color="E5E9EC"/>
              <w:left w:val="single" w:sz="4" w:color="E5E9EC"/>
              <w:bottom w:val="single" w:sz="4" w:color="E5E9EC"/>
              <w:right w:val="single" w:sz="4" w:color="E5E9EC"/>
            </w:tcBorders>
          </w:tcPr>
          <w:p>
            <w:r>
              <w:rPr>
                <w:b/>
                <w:color w:val="182026"/>
                <w:sz w:val="19"/>
              </w:rPr>
              <w:t>Official laws, regulators and multilateral institutions are preferred. Company figures are clearly described as company disclosures. Trade press and market-research previews are used only where primary public data are absent.</w:t>
            </w:r>
          </w:p>
        </w:tc>
      </w:tr>
    </w:tbl>
    <w:p>
      <w:pPr>
        <w:widowControl/>
        <w:spacing w:after="0"/>
      </w:pPr>
    </w:p>
    <w:tbl>
      <w:tblPr>
        <w:tblW w:type="auto" w:w="0"/>
        <w:jc w:val="center"/>
        <w:tblLayout w:type="fixed"/>
        <w:tblLook w:firstColumn="1" w:firstRow="1" w:lastColumn="0" w:lastRow="0" w:noHBand="0" w:noVBand="1" w:val="04A0"/>
      </w:tblPr>
      <w:tblGrid>
        <w:gridCol w:w="1440"/>
        <w:gridCol w:w="3240"/>
        <w:gridCol w:w="5472"/>
      </w:tblGrid>
      <w:tr>
        <w:trPr>
          <w:trHeight w:hRule="atLeast"/>
          <w:tblHeader w:val="true"/>
          <w:cantSplit w:val="true"/>
        </w:trPr>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7"/>
              </w:rPr>
              <w:t>Marker</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7"/>
              </w:rPr>
              <w:t>Meaning</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7"/>
              </w:rPr>
              <w:t>How to read it</w:t>
            </w:r>
          </w:p>
        </w:tc>
      </w:tr>
      <w:tr>
        <w:trPr>
          <w:cantSplit w:val="true"/>
          <w:trHeight w:hRule="atLeast"/>
        </w:trPr>
        <w:tc>
          <w:tcPr>
            <w:tcW w:type="dxa" w:w="144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Fact</w:t>
            </w:r>
          </w:p>
        </w:tc>
        <w:tc>
          <w:tcPr>
            <w:tcW w:type="dxa" w:w="324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Externally verifiable statement</w:t>
            </w:r>
          </w:p>
        </w:tc>
        <w:tc>
          <w:tcPr>
            <w:tcW w:type="dxa" w:w="547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Ends with a clickable [Sxx] marker.</w:t>
            </w:r>
          </w:p>
        </w:tc>
      </w:tr>
      <w:tr>
        <w:trPr>
          <w:cantSplit w:val="true"/>
          <w:trHeight w:hRule="atLeast"/>
        </w:trPr>
        <w:tc>
          <w:tcPr>
            <w:tcW w:type="dxa" w:w="144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Interpretation</w:t>
            </w:r>
          </w:p>
        </w:tc>
        <w:tc>
          <w:tcPr>
            <w:tcW w:type="dxa" w:w="324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Synthesis from cited evidence</w:t>
            </w:r>
          </w:p>
        </w:tc>
        <w:tc>
          <w:tcPr>
            <w:tcW w:type="dxa" w:w="547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The underlying evidence is cited; the conclusion is analytical.</w:t>
            </w:r>
          </w:p>
        </w:tc>
      </w:tr>
      <w:tr>
        <w:trPr>
          <w:cantSplit w:val="true"/>
          <w:trHeight w:hRule="atLeast"/>
        </w:trPr>
        <w:tc>
          <w:tcPr>
            <w:tcW w:type="dxa" w:w="144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Data gap</w:t>
            </w:r>
          </w:p>
        </w:tc>
        <w:tc>
          <w:tcPr>
            <w:tcW w:type="dxa" w:w="324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Public evidence is incomplete or non-comparable</w:t>
            </w:r>
          </w:p>
        </w:tc>
        <w:tc>
          <w:tcPr>
            <w:tcW w:type="dxa" w:w="547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No estimate is inserted; the exact internal or paid data needed is specified.</w:t>
            </w:r>
          </w:p>
        </w:tc>
      </w:tr>
      <w:tr>
        <w:trPr>
          <w:cantSplit w:val="true"/>
          <w:trHeight w:hRule="atLeast"/>
        </w:trPr>
        <w:tc>
          <w:tcPr>
            <w:tcW w:type="dxa" w:w="144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Hypothesis</w:t>
            </w:r>
          </w:p>
        </w:tc>
        <w:tc>
          <w:tcPr>
            <w:tcW w:type="dxa" w:w="324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Proposition to test with portfolio data</w:t>
            </w:r>
          </w:p>
        </w:tc>
        <w:tc>
          <w:tcPr>
            <w:tcW w:type="dxa" w:w="547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Not presented as an established market fact.</w:t>
            </w:r>
          </w:p>
        </w:tc>
      </w:tr>
    </w:tbl>
    <w:p>
      <w:pPr>
        <w:widowControl/>
        <w:spacing w:after="0"/>
      </w:pPr>
    </w:p>
    <w:p>
      <w:pPr>
        <w:pStyle w:val="Heading2"/>
        <w:keepNext/>
        <w:widowControl/>
      </w:pPr>
      <w:r>
        <w:t>Contents</w:t>
      </w:r>
    </w:p>
    <w:p>
      <w:pPr>
        <w:pStyle w:val="ListBullet"/>
        <w:widowControl/>
        <w:spacing w:after="40"/>
      </w:pPr>
      <w:r>
        <w:rPr>
          <w:color w:val="182026"/>
        </w:rPr>
        <w:t>1 Executive conclusions</w:t>
      </w:r>
    </w:p>
    <w:p>
      <w:pPr>
        <w:pStyle w:val="ListBullet"/>
        <w:widowControl/>
        <w:spacing w:after="40"/>
      </w:pPr>
      <w:r>
        <w:rPr>
          <w:color w:val="182026"/>
        </w:rPr>
        <w:t>2 Industry boundary and Home Credit's position</w:t>
      </w:r>
    </w:p>
    <w:p>
      <w:pPr>
        <w:pStyle w:val="ListBullet"/>
        <w:widowControl/>
        <w:spacing w:after="40"/>
      </w:pPr>
      <w:r>
        <w:rPr>
          <w:color w:val="182026"/>
        </w:rPr>
        <w:t>3 Customer needs and segments</w:t>
      </w:r>
    </w:p>
    <w:p>
      <w:pPr>
        <w:pStyle w:val="ListBullet"/>
        <w:widowControl/>
        <w:spacing w:after="40"/>
      </w:pPr>
      <w:r>
        <w:rPr>
          <w:color w:val="182026"/>
        </w:rPr>
        <w:t>4 Market size, growth and demand</w:t>
      </w:r>
    </w:p>
    <w:p>
      <w:pPr>
        <w:pStyle w:val="ListBullet"/>
        <w:widowControl/>
        <w:spacing w:after="40"/>
      </w:pPr>
      <w:r>
        <w:rPr>
          <w:color w:val="182026"/>
        </w:rPr>
        <w:t>5 Products, pricing and customer journey</w:t>
      </w:r>
    </w:p>
    <w:p>
      <w:pPr>
        <w:pStyle w:val="ListBullet"/>
        <w:widowControl/>
        <w:spacing w:after="40"/>
      </w:pPr>
      <w:r>
        <w:rPr>
          <w:color w:val="182026"/>
        </w:rPr>
        <w:t>6 Value chain, distribution and competition</w:t>
      </w:r>
    </w:p>
    <w:p>
      <w:pPr>
        <w:pStyle w:val="ListBullet"/>
        <w:widowControl/>
        <w:spacing w:after="40"/>
      </w:pPr>
      <w:r>
        <w:rPr>
          <w:color w:val="182026"/>
        </w:rPr>
        <w:t>7 Business models, economics and profit pools</w:t>
      </w:r>
    </w:p>
    <w:p>
      <w:pPr>
        <w:pStyle w:val="ListBullet"/>
        <w:widowControl/>
        <w:spacing w:after="40"/>
      </w:pPr>
      <w:r>
        <w:rPr>
          <w:color w:val="182026"/>
        </w:rPr>
        <w:t>8 Credit underwriting, data and decision systems</w:t>
      </w:r>
    </w:p>
    <w:p>
      <w:pPr>
        <w:pStyle w:val="ListBullet"/>
        <w:widowControl/>
        <w:spacing w:after="40"/>
      </w:pPr>
      <w:r>
        <w:rPr>
          <w:color w:val="182026"/>
        </w:rPr>
        <w:t>9 Credit performance and collections</w:t>
      </w:r>
    </w:p>
    <w:p>
      <w:pPr>
        <w:pStyle w:val="ListBullet"/>
        <w:widowControl/>
        <w:spacing w:after="40"/>
      </w:pPr>
      <w:r>
        <w:rPr>
          <w:color w:val="182026"/>
        </w:rPr>
        <w:t>10 Regulation and supervisory direction</w:t>
      </w:r>
    </w:p>
    <w:p>
      <w:pPr>
        <w:pStyle w:val="ListBullet"/>
        <w:widowControl/>
        <w:spacing w:after="40"/>
      </w:pPr>
      <w:r>
        <w:rPr>
          <w:color w:val="182026"/>
        </w:rPr>
        <w:t>11 Technology, fraud and cyber resilience</w:t>
      </w:r>
    </w:p>
    <w:p>
      <w:pPr>
        <w:pStyle w:val="ListBullet"/>
        <w:widowControl/>
        <w:spacing w:after="40"/>
      </w:pPr>
      <w:r>
        <w:rPr>
          <w:color w:val="182026"/>
        </w:rPr>
        <w:t>12 Funding, capital and macro sensitivity</w:t>
      </w:r>
    </w:p>
    <w:p>
      <w:pPr>
        <w:pStyle w:val="ListBullet"/>
        <w:widowControl/>
        <w:spacing w:after="40"/>
      </w:pPr>
      <w:r>
        <w:rPr>
          <w:color w:val="182026"/>
        </w:rPr>
        <w:t>13 Responsible lending and social impact</w:t>
      </w:r>
    </w:p>
    <w:p>
      <w:pPr>
        <w:pStyle w:val="ListBullet"/>
        <w:widowControl/>
        <w:spacing w:after="40"/>
      </w:pPr>
      <w:r>
        <w:rPr>
          <w:color w:val="182026"/>
        </w:rPr>
        <w:t>14 Trends and scenarios</w:t>
      </w:r>
    </w:p>
    <w:p>
      <w:pPr>
        <w:pStyle w:val="ListBullet"/>
        <w:widowControl/>
        <w:spacing w:after="40"/>
      </w:pPr>
      <w:r>
        <w:rPr>
          <w:color w:val="182026"/>
        </w:rPr>
        <w:t>15 Implications and research agenda</w:t>
      </w:r>
    </w:p>
    <w:p>
      <w:pPr>
        <w:pStyle w:val="ListBullet"/>
        <w:widowControl/>
        <w:spacing w:after="40"/>
      </w:pPr>
      <w:r>
        <w:rPr>
          <w:color w:val="182026"/>
        </w:rPr>
        <w:t>Appendices: question crosswalk • data request • source register</w:t>
      </w:r>
    </w:p>
    <w:p>
      <w:pPr>
        <w:pStyle w:val="Heading2"/>
        <w:keepNext/>
        <w:widowControl/>
      </w:pPr>
      <w:r>
        <w:t>Scope choices</w:t>
      </w:r>
    </w:p>
    <w:p>
      <w:pPr>
        <w:keepLines w:val="0"/>
        <w:widowControl/>
        <w:spacing w:after="100"/>
      </w:pPr>
      <w:r>
        <w:rPr>
          <w:color w:val="182026"/>
        </w:rPr>
        <w:t xml:space="preserve">The geographic core is the Czech Republic, Slovakia and Vietnam because these are the three market websites named on Home Credit International's current contacts page. The report therefore does not treat former or historically associated markets as part of the current operating perimeter. </w:t>
      </w:r>
      <w:hyperlink r:id="rId11">
        <w:r>
          <w:rPr>
            <w:color w:val="1F5A7A"/>
            <w:b/>
            <w:sz w:val="16"/>
          </w:rPr>
          <w:t>[S01]</w:t>
        </w:r>
      </w:hyperlink>
    </w:p>
    <w:p>
      <w:pPr>
        <w:keepLines w:val="0"/>
        <w:widowControl/>
        <w:spacing w:after="100"/>
      </w:pPr>
      <w:r>
        <w:rPr>
          <w:color w:val="182026"/>
        </w:rPr>
        <w:t xml:space="preserve">Market statistics use the closest available public definitions, but the definitions differ: Czech regulator data cover a broad set of financial corporations engaged in lending, Slovak data separate consumer-credit companies within a wider lender population, and Vietnam's finance-company definition follows local consumer-lending rules. Cross-country totals and shares should therefore not be added together. </w:t>
      </w:r>
      <w:r>
        <w:t xml:space="preserve"> </w:t>
      </w:r>
      <w:hyperlink r:id="rId12">
        <w:r>
          <w:rPr>
            <w:color w:val="1F5A7A"/>
            <w:b/>
            <w:sz w:val="16"/>
          </w:rPr>
          <w:t>[S13]</w:t>
        </w:r>
      </w:hyperlink>
      <w:r>
        <w:t xml:space="preserve"> </w:t>
      </w:r>
      <w:hyperlink r:id="rId13">
        <w:r>
          <w:rPr>
            <w:color w:val="1F5A7A"/>
            <w:b/>
            <w:sz w:val="16"/>
          </w:rPr>
          <w:t>[S16]</w:t>
        </w:r>
      </w:hyperlink>
      <w:r>
        <w:t xml:space="preserve"> </w:t>
      </w:r>
      <w:hyperlink r:id="rId14">
        <w:r>
          <w:rPr>
            <w:color w:val="1F5A7A"/>
            <w:b/>
            <w:sz w:val="16"/>
          </w:rPr>
          <w:t>[S18]</w:t>
        </w:r>
      </w:hyperlink>
    </w:p>
    <w:p>
      <w:pPr>
        <w:widowControl/>
      </w:pPr>
      <w:r>
        <w:br w:type="page"/>
      </w:r>
    </w:p>
    <w:p>
      <w:pPr>
        <w:pStyle w:val="Heading1"/>
        <w:keepNext/>
        <w:widowControl/>
      </w:pPr>
      <w:r>
        <w:rPr>
          <w:color w:val="0C7C86"/>
        </w:rPr>
        <w:t xml:space="preserve">1  </w:t>
      </w:r>
      <w:r>
        <w:rPr>
          <w:color w:val="16324F"/>
        </w:rPr>
        <w:t>Executive conclusions</w:t>
      </w:r>
    </w:p>
    <w:p>
      <w:pPr>
        <w:pStyle w:val="SectionStrap"/>
        <w:widowControl/>
      </w:pPr>
      <w:r>
        <w:t>What the research says before the detail</w:t>
      </w:r>
    </w:p>
    <w:tbl>
      <w:tblPr>
        <w:tblW w:type="auto" w:w="0"/>
        <w:jc w:val="center"/>
        <w:tblLayout w:type="fixed"/>
        <w:tblLook w:firstColumn="1" w:firstRow="1" w:lastColumn="0" w:lastRow="0" w:noHBand="0" w:noVBand="1" w:val="04A0"/>
      </w:tblPr>
      <w:tblGrid>
        <w:gridCol w:w="1800"/>
        <w:gridCol w:w="8424"/>
      </w:tblGrid>
      <w:tr>
        <w:trPr>
          <w:cantSplit w:val="true"/>
        </w:trPr>
        <w:tc>
          <w:tcPr>
            <w:tcW w:type="dxa" w:w="1800"/>
            <w:shd w:fill="0C7C86"/>
            <w:tcMar>
              <w:top w:w="100" w:type="dxa"/>
              <w:start w:w="120" w:type="dxa"/>
              <w:bottom w:w="100" w:type="dxa"/>
              <w:end w:w="120" w:type="dxa"/>
            </w:tcMar>
            <w:tcBorders>
              <w:top w:val="single" w:sz="4" w:color="E5E9EC"/>
              <w:left w:val="single" w:sz="4" w:color="E5E9EC"/>
              <w:bottom w:val="single" w:sz="4" w:color="E5E9EC"/>
              <w:right w:val="single" w:sz="4" w:color="E5E9EC"/>
            </w:tcBorders>
          </w:tcPr>
          <w:p>
            <w:pPr>
              <w:jc w:val="center"/>
            </w:pPr>
            <w:r>
              <w:rPr>
                <w:b/>
                <w:color w:val="FFFFFF"/>
                <w:sz w:val="16"/>
              </w:rPr>
              <w:t>THESIS</w:t>
            </w:r>
          </w:p>
        </w:tc>
        <w:tc>
          <w:tcPr>
            <w:tcW w:type="dxa" w:w="8424"/>
            <w:shd w:fill="F4F8FA"/>
            <w:tcMar>
              <w:top w:w="100" w:type="dxa"/>
              <w:start w:w="120" w:type="dxa"/>
              <w:bottom w:w="100" w:type="dxa"/>
              <w:end w:w="120" w:type="dxa"/>
            </w:tcMar>
            <w:tcBorders>
              <w:top w:val="single" w:sz="4" w:color="E5E9EC"/>
              <w:left w:val="single" w:sz="4" w:color="E5E9EC"/>
              <w:bottom w:val="single" w:sz="4" w:color="E5E9EC"/>
              <w:right w:val="single" w:sz="4" w:color="E5E9EC"/>
            </w:tcBorders>
          </w:tcPr>
          <w:p>
            <w:r>
              <w:rPr>
                <w:b/>
                <w:color w:val="182026"/>
                <w:sz w:val="19"/>
              </w:rPr>
              <w:t>The industry is not simply 'personal loans.' It is an operating system that connects merchant acquisition, fast credit decisions, balance-sheet funding, servicing and collections across point-of-sale, cash, revolving and embedded-credit products.</w:t>
            </w:r>
            <w:r>
              <w:t xml:space="preserve"> </w:t>
            </w:r>
            <w:hyperlink r:id="rId15">
              <w:r>
                <w:rPr>
                  <w:color w:val="1F5A7A"/>
                  <w:b/>
                  <w:sz w:val="16"/>
                </w:rPr>
                <w:t>[S02]</w:t>
              </w:r>
            </w:hyperlink>
            <w:r>
              <w:t xml:space="preserve"> </w:t>
            </w:r>
            <w:hyperlink r:id="rId16">
              <w:r>
                <w:rPr>
                  <w:color w:val="1F5A7A"/>
                  <w:b/>
                  <w:sz w:val="16"/>
                </w:rPr>
                <w:t>[S03]</w:t>
              </w:r>
            </w:hyperlink>
            <w:r>
              <w:t xml:space="preserve"> </w:t>
            </w:r>
            <w:hyperlink r:id="rId17">
              <w:r>
                <w:rPr>
                  <w:color w:val="1F5A7A"/>
                  <w:b/>
                  <w:sz w:val="16"/>
                </w:rPr>
                <w:t>[S19]</w:t>
              </w:r>
            </w:hyperlink>
            <w:r>
              <w:t xml:space="preserve"> </w:t>
            </w:r>
            <w:hyperlink r:id="rId18">
              <w:r>
                <w:rPr>
                  <w:color w:val="1F5A7A"/>
                  <w:b/>
                  <w:sz w:val="16"/>
                </w:rPr>
                <w:t>[S22]</w:t>
              </w:r>
            </w:hyperlink>
          </w:p>
        </w:tc>
      </w:tr>
    </w:tbl>
    <w:p>
      <w:pPr>
        <w:widowControl/>
        <w:spacing w:after="0"/>
      </w:pPr>
    </w:p>
    <w:tbl>
      <w:tblPr>
        <w:tblW w:type="auto" w:w="0"/>
        <w:jc w:val="center"/>
        <w:tblLayout w:type="fixed"/>
        <w:tblLook w:firstColumn="1" w:firstRow="1" w:lastColumn="0" w:lastRow="0" w:noHBand="0" w:noVBand="1" w:val="04A0"/>
      </w:tblPr>
      <w:tblGrid>
        <w:gridCol w:w="504"/>
        <w:gridCol w:w="1800"/>
        <w:gridCol w:w="3960"/>
        <w:gridCol w:w="3960"/>
      </w:tblGrid>
      <w:tr>
        <w:trPr>
          <w:trHeight w:hRule="atLeast"/>
          <w:tblHeader w:val="true"/>
          <w:cantSplit w:val="true"/>
        </w:trPr>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Conclusion</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Evidence</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Decision implication</w:t>
            </w:r>
          </w:p>
        </w:tc>
      </w:tr>
      <w:tr>
        <w:trPr>
          <w:cantSplit w:val="true"/>
          <w:trHeight w:hRule="atLeast"/>
        </w:trPr>
        <w:tc>
          <w:tcPr>
            <w:tcW w:type="dxa" w:w="50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1</w:t>
            </w:r>
          </w:p>
        </w:tc>
        <w:tc>
          <w:tcPr>
            <w:tcW w:type="dxa" w:w="18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The perimeter is converging</w:t>
            </w:r>
          </w:p>
        </w:tc>
        <w:tc>
          <w:tcPr>
            <w:tcW w:type="dxa" w:w="396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POS instalments, cash loans, cards/revolving credit, BNPL-like flows and insurance are converging inside apps and retailer ecosystems. The competitive set therefore spans banks, finance companies, fintechs, retailers and captive/e-commerce lenders.</w:t>
            </w:r>
          </w:p>
        </w:tc>
        <w:tc>
          <w:tcPr>
            <w:tcW w:type="dxa" w:w="396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Treat product and channel boundaries as porous; compare economics at the customer/cohort level, not only by legal product.</w:t>
            </w:r>
            <w:r>
              <w:t xml:space="preserve"> </w:t>
            </w:r>
            <w:hyperlink r:id="rId15">
              <w:r>
                <w:rPr>
                  <w:color w:val="1F5A7A"/>
                  <w:b/>
                  <w:sz w:val="15"/>
                </w:rPr>
                <w:t>[S02]</w:t>
              </w:r>
            </w:hyperlink>
            <w:r>
              <w:t xml:space="preserve"> </w:t>
            </w:r>
            <w:hyperlink r:id="rId16">
              <w:r>
                <w:rPr>
                  <w:color w:val="1F5A7A"/>
                  <w:b/>
                  <w:sz w:val="15"/>
                </w:rPr>
                <w:t>[S03]</w:t>
              </w:r>
            </w:hyperlink>
            <w:r>
              <w:t xml:space="preserve"> </w:t>
            </w:r>
            <w:hyperlink r:id="rId19">
              <w:r>
                <w:rPr>
                  <w:color w:val="1F5A7A"/>
                  <w:b/>
                  <w:sz w:val="15"/>
                </w:rPr>
                <w:t>[S11]</w:t>
              </w:r>
            </w:hyperlink>
            <w:r>
              <w:t xml:space="preserve"> </w:t>
            </w:r>
            <w:hyperlink r:id="rId17">
              <w:r>
                <w:rPr>
                  <w:color w:val="1F5A7A"/>
                  <w:b/>
                  <w:sz w:val="15"/>
                </w:rPr>
                <w:t>[S19]</w:t>
              </w:r>
            </w:hyperlink>
          </w:p>
        </w:tc>
      </w:tr>
      <w:tr>
        <w:trPr>
          <w:cantSplit w:val="true"/>
          <w:trHeight w:hRule="atLeast"/>
        </w:trPr>
        <w:tc>
          <w:tcPr>
            <w:tcW w:type="dxa" w:w="50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2</w:t>
            </w:r>
          </w:p>
        </w:tc>
        <w:tc>
          <w:tcPr>
            <w:tcW w:type="dxa" w:w="180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Home Credit has visible momentum</w:t>
            </w:r>
          </w:p>
        </w:tc>
        <w:tc>
          <w:tcPr>
            <w:tcW w:type="dxa" w:w="396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In 2025, combined Czech-Slovak originations rose 13%, the portfolio rose 14% and clients exceeded 398,000. Czech originations were CZK 21.2bn; Slovak originations were €351.2m.</w:t>
            </w:r>
          </w:p>
        </w:tc>
        <w:tc>
          <w:tcPr>
            <w:tcW w:type="dxa" w:w="396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Growth quality must be tested by vintage losses, contribution after funding and repeat-customer behavior.</w:t>
            </w:r>
            <w:r>
              <w:t xml:space="preserve"> </w:t>
            </w:r>
            <w:hyperlink r:id="rId20">
              <w:r>
                <w:rPr>
                  <w:color w:val="1F5A7A"/>
                  <w:b/>
                  <w:sz w:val="15"/>
                </w:rPr>
                <w:t>[S04]</w:t>
              </w:r>
            </w:hyperlink>
            <w:r>
              <w:t xml:space="preserve"> </w:t>
            </w:r>
            <w:hyperlink r:id="rId21">
              <w:r>
                <w:rPr>
                  <w:color w:val="1F5A7A"/>
                  <w:b/>
                  <w:sz w:val="15"/>
                </w:rPr>
                <w:t>[S05]</w:t>
              </w:r>
            </w:hyperlink>
          </w:p>
        </w:tc>
      </w:tr>
      <w:tr>
        <w:trPr>
          <w:cantSplit w:val="true"/>
          <w:trHeight w:hRule="atLeast"/>
        </w:trPr>
        <w:tc>
          <w:tcPr>
            <w:tcW w:type="dxa" w:w="50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3</w:t>
            </w:r>
          </w:p>
        </w:tc>
        <w:tc>
          <w:tcPr>
            <w:tcW w:type="dxa" w:w="18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Digital completion is now table stakes</w:t>
            </w:r>
          </w:p>
        </w:tc>
        <w:tc>
          <w:tcPr>
            <w:tcW w:type="dxa" w:w="396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Home Credit reported that 80% of instalment purchases in Czechia and Slovakia were completed online and more than 60% of online transactions were fully digital without human intervention.</w:t>
            </w:r>
          </w:p>
        </w:tc>
        <w:tc>
          <w:tcPr>
            <w:tcW w:type="dxa" w:w="396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The differentiator shifts from digitizing forms to decision quality, funnel conversion, fraud controls and post-sale engagement.</w:t>
            </w:r>
            <w:r>
              <w:t xml:space="preserve"> </w:t>
            </w:r>
            <w:hyperlink r:id="rId20">
              <w:r>
                <w:rPr>
                  <w:color w:val="1F5A7A"/>
                  <w:b/>
                  <w:sz w:val="15"/>
                </w:rPr>
                <w:t>[S04]</w:t>
              </w:r>
            </w:hyperlink>
          </w:p>
        </w:tc>
      </w:tr>
      <w:tr>
        <w:trPr>
          <w:cantSplit w:val="true"/>
          <w:trHeight w:hRule="atLeast"/>
        </w:trPr>
        <w:tc>
          <w:tcPr>
            <w:tcW w:type="dxa" w:w="50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4</w:t>
            </w:r>
          </w:p>
        </w:tc>
        <w:tc>
          <w:tcPr>
            <w:tcW w:type="dxa" w:w="180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Vietnam offers growth with dispersion</w:t>
            </w:r>
          </w:p>
        </w:tc>
        <w:tc>
          <w:tcPr>
            <w:tcW w:type="dxa" w:w="396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Home Credit Vietnam disclosed 236,900 underbanked customers reached and a 1.7% NPL ratio in 2025. Trade press reported H1 2026 profit growth across six finance companies but large differences in profit and provisioning.</w:t>
            </w:r>
          </w:p>
        </w:tc>
        <w:tc>
          <w:tcPr>
            <w:tcW w:type="dxa" w:w="396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Do not treat a sector rebound as uniform; competitor and cohort economics must be separated.</w:t>
            </w:r>
            <w:r>
              <w:t xml:space="preserve"> </w:t>
            </w:r>
            <w:hyperlink r:id="rId22">
              <w:r>
                <w:rPr>
                  <w:color w:val="1F5A7A"/>
                  <w:b/>
                  <w:sz w:val="15"/>
                </w:rPr>
                <w:t>[S09]</w:t>
              </w:r>
            </w:hyperlink>
            <w:r>
              <w:t xml:space="preserve"> </w:t>
            </w:r>
            <w:hyperlink r:id="rId23">
              <w:r>
                <w:rPr>
                  <w:color w:val="1F5A7A"/>
                  <w:b/>
                  <w:sz w:val="15"/>
                </w:rPr>
                <w:t>[S10]</w:t>
              </w:r>
            </w:hyperlink>
          </w:p>
        </w:tc>
      </w:tr>
      <w:tr>
        <w:trPr>
          <w:cantSplit w:val="true"/>
          <w:trHeight w:hRule="atLeast"/>
        </w:trPr>
        <w:tc>
          <w:tcPr>
            <w:tcW w:type="dxa" w:w="50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5</w:t>
            </w:r>
          </w:p>
        </w:tc>
        <w:tc>
          <w:tcPr>
            <w:tcW w:type="dxa" w:w="18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Affordability and explainability are strategic capabilities</w:t>
            </w:r>
          </w:p>
        </w:tc>
        <w:tc>
          <w:tcPr>
            <w:tcW w:type="dxa" w:w="396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The revised EU Consumer Credit Directive expands product scope and strengthens creditworthiness, automated-decision and forbearance duties. Credit-scoring AI is an Annex III high-risk use under the EU AI Act, with the relevant obligations postponed to December 2027.</w:t>
            </w:r>
          </w:p>
        </w:tc>
        <w:tc>
          <w:tcPr>
            <w:tcW w:type="dxa" w:w="396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Build one evidence trail spanning data provenance, affordability, model decisions, human review and customer outcomes.</w:t>
            </w:r>
            <w:r>
              <w:t xml:space="preserve"> </w:t>
            </w:r>
            <w:hyperlink r:id="rId24">
              <w:r>
                <w:rPr>
                  <w:color w:val="1F5A7A"/>
                  <w:b/>
                  <w:sz w:val="15"/>
                </w:rPr>
                <w:t>[S23]</w:t>
              </w:r>
            </w:hyperlink>
            <w:r>
              <w:t xml:space="preserve"> </w:t>
            </w:r>
            <w:hyperlink r:id="rId25">
              <w:r>
                <w:rPr>
                  <w:color w:val="1F5A7A"/>
                  <w:b/>
                  <w:sz w:val="15"/>
                </w:rPr>
                <w:t>[S24]</w:t>
              </w:r>
            </w:hyperlink>
            <w:r>
              <w:t xml:space="preserve"> </w:t>
            </w:r>
            <w:hyperlink r:id="rId26">
              <w:r>
                <w:rPr>
                  <w:color w:val="1F5A7A"/>
                  <w:b/>
                  <w:sz w:val="15"/>
                </w:rPr>
                <w:t>[S25]</w:t>
              </w:r>
            </w:hyperlink>
          </w:p>
        </w:tc>
      </w:tr>
      <w:tr>
        <w:trPr>
          <w:cantSplit w:val="true"/>
          <w:trHeight w:hRule="atLeast"/>
        </w:trPr>
        <w:tc>
          <w:tcPr>
            <w:tcW w:type="dxa" w:w="50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6</w:t>
            </w:r>
          </w:p>
        </w:tc>
        <w:tc>
          <w:tcPr>
            <w:tcW w:type="dxa" w:w="180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Funding is part of the product model</w:t>
            </w:r>
          </w:p>
        </w:tc>
        <w:tc>
          <w:tcPr>
            <w:tcW w:type="dxa" w:w="396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BIS identifies credit, liquidity, leverage and interconnectedness risks in nonbank retail lending. Slovak sector data show strong reliance on external funding across financial corporations engaged in lending.</w:t>
            </w:r>
          </w:p>
        </w:tc>
        <w:tc>
          <w:tcPr>
            <w:tcW w:type="dxa" w:w="396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Price products and channels against marginal funding cost, liquidity stress and loss volatility—not only headline yield.</w:t>
            </w:r>
            <w:r>
              <w:t xml:space="preserve"> </w:t>
            </w:r>
            <w:hyperlink r:id="rId13">
              <w:r>
                <w:rPr>
                  <w:color w:val="1F5A7A"/>
                  <w:b/>
                  <w:sz w:val="15"/>
                </w:rPr>
                <w:t>[S16]</w:t>
              </w:r>
            </w:hyperlink>
            <w:r>
              <w:t xml:space="preserve"> </w:t>
            </w:r>
            <w:hyperlink r:id="rId18">
              <w:r>
                <w:rPr>
                  <w:color w:val="1F5A7A"/>
                  <w:b/>
                  <w:sz w:val="15"/>
                </w:rPr>
                <w:t>[S22]</w:t>
              </w:r>
            </w:hyperlink>
          </w:p>
        </w:tc>
      </w:tr>
      <w:tr>
        <w:trPr>
          <w:cantSplit w:val="true"/>
          <w:trHeight w:hRule="atLeast"/>
        </w:trPr>
        <w:tc>
          <w:tcPr>
            <w:tcW w:type="dxa" w:w="50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7</w:t>
            </w:r>
          </w:p>
        </w:tc>
        <w:tc>
          <w:tcPr>
            <w:tcW w:type="dxa" w:w="18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Responsible lending protects franchise value</w:t>
            </w:r>
          </w:p>
        </w:tc>
        <w:tc>
          <w:tcPr>
            <w:tcW w:type="dxa" w:w="396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World Bank/CGAP documents digital-credit risks including overindebtedness, data misuse, opaque decisions and abusive collections. Czech independent research also identifies large pricing and assessment differences across products.</w:t>
            </w:r>
          </w:p>
        </w:tc>
        <w:tc>
          <w:tcPr>
            <w:tcW w:type="dxa" w:w="396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Use customer-outcome indicators as leading risk metrics rather than an after-the-fact ESG narrative.</w:t>
            </w:r>
            <w:r>
              <w:t xml:space="preserve"> </w:t>
            </w:r>
            <w:hyperlink r:id="rId17">
              <w:r>
                <w:rPr>
                  <w:color w:val="1F5A7A"/>
                  <w:b/>
                  <w:sz w:val="15"/>
                </w:rPr>
                <w:t>[S19]</w:t>
              </w:r>
            </w:hyperlink>
            <w:r>
              <w:t xml:space="preserve"> </w:t>
            </w:r>
            <w:hyperlink r:id="rId27">
              <w:r>
                <w:rPr>
                  <w:color w:val="1F5A7A"/>
                  <w:b/>
                  <w:sz w:val="15"/>
                </w:rPr>
                <w:t>[S32]</w:t>
              </w:r>
            </w:hyperlink>
          </w:p>
        </w:tc>
      </w:tr>
    </w:tbl>
    <w:p>
      <w:pPr>
        <w:widowControl/>
        <w:spacing w:after="0"/>
      </w:pPr>
    </w:p>
    <w:p>
      <w:pPr>
        <w:pStyle w:val="Heading2"/>
        <w:keepNext/>
        <w:widowControl/>
      </w:pPr>
      <w:r>
        <w:t>The decision in one sentence</w:t>
      </w:r>
    </w:p>
    <w:p>
      <w:pPr>
        <w:keepLines w:val="0"/>
        <w:widowControl/>
        <w:spacing w:after="100"/>
      </w:pPr>
      <w:r>
        <w:rPr>
          <w:color w:val="182026"/>
        </w:rPr>
        <w:t>Prioritize profitable, explainable digital growth: deepen retailer and app ecosystems where acceptance and repeat use improve unit economics, while hardening affordability, model governance, collections and funding resilience before scaling risk appetite.</w:t>
      </w:r>
      <w:r>
        <w:t xml:space="preserve"> </w:t>
      </w:r>
      <w:hyperlink r:id="rId20">
        <w:r>
          <w:rPr>
            <w:color w:val="1F5A7A"/>
            <w:b/>
            <w:sz w:val="16"/>
          </w:rPr>
          <w:t>[S04]</w:t>
        </w:r>
      </w:hyperlink>
      <w:r>
        <w:t xml:space="preserve"> </w:t>
      </w:r>
      <w:hyperlink r:id="rId17">
        <w:r>
          <w:rPr>
            <w:color w:val="1F5A7A"/>
            <w:b/>
            <w:sz w:val="16"/>
          </w:rPr>
          <w:t>[S19]</w:t>
        </w:r>
      </w:hyperlink>
      <w:r>
        <w:t xml:space="preserve"> </w:t>
      </w:r>
      <w:hyperlink r:id="rId24">
        <w:r>
          <w:rPr>
            <w:color w:val="1F5A7A"/>
            <w:b/>
            <w:sz w:val="16"/>
          </w:rPr>
          <w:t>[S23]</w:t>
        </w:r>
      </w:hyperlink>
      <w:r>
        <w:t xml:space="preserve"> </w:t>
      </w:r>
      <w:hyperlink r:id="rId25">
        <w:r>
          <w:rPr>
            <w:color w:val="1F5A7A"/>
            <w:b/>
            <w:sz w:val="16"/>
          </w:rPr>
          <w:t>[S24]</w:t>
        </w:r>
      </w:hyperlink>
    </w:p>
    <w:p>
      <w:pPr>
        <w:pStyle w:val="Heading2"/>
        <w:keepNext/>
        <w:widowControl/>
      </w:pPr>
      <w:r>
        <w:t>What public evidence does not establish</w:t>
      </w:r>
    </w:p>
    <w:p>
      <w:pPr>
        <w:keepLines w:val="0"/>
        <w:widowControl/>
        <w:spacing w:after="100"/>
      </w:pPr>
      <w:r>
        <w:rPr>
          <w:color w:val="182026"/>
        </w:rPr>
        <w:t>Public sources do not provide a comparable current total-addressable-market figure, Home Credit market share, risk-adjusted margin, customer acquisition cost, repeat-loan profitability, vintage loss curves or collections cost across all three markets. The report uses disclosed volumes and regulator-defined proxies, and Appendix B specifies the internal data required to complete those answers.</w:t>
      </w:r>
    </w:p>
    <w:p>
      <w:pPr>
        <w:widowControl/>
        <w:spacing w:after="40"/>
      </w:pPr>
    </w:p>
    <w:p>
      <w:pPr>
        <w:pStyle w:val="Heading1"/>
        <w:keepNext/>
        <w:widowControl/>
      </w:pPr>
      <w:r>
        <w:rPr>
          <w:color w:val="0C7C86"/>
        </w:rPr>
        <w:t xml:space="preserve">2  </w:t>
      </w:r>
      <w:r>
        <w:rPr>
          <w:color w:val="16324F"/>
        </w:rPr>
        <w:t>Industry boundary and Home Credit's position</w:t>
      </w:r>
    </w:p>
    <w:p>
      <w:pPr>
        <w:pStyle w:val="SectionStrap"/>
        <w:widowControl/>
      </w:pPr>
      <w:r>
        <w:t>Define the market before sizing or benchmarking it</w:t>
      </w:r>
    </w:p>
    <w:p>
      <w:pPr>
        <w:keepLines w:val="0"/>
        <w:widowControl/>
        <w:spacing w:after="100"/>
      </w:pPr>
      <w:r>
        <w:rPr>
          <w:color w:val="182026"/>
        </w:rPr>
        <w:t xml:space="preserve">Home Credit describes itself as a consumer-finance provider serving customers through online and offline channels, business partners and ecosystems. PPF describes its offer as point-of-sale finance, cash and multipurpose loans, revolving credit and insurance, supported by predictive tools and data analytics. </w:t>
      </w:r>
      <w:r>
        <w:t xml:space="preserve"> </w:t>
      </w:r>
      <w:hyperlink r:id="rId15">
        <w:r>
          <w:rPr>
            <w:color w:val="1F5A7A"/>
            <w:b/>
            <w:sz w:val="16"/>
          </w:rPr>
          <w:t>[S02]</w:t>
        </w:r>
      </w:hyperlink>
      <w:r>
        <w:t xml:space="preserve"> </w:t>
      </w:r>
      <w:hyperlink r:id="rId16">
        <w:r>
          <w:rPr>
            <w:color w:val="1F5A7A"/>
            <w:b/>
            <w:sz w:val="16"/>
          </w:rPr>
          <w:t>[S03]</w:t>
        </w:r>
      </w:hyperlink>
    </w:p>
    <w:p>
      <w:pPr>
        <w:pStyle w:val="Heading2"/>
        <w:keepNext/>
        <w:widowControl/>
      </w:pPr>
      <w:r>
        <w:t>Working industry definition</w:t>
      </w:r>
    </w:p>
    <w:p>
      <w:pPr>
        <w:keepLines w:val="0"/>
        <w:widowControl/>
        <w:spacing w:after="100"/>
      </w:pPr>
      <w:r>
        <w:rPr>
          <w:color w:val="182026"/>
        </w:rPr>
        <w:t>For this report, the relevant industry is nonbank retail consumer finance: regulated credit supplied to individuals outside a traditional deposit-funded bank relationship, often embedded at a merchant or delivered digitally, together with closely connected revolving/card and protection products. Banks remain competitors and substitutes even when they sit outside the legal nonbank perimeter.</w:t>
      </w:r>
      <w:r>
        <w:t xml:space="preserve"> </w:t>
      </w:r>
      <w:hyperlink r:id="rId16">
        <w:r>
          <w:rPr>
            <w:color w:val="1F5A7A"/>
            <w:b/>
            <w:sz w:val="16"/>
          </w:rPr>
          <w:t>[S03]</w:t>
        </w:r>
      </w:hyperlink>
      <w:r>
        <w:t xml:space="preserve"> </w:t>
      </w:r>
      <w:hyperlink r:id="rId17">
        <w:r>
          <w:rPr>
            <w:color w:val="1F5A7A"/>
            <w:b/>
            <w:sz w:val="16"/>
          </w:rPr>
          <w:t>[S19]</w:t>
        </w:r>
      </w:hyperlink>
      <w:r>
        <w:t xml:space="preserve"> </w:t>
      </w:r>
      <w:hyperlink r:id="rId18">
        <w:r>
          <w:rPr>
            <w:color w:val="1F5A7A"/>
            <w:b/>
            <w:sz w:val="16"/>
          </w:rPr>
          <w:t>[S22]</w:t>
        </w:r>
      </w:hyperlink>
    </w:p>
    <w:tbl>
      <w:tblPr>
        <w:tblW w:type="auto" w:w="0"/>
        <w:jc w:val="center"/>
        <w:tblLayout w:type="fixed"/>
        <w:tblLook w:firstColumn="1" w:firstRow="1" w:lastColumn="0" w:lastRow="0" w:noHBand="0" w:noVBand="1" w:val="04A0"/>
      </w:tblPr>
      <w:tblGrid>
        <w:gridCol w:w="1656"/>
        <w:gridCol w:w="3672"/>
        <w:gridCol w:w="4824"/>
      </w:tblGrid>
      <w:tr>
        <w:trPr>
          <w:trHeight w:hRule="atLeast"/>
          <w:tblHeader w:val="true"/>
          <w:cantSplit w:val="true"/>
        </w:trPr>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7"/>
              </w:rPr>
              <w:t>Layer</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7"/>
              </w:rPr>
              <w:t>Included</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7"/>
              </w:rPr>
              <w:t>Boundary note</w:t>
            </w:r>
          </w:p>
        </w:tc>
      </w:tr>
      <w:tr>
        <w:trPr>
          <w:cantSplit w:val="true"/>
          <w:trHeight w:hRule="atLeast"/>
        </w:trPr>
        <w:tc>
          <w:tcPr>
            <w:tcW w:type="dxa" w:w="165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Core credit</w:t>
            </w:r>
          </w:p>
        </w:tc>
        <w:tc>
          <w:tcPr>
            <w:tcW w:type="dxa" w:w="367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POS instalment loans; unsecured cash/personal loans; revolving credit and cards</w:t>
            </w:r>
          </w:p>
        </w:tc>
        <w:tc>
          <w:tcPr>
            <w:tcW w:type="dxa" w:w="482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 xml:space="preserve">Directly aligned with Home Credit's disclosed product families. </w:t>
            </w:r>
            <w:hyperlink r:id="rId16">
              <w:r>
                <w:rPr>
                  <w:color w:val="1F5A7A"/>
                  <w:b/>
                  <w:sz w:val="17"/>
                </w:rPr>
                <w:t>[S03]</w:t>
              </w:r>
            </w:hyperlink>
          </w:p>
        </w:tc>
      </w:tr>
      <w:tr>
        <w:trPr>
          <w:cantSplit w:val="true"/>
          <w:trHeight w:hRule="atLeast"/>
        </w:trPr>
        <w:tc>
          <w:tcPr>
            <w:tcW w:type="dxa" w:w="165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Embedded credit</w:t>
            </w:r>
          </w:p>
        </w:tc>
        <w:tc>
          <w:tcPr>
            <w:tcW w:type="dxa" w:w="367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Merchant checkout finance; app-based instalments; qualifying BNPL structures</w:t>
            </w:r>
          </w:p>
        </w:tc>
        <w:tc>
          <w:tcPr>
            <w:tcW w:type="dxa" w:w="482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 xml:space="preserve">Delivery model can be a product, channel or partnership rather than a separate industry. </w:t>
            </w:r>
            <w:hyperlink r:id="rId19">
              <w:r>
                <w:rPr>
                  <w:color w:val="1F5A7A"/>
                  <w:b/>
                  <w:sz w:val="17"/>
                </w:rPr>
                <w:t>[S11]</w:t>
              </w:r>
            </w:hyperlink>
            <w:r>
              <w:rPr>
                <w:color w:val="182026"/>
                <w:sz w:val="17"/>
              </w:rPr>
              <w:t xml:space="preserve"> </w:t>
            </w:r>
            <w:hyperlink r:id="rId17">
              <w:r>
                <w:rPr>
                  <w:color w:val="1F5A7A"/>
                  <w:b/>
                  <w:sz w:val="17"/>
                </w:rPr>
                <w:t>[S19]</w:t>
              </w:r>
            </w:hyperlink>
          </w:p>
        </w:tc>
      </w:tr>
      <w:tr>
        <w:trPr>
          <w:cantSplit w:val="true"/>
          <w:trHeight w:hRule="atLeast"/>
        </w:trPr>
        <w:tc>
          <w:tcPr>
            <w:tcW w:type="dxa" w:w="165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Adjacent revenue</w:t>
            </w:r>
          </w:p>
        </w:tc>
        <w:tc>
          <w:tcPr>
            <w:tcW w:type="dxa" w:w="367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Payment services; credit-linked insurance; merchant services</w:t>
            </w:r>
          </w:p>
        </w:tc>
        <w:tc>
          <w:tcPr>
            <w:tcW w:type="dxa" w:w="482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 xml:space="preserve">Include when economics or risk are contractually linked to the credit relationship. </w:t>
            </w:r>
            <w:hyperlink r:id="rId15">
              <w:r>
                <w:rPr>
                  <w:color w:val="1F5A7A"/>
                  <w:b/>
                  <w:sz w:val="17"/>
                </w:rPr>
                <w:t>[S02]</w:t>
              </w:r>
            </w:hyperlink>
            <w:r>
              <w:rPr>
                <w:color w:val="182026"/>
                <w:sz w:val="17"/>
              </w:rPr>
              <w:t xml:space="preserve"> </w:t>
            </w:r>
            <w:hyperlink r:id="rId16">
              <w:r>
                <w:rPr>
                  <w:color w:val="1F5A7A"/>
                  <w:b/>
                  <w:sz w:val="17"/>
                </w:rPr>
                <w:t>[S03]</w:t>
              </w:r>
            </w:hyperlink>
          </w:p>
        </w:tc>
      </w:tr>
      <w:tr>
        <w:trPr>
          <w:cantSplit w:val="true"/>
          <w:trHeight w:hRule="atLeast"/>
        </w:trPr>
        <w:tc>
          <w:tcPr>
            <w:tcW w:type="dxa" w:w="165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Substitutes</w:t>
            </w:r>
          </w:p>
        </w:tc>
        <w:tc>
          <w:tcPr>
            <w:tcW w:type="dxa" w:w="367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Bank consumer loans/cards; retailer credit; captive vehicle finance; wage advances; informal borrowing</w:t>
            </w:r>
          </w:p>
        </w:tc>
        <w:tc>
          <w:tcPr>
            <w:tcW w:type="dxa" w:w="482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Include in customer-choice and price comparisons, but separate regulatory and funding models.</w:t>
            </w:r>
          </w:p>
        </w:tc>
      </w:tr>
      <w:tr>
        <w:trPr>
          <w:cantSplit w:val="true"/>
          <w:trHeight w:hRule="atLeast"/>
        </w:trPr>
        <w:tc>
          <w:tcPr>
            <w:tcW w:type="dxa" w:w="165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Excluded from core</w:t>
            </w:r>
          </w:p>
        </w:tc>
        <w:tc>
          <w:tcPr>
            <w:tcW w:type="dxa" w:w="367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Mortgages; SME finance; pure payments; deposit products; debt collection purchased from third parties</w:t>
            </w:r>
          </w:p>
        </w:tc>
        <w:tc>
          <w:tcPr>
            <w:tcW w:type="dxa" w:w="482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Track only when they affect funding, distribution, regulation or customer stress.</w:t>
            </w:r>
          </w:p>
        </w:tc>
      </w:tr>
    </w:tbl>
    <w:p>
      <w:pPr>
        <w:widowControl/>
        <w:spacing w:after="0"/>
      </w:pPr>
    </w:p>
    <w:p>
      <w:pPr>
        <w:pStyle w:val="Heading2"/>
        <w:keepNext/>
        <w:widowControl/>
      </w:pPr>
      <w:r>
        <w:t>Current operating perimeter</w:t>
      </w:r>
    </w:p>
    <w:p>
      <w:pPr>
        <w:keepLines w:val="0"/>
        <w:widowControl/>
        <w:spacing w:after="100"/>
      </w:pPr>
      <w:r>
        <w:rPr>
          <w:color w:val="182026"/>
        </w:rPr>
        <w:t xml:space="preserve">Home Credit International's public contacts page currently links three operating-market sites: the Czech Republic, the Slovak Republic and Vietnam. The research perimeter follows that evidence. </w:t>
      </w:r>
      <w:r>
        <w:t xml:space="preserve"> </w:t>
      </w:r>
      <w:hyperlink r:id="rId11">
        <w:r>
          <w:rPr>
            <w:color w:val="1F5A7A"/>
            <w:b/>
            <w:sz w:val="16"/>
          </w:rPr>
          <w:t>[S01]</w:t>
        </w:r>
      </w:hyperlink>
    </w:p>
    <w:tbl>
      <w:tblPr>
        <w:tblW w:type="auto" w:w="0"/>
        <w:jc w:val="center"/>
        <w:tblLayout w:type="fixed"/>
        <w:tblLook w:firstColumn="1" w:firstRow="1" w:lastColumn="0" w:lastRow="0" w:noHBand="0" w:noVBand="1" w:val="04A0"/>
      </w:tblPr>
      <w:tblGrid>
        <w:gridCol w:w="1728"/>
        <w:gridCol w:w="4752"/>
        <w:gridCol w:w="3672"/>
      </w:tblGrid>
      <w:tr>
        <w:trPr>
          <w:trHeight w:hRule="atLeast"/>
          <w:tblHeader w:val="true"/>
          <w:cantSplit w:val="true"/>
        </w:trPr>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7"/>
              </w:rPr>
              <w:t>Market</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7"/>
              </w:rPr>
              <w:t>Publicly visible emphasis</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7"/>
              </w:rPr>
              <w:t>Regulatory/market lens</w:t>
            </w:r>
          </w:p>
        </w:tc>
      </w:tr>
      <w:tr>
        <w:trPr>
          <w:cantSplit w:val="true"/>
          <w:trHeight w:hRule="atLeast"/>
        </w:trPr>
        <w:tc>
          <w:tcPr>
            <w:tcW w:type="dxa" w:w="172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Czech Republic</w:t>
            </w:r>
          </w:p>
        </w:tc>
        <w:tc>
          <w:tcPr>
            <w:tcW w:type="dxa" w:w="475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Cash and revolving credit, POS finance, app servicing; Home Credit reports Czech National Bank registration as a payment institution and nonbank consumer-credit provider.</w:t>
            </w:r>
            <w:r>
              <w:t xml:space="preserve"> </w:t>
            </w:r>
            <w:hyperlink r:id="rId20">
              <w:r>
                <w:rPr>
                  <w:color w:val="1F5A7A"/>
                  <w:b/>
                  <w:sz w:val="15"/>
                </w:rPr>
                <w:t>[S04]</w:t>
              </w:r>
            </w:hyperlink>
            <w:r>
              <w:t xml:space="preserve"> </w:t>
            </w:r>
            <w:hyperlink r:id="rId28">
              <w:r>
                <w:rPr>
                  <w:color w:val="1F5A7A"/>
                  <w:b/>
                  <w:sz w:val="15"/>
                </w:rPr>
                <w:t>[S06]</w:t>
              </w:r>
            </w:hyperlink>
          </w:p>
        </w:tc>
        <w:tc>
          <w:tcPr>
            <w:tcW w:type="dxa" w:w="367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Mature EU market; bank and nonbank substitutes; revised EU consumer-credit rules.</w:t>
            </w:r>
          </w:p>
        </w:tc>
      </w:tr>
      <w:tr>
        <w:trPr>
          <w:cantSplit w:val="true"/>
          <w:trHeight w:hRule="atLeast"/>
        </w:trPr>
        <w:tc>
          <w:tcPr>
            <w:tcW w:type="dxa" w:w="172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Slovakia</w:t>
            </w:r>
          </w:p>
        </w:tc>
        <w:tc>
          <w:tcPr>
            <w:tcW w:type="dxa" w:w="475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Cash and revolving credit, POS finance, app servicing; Home Credit reports National Bank of Slovakia supervision as consumer lender, payment institution and financial agent.</w:t>
            </w:r>
            <w:r>
              <w:t xml:space="preserve"> </w:t>
            </w:r>
            <w:hyperlink r:id="rId21">
              <w:r>
                <w:rPr>
                  <w:color w:val="1F5A7A"/>
                  <w:b/>
                  <w:sz w:val="15"/>
                </w:rPr>
                <w:t>[S05]</w:t>
              </w:r>
            </w:hyperlink>
            <w:r>
              <w:t xml:space="preserve"> </w:t>
            </w:r>
            <w:hyperlink r:id="rId29">
              <w:r>
                <w:rPr>
                  <w:color w:val="1F5A7A"/>
                  <w:b/>
                  <w:sz w:val="15"/>
                </w:rPr>
                <w:t>[S07]</w:t>
              </w:r>
            </w:hyperlink>
          </w:p>
        </w:tc>
        <w:tc>
          <w:tcPr>
            <w:tcW w:type="dxa" w:w="367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Mature EU market; consumer-credit-company peer set; high relevance of funding and EU conduct rules.</w:t>
            </w:r>
          </w:p>
        </w:tc>
      </w:tr>
      <w:tr>
        <w:trPr>
          <w:cantSplit w:val="true"/>
          <w:trHeight w:hRule="atLeast"/>
        </w:trPr>
        <w:tc>
          <w:tcPr>
            <w:tcW w:type="dxa" w:w="172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Vietnam</w:t>
            </w:r>
          </w:p>
        </w:tc>
        <w:tc>
          <w:tcPr>
            <w:tcW w:type="dxa" w:w="475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Consumer finance across cash, durables, cards/instalments, vehicles and protection; strong inclusion and digital narrative.</w:t>
            </w:r>
            <w:r>
              <w:t xml:space="preserve"> </w:t>
            </w:r>
            <w:hyperlink r:id="rId30">
              <w:r>
                <w:rPr>
                  <w:color w:val="1F5A7A"/>
                  <w:b/>
                  <w:sz w:val="15"/>
                </w:rPr>
                <w:t>[S08]</w:t>
              </w:r>
            </w:hyperlink>
            <w:r>
              <w:t xml:space="preserve"> </w:t>
            </w:r>
            <w:hyperlink r:id="rId22">
              <w:r>
                <w:rPr>
                  <w:color w:val="1F5A7A"/>
                  <w:b/>
                  <w:sz w:val="15"/>
                </w:rPr>
                <w:t>[S09]</w:t>
              </w:r>
            </w:hyperlink>
            <w:r>
              <w:t xml:space="preserve"> </w:t>
            </w:r>
            <w:hyperlink r:id="rId19">
              <w:r>
                <w:rPr>
                  <w:color w:val="1F5A7A"/>
                  <w:b/>
                  <w:sz w:val="15"/>
                </w:rPr>
                <w:t>[S11]</w:t>
              </w:r>
            </w:hyperlink>
          </w:p>
        </w:tc>
        <w:tc>
          <w:tcPr>
            <w:tcW w:type="dxa" w:w="367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7"/>
              </w:rPr>
              <w:t>Large underbanked opportunity; finance-company rules; rapidly evolving personal-data regime.</w:t>
            </w:r>
          </w:p>
        </w:tc>
      </w:tr>
    </w:tbl>
    <w:p>
      <w:pPr>
        <w:widowControl/>
        <w:spacing w:after="0"/>
      </w:pPr>
    </w:p>
    <w:p>
      <w:pPr>
        <w:pStyle w:val="Heading2"/>
        <w:keepNext/>
        <w:widowControl/>
      </w:pPr>
      <w:r>
        <w:t>Why legal definitions matter</w:t>
      </w:r>
    </w:p>
    <w:p>
      <w:pPr>
        <w:keepLines w:val="0"/>
        <w:widowControl/>
        <w:spacing w:after="100"/>
      </w:pPr>
      <w:r>
        <w:rPr>
          <w:color w:val="182026"/>
        </w:rPr>
        <w:t xml:space="preserve">The Czech National Bank's 'financial corporations engaged in lending' data include leasing, hire purchase, consumer credit, factoring and forfaiting, so they are broader than Home Credit's addressable consumer market. The Slovak bulletin separates consumer-credit companies but reports some funding information for the wider lender sector. FiinGroup's Vietnam definition follows Circular 43 consumer lending and notes a VND 100m customer-outstanding ceiling except for collateralized automobile loans. </w:t>
      </w:r>
      <w:r>
        <w:t xml:space="preserve"> </w:t>
      </w:r>
      <w:hyperlink r:id="rId19">
        <w:r>
          <w:rPr>
            <w:color w:val="1F5A7A"/>
            <w:b/>
            <w:sz w:val="16"/>
          </w:rPr>
          <w:t>[S11]</w:t>
        </w:r>
      </w:hyperlink>
      <w:r>
        <w:t xml:space="preserve"> </w:t>
      </w:r>
      <w:hyperlink r:id="rId12">
        <w:r>
          <w:rPr>
            <w:color w:val="1F5A7A"/>
            <w:b/>
            <w:sz w:val="16"/>
          </w:rPr>
          <w:t>[S13]</w:t>
        </w:r>
      </w:hyperlink>
      <w:r>
        <w:t xml:space="preserve"> </w:t>
      </w:r>
      <w:hyperlink r:id="rId13">
        <w:r>
          <w:rPr>
            <w:color w:val="1F5A7A"/>
            <w:b/>
            <w:sz w:val="16"/>
          </w:rPr>
          <w:t>[S16]</w:t>
        </w:r>
      </w:hyperlink>
      <w:r>
        <w:t xml:space="preserve"> </w:t>
      </w:r>
      <w:hyperlink r:id="rId14">
        <w:r>
          <w:rPr>
            <w:color w:val="1F5A7A"/>
            <w:b/>
            <w:sz w:val="16"/>
          </w:rPr>
          <w:t>[S18]</w:t>
        </w:r>
      </w:hyperlink>
    </w:p>
    <w:tbl>
      <w:tblPr>
        <w:tblW w:type="auto" w:w="0"/>
        <w:jc w:val="center"/>
        <w:tblLayout w:type="fixed"/>
        <w:tblLook w:firstColumn="1" w:firstRow="1" w:lastColumn="0" w:lastRow="0" w:noHBand="0" w:noVBand="1" w:val="04A0"/>
      </w:tblPr>
      <w:tblGrid>
        <w:gridCol w:w="1800"/>
        <w:gridCol w:w="8424"/>
      </w:tblGrid>
      <w:tr>
        <w:trPr>
          <w:cantSplit w:val="true"/>
        </w:trPr>
        <w:tc>
          <w:tcPr>
            <w:tcW w:type="dxa" w:w="1800"/>
            <w:shd w:fill="B54845"/>
            <w:tcMar>
              <w:top w:w="100" w:type="dxa"/>
              <w:start w:w="120" w:type="dxa"/>
              <w:bottom w:w="100" w:type="dxa"/>
              <w:end w:w="120" w:type="dxa"/>
            </w:tcMar>
            <w:tcBorders>
              <w:top w:val="single" w:sz="4" w:color="E5E9EC"/>
              <w:left w:val="single" w:sz="4" w:color="E5E9EC"/>
              <w:bottom w:val="single" w:sz="4" w:color="E5E9EC"/>
              <w:right w:val="single" w:sz="4" w:color="E5E9EC"/>
            </w:tcBorders>
          </w:tcPr>
          <w:p>
            <w:pPr>
              <w:jc w:val="center"/>
            </w:pPr>
            <w:r>
              <w:rPr>
                <w:b/>
                <w:color w:val="FFFFFF"/>
                <w:sz w:val="16"/>
              </w:rPr>
              <w:t>RULE</w:t>
            </w:r>
          </w:p>
        </w:tc>
        <w:tc>
          <w:tcPr>
            <w:tcW w:type="dxa" w:w="8424"/>
            <w:shd w:fill="F4F8FA"/>
            <w:tcMar>
              <w:top w:w="100" w:type="dxa"/>
              <w:start w:w="120" w:type="dxa"/>
              <w:bottom w:w="100" w:type="dxa"/>
              <w:end w:w="120" w:type="dxa"/>
            </w:tcMar>
            <w:tcBorders>
              <w:top w:val="single" w:sz="4" w:color="E5E9EC"/>
              <w:left w:val="single" w:sz="4" w:color="E5E9EC"/>
              <w:bottom w:val="single" w:sz="4" w:color="E5E9EC"/>
              <w:right w:val="single" w:sz="4" w:color="E5E9EC"/>
            </w:tcBorders>
          </w:tcPr>
          <w:p>
            <w:r>
              <w:rPr>
                <w:b/>
                <w:color w:val="182026"/>
                <w:sz w:val="19"/>
              </w:rPr>
              <w:t>Never calculate Home Credit market share by dividing its originations by regulator balance-sheet totals. Originations are flows; outstanding loans are stocks; and the regulatory populations differ.</w:t>
            </w:r>
          </w:p>
        </w:tc>
      </w:tr>
    </w:tbl>
    <w:p>
      <w:pPr>
        <w:widowControl/>
        <w:spacing w:after="0"/>
      </w:pPr>
    </w:p>
    <w:p>
      <w:pPr>
        <w:widowControl/>
        <w:spacing w:after="40"/>
      </w:pPr>
    </w:p>
    <w:p>
      <w:pPr>
        <w:pStyle w:val="Heading1"/>
        <w:keepNext/>
        <w:widowControl/>
      </w:pPr>
      <w:r>
        <w:rPr>
          <w:color w:val="0C7C86"/>
        </w:rPr>
        <w:t xml:space="preserve">3  </w:t>
      </w:r>
      <w:r>
        <w:rPr>
          <w:color w:val="16324F"/>
        </w:rPr>
        <w:t>Customer needs and segments</w:t>
      </w:r>
    </w:p>
    <w:p>
      <w:pPr>
        <w:pStyle w:val="SectionStrap"/>
        <w:widowControl/>
      </w:pPr>
      <w:r>
        <w:t>Demand is driven by access, timing and confidence—not only price</w:t>
      </w:r>
    </w:p>
    <w:p>
      <w:pPr>
        <w:keepLines w:val="0"/>
        <w:widowControl/>
        <w:spacing w:after="100"/>
      </w:pPr>
      <w:r>
        <w:rPr>
          <w:color w:val="182026"/>
        </w:rPr>
        <w:t xml:space="preserve">The World Bank's Global Findex 2025 reports that 79% of adults globally had an account in 2024, including 75% in low- and middle-income economies, while 1.3 billion adults remained unbanked. Mobile-phone ownership reached 86% globally. These are global context indicators—not Home Credit's addressable-market estimate—but they explain why mobile-first formal finance can still expand access. </w:t>
      </w:r>
      <w:r>
        <w:t xml:space="preserve"> </w:t>
      </w:r>
      <w:hyperlink r:id="rId31">
        <w:r>
          <w:rPr>
            <w:color w:val="1F5A7A"/>
            <w:b/>
            <w:sz w:val="16"/>
          </w:rPr>
          <w:t>[S20]</w:t>
        </w:r>
      </w:hyperlink>
      <w:r>
        <w:t xml:space="preserve"> </w:t>
      </w:r>
      <w:hyperlink r:id="rId32">
        <w:r>
          <w:rPr>
            <w:color w:val="1F5A7A"/>
            <w:b/>
            <w:sz w:val="16"/>
          </w:rPr>
          <w:t>[S21]</w:t>
        </w:r>
      </w:hyperlink>
    </w:p>
    <w:p>
      <w:pPr>
        <w:keepLines w:val="0"/>
        <w:widowControl/>
        <w:spacing w:after="100"/>
      </w:pPr>
      <w:r>
        <w:rPr>
          <w:color w:val="182026"/>
        </w:rPr>
        <w:t xml:space="preserve">World Bank/CGAP describes digital credit as fast, automated and remote. It can reduce distance, paperwork and time, while creating risks around fraud, unsuitable lending, data use, transparency and redress. </w:t>
      </w:r>
      <w:r>
        <w:t xml:space="preserve"> </w:t>
      </w:r>
      <w:hyperlink r:id="rId17">
        <w:r>
          <w:rPr>
            <w:color w:val="1F5A7A"/>
            <w:b/>
            <w:sz w:val="16"/>
          </w:rPr>
          <w:t>[S19]</w:t>
        </w:r>
      </w:hyperlink>
    </w:p>
    <w:p>
      <w:pPr>
        <w:pStyle w:val="Heading2"/>
        <w:keepNext/>
        <w:widowControl/>
      </w:pPr>
      <w:r>
        <w:t>Customer jobs to be done</w:t>
      </w:r>
    </w:p>
    <w:tbl>
      <w:tblPr>
        <w:tblW w:type="auto" w:w="0"/>
        <w:jc w:val="center"/>
        <w:tblLayout w:type="fixed"/>
        <w:tblLook w:firstColumn="1" w:firstRow="1" w:lastColumn="0" w:lastRow="0" w:noHBand="0" w:noVBand="1" w:val="04A0"/>
      </w:tblPr>
      <w:tblGrid>
        <w:gridCol w:w="1656"/>
        <w:gridCol w:w="3096"/>
        <w:gridCol w:w="3240"/>
        <w:gridCol w:w="2160"/>
      </w:tblGrid>
      <w:tr>
        <w:trPr>
          <w:trHeight w:hRule="atLeast"/>
          <w:tblHeader w:val="true"/>
          <w:cantSplit w:val="true"/>
        </w:trPr>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Job</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What the customer is solving</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Winning attributes</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Primary risk</w:t>
            </w:r>
          </w:p>
        </w:tc>
      </w:tr>
      <w:tr>
        <w:trPr>
          <w:cantSplit w:val="true"/>
          <w:trHeight w:hRule="atLeast"/>
        </w:trPr>
        <w:tc>
          <w:tcPr>
            <w:tcW w:type="dxa" w:w="165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Finance a purchase</w:t>
            </w:r>
          </w:p>
        </w:tc>
        <w:tc>
          <w:tcPr>
            <w:tcW w:type="dxa" w:w="309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Match a durable's cost to monthly cash flow at checkout</w:t>
            </w:r>
          </w:p>
        </w:tc>
        <w:tc>
          <w:tcPr>
            <w:tcW w:type="dxa" w:w="324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High acceptance, quick decision, clear total cost, merchant integration</w:t>
            </w:r>
          </w:p>
        </w:tc>
        <w:tc>
          <w:tcPr>
            <w:tcW w:type="dxa" w:w="216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Impulse borrowing or merchant pressure</w:t>
            </w:r>
          </w:p>
        </w:tc>
      </w:tr>
      <w:tr>
        <w:trPr>
          <w:cantSplit w:val="true"/>
          <w:trHeight w:hRule="atLeast"/>
        </w:trPr>
        <w:tc>
          <w:tcPr>
            <w:tcW w:type="dxa" w:w="165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Bridge liquidity</w:t>
            </w:r>
          </w:p>
        </w:tc>
        <w:tc>
          <w:tcPr>
            <w:tcW w:type="dxa" w:w="309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Cover planned or unexpected household expenditure</w:t>
            </w:r>
          </w:p>
        </w:tc>
        <w:tc>
          <w:tcPr>
            <w:tcW w:type="dxa" w:w="324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Fast disbursement, flexible amount/term, predictable payment</w:t>
            </w:r>
          </w:p>
        </w:tc>
        <w:tc>
          <w:tcPr>
            <w:tcW w:type="dxa" w:w="216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Repeated refinancing or debt stacking</w:t>
            </w:r>
          </w:p>
        </w:tc>
      </w:tr>
      <w:tr>
        <w:trPr>
          <w:cantSplit w:val="true"/>
          <w:trHeight w:hRule="atLeast"/>
        </w:trPr>
        <w:tc>
          <w:tcPr>
            <w:tcW w:type="dxa" w:w="165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Build formal access</w:t>
            </w:r>
          </w:p>
        </w:tc>
        <w:tc>
          <w:tcPr>
            <w:tcW w:type="dxa" w:w="309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Establish a credit history when bank data are limited</w:t>
            </w:r>
          </w:p>
        </w:tc>
        <w:tc>
          <w:tcPr>
            <w:tcW w:type="dxa" w:w="324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Fair thin-file assessment, small starter limit, step-up path</w:t>
            </w:r>
          </w:p>
        </w:tc>
        <w:tc>
          <w:tcPr>
            <w:tcW w:type="dxa" w:w="216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Proxy bias or unaffordable first exposure</w:t>
            </w:r>
          </w:p>
        </w:tc>
      </w:tr>
      <w:tr>
        <w:trPr>
          <w:cantSplit w:val="true"/>
          <w:trHeight w:hRule="atLeast"/>
        </w:trPr>
        <w:tc>
          <w:tcPr>
            <w:tcW w:type="dxa" w:w="165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Maintain flexibility</w:t>
            </w:r>
          </w:p>
        </w:tc>
        <w:tc>
          <w:tcPr>
            <w:tcW w:type="dxa" w:w="309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Reuse an approved line without a full new application</w:t>
            </w:r>
          </w:p>
        </w:tc>
        <w:tc>
          <w:tcPr>
            <w:tcW w:type="dxa" w:w="324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Transparent available limit, repayment tools, controllable line</w:t>
            </w:r>
          </w:p>
        </w:tc>
        <w:tc>
          <w:tcPr>
            <w:tcW w:type="dxa" w:w="216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Minimum-payment persistence and revolving debt</w:t>
            </w:r>
          </w:p>
        </w:tc>
      </w:tr>
      <w:tr>
        <w:trPr>
          <w:cantSplit w:val="true"/>
          <w:trHeight w:hRule="atLeast"/>
        </w:trPr>
        <w:tc>
          <w:tcPr>
            <w:tcW w:type="dxa" w:w="165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Protect the obligation</w:t>
            </w:r>
          </w:p>
        </w:tc>
        <w:tc>
          <w:tcPr>
            <w:tcW w:type="dxa" w:w="309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Reduce repayment shock from defined adverse events</w:t>
            </w:r>
          </w:p>
        </w:tc>
        <w:tc>
          <w:tcPr>
            <w:tcW w:type="dxa" w:w="324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Useful coverage, informed consent, easy claims</w:t>
            </w:r>
          </w:p>
        </w:tc>
        <w:tc>
          <w:tcPr>
            <w:tcW w:type="dxa" w:w="216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Low-value add-on or unclear exclusions</w:t>
            </w:r>
          </w:p>
        </w:tc>
      </w:tr>
    </w:tbl>
    <w:p>
      <w:pPr>
        <w:widowControl/>
        <w:spacing w:after="0"/>
      </w:pPr>
    </w:p>
    <w:p>
      <w:pPr>
        <w:pStyle w:val="Heading2"/>
        <w:keepNext/>
        <w:widowControl/>
      </w:pPr>
      <w:r>
        <w:t>Priority segment framework</w:t>
      </w:r>
    </w:p>
    <w:tbl>
      <w:tblPr>
        <w:tblW w:type="auto" w:w="0"/>
        <w:jc w:val="center"/>
        <w:tblLayout w:type="fixed"/>
        <w:tblLook w:firstColumn="1" w:firstRow="1" w:lastColumn="0" w:lastRow="0" w:noHBand="0" w:noVBand="1" w:val="04A0"/>
      </w:tblPr>
      <w:tblGrid>
        <w:gridCol w:w="1872"/>
        <w:gridCol w:w="2376"/>
        <w:gridCol w:w="2376"/>
        <w:gridCol w:w="3528"/>
      </w:tblGrid>
      <w:tr>
        <w:trPr>
          <w:trHeight w:hRule="atLeast"/>
          <w:tblHeader w:val="true"/>
          <w:cantSplit w:val="true"/>
        </w:trPr>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Segment</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Observable signals</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Need state</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Research question</w:t>
            </w:r>
          </w:p>
        </w:tc>
      </w:tr>
      <w:tr>
        <w:trPr>
          <w:cantSplit w:val="true"/>
          <w:trHeight w:hRule="atLeast"/>
        </w:trPr>
        <w:tc>
          <w:tcPr>
            <w:tcW w:type="dxa" w:w="187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Bankable value seekers</w:t>
            </w:r>
          </w:p>
        </w:tc>
        <w:tc>
          <w:tcPr>
            <w:tcW w:type="dxa" w:w="237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Stable verified income; broad product access</w:t>
            </w:r>
          </w:p>
        </w:tc>
        <w:tc>
          <w:tcPr>
            <w:tcW w:type="dxa" w:w="237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Price and convenience</w:t>
            </w:r>
          </w:p>
        </w:tc>
        <w:tc>
          <w:tcPr>
            <w:tcW w:type="dxa" w:w="352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Can Home Credit win without adverse selection?</w:t>
            </w:r>
          </w:p>
        </w:tc>
      </w:tr>
      <w:tr>
        <w:trPr>
          <w:cantSplit w:val="true"/>
          <w:trHeight w:hRule="atLeast"/>
        </w:trPr>
        <w:tc>
          <w:tcPr>
            <w:tcW w:type="dxa" w:w="187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Thin-file first-time borrowers</w:t>
            </w:r>
          </w:p>
        </w:tc>
        <w:tc>
          <w:tcPr>
            <w:tcW w:type="dxa" w:w="237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Limited bureau depth; young or newly formal workers</w:t>
            </w:r>
          </w:p>
        </w:tc>
        <w:tc>
          <w:tcPr>
            <w:tcW w:type="dxa" w:w="237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Access and explanation</w:t>
            </w:r>
          </w:p>
        </w:tc>
        <w:tc>
          <w:tcPr>
            <w:tcW w:type="dxa" w:w="352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Which alternative signals improve inclusion without proxy discrimination?</w:t>
            </w:r>
          </w:p>
        </w:tc>
      </w:tr>
      <w:tr>
        <w:trPr>
          <w:cantSplit w:val="true"/>
          <w:trHeight w:hRule="atLeast"/>
        </w:trPr>
        <w:tc>
          <w:tcPr>
            <w:tcW w:type="dxa" w:w="187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Near-prime constrained</w:t>
            </w:r>
          </w:p>
        </w:tc>
        <w:tc>
          <w:tcPr>
            <w:tcW w:type="dxa" w:w="237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Income volatility or prior arrears; still repayable</w:t>
            </w:r>
          </w:p>
        </w:tc>
        <w:tc>
          <w:tcPr>
            <w:tcW w:type="dxa" w:w="237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Flexible timing and manageable instalment</w:t>
            </w:r>
          </w:p>
        </w:tc>
        <w:tc>
          <w:tcPr>
            <w:tcW w:type="dxa" w:w="352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What term/limit preserves affordability through stress?</w:t>
            </w:r>
          </w:p>
        </w:tc>
      </w:tr>
      <w:tr>
        <w:trPr>
          <w:cantSplit w:val="true"/>
          <w:trHeight w:hRule="atLeast"/>
        </w:trPr>
        <w:tc>
          <w:tcPr>
            <w:tcW w:type="dxa" w:w="187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Existing engaged customers</w:t>
            </w:r>
          </w:p>
        </w:tc>
        <w:tc>
          <w:tcPr>
            <w:tcW w:type="dxa" w:w="237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Repayment history and app behavior</w:t>
            </w:r>
          </w:p>
        </w:tc>
        <w:tc>
          <w:tcPr>
            <w:tcW w:type="dxa" w:w="237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Reuse, convenience and control</w:t>
            </w:r>
          </w:p>
        </w:tc>
        <w:tc>
          <w:tcPr>
            <w:tcW w:type="dxa" w:w="352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Does higher lifetime value outweigh line-management risk?</w:t>
            </w:r>
          </w:p>
        </w:tc>
      </w:tr>
      <w:tr>
        <w:trPr>
          <w:cantSplit w:val="true"/>
          <w:trHeight w:hRule="atLeast"/>
        </w:trPr>
        <w:tc>
          <w:tcPr>
            <w:tcW w:type="dxa" w:w="187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Merchant-led purchasers</w:t>
            </w:r>
          </w:p>
        </w:tc>
        <w:tc>
          <w:tcPr>
            <w:tcW w:type="dxa" w:w="237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Application begins at checkout</w:t>
            </w:r>
          </w:p>
        </w:tc>
        <w:tc>
          <w:tcPr>
            <w:tcW w:type="dxa" w:w="237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Immediate acceptance and low friction</w:t>
            </w:r>
          </w:p>
        </w:tc>
        <w:tc>
          <w:tcPr>
            <w:tcW w:type="dxa" w:w="352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Which merchant/category cohorts remain profitable after subsidy and fraud?</w:t>
            </w:r>
          </w:p>
        </w:tc>
      </w:tr>
      <w:tr>
        <w:trPr>
          <w:cantSplit w:val="true"/>
          <w:trHeight w:hRule="atLeast"/>
        </w:trPr>
        <w:tc>
          <w:tcPr>
            <w:tcW w:type="dxa" w:w="187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Financially vulnerable</w:t>
            </w:r>
          </w:p>
        </w:tc>
        <w:tc>
          <w:tcPr>
            <w:tcW w:type="dxa" w:w="237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Multiple obligations, hardship or deteriorating cash flow</w:t>
            </w:r>
          </w:p>
        </w:tc>
        <w:tc>
          <w:tcPr>
            <w:tcW w:type="dxa" w:w="237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Support, restructure and redress</w:t>
            </w:r>
          </w:p>
        </w:tc>
        <w:tc>
          <w:tcPr>
            <w:tcW w:type="dxa" w:w="352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Which interventions improve cure without redefault?</w:t>
            </w:r>
          </w:p>
        </w:tc>
      </w:tr>
    </w:tbl>
    <w:p>
      <w:pPr>
        <w:widowControl/>
        <w:spacing w:after="0"/>
      </w:pPr>
    </w:p>
    <w:p>
      <w:pPr>
        <w:pStyle w:val="Heading2"/>
        <w:keepNext/>
        <w:widowControl/>
      </w:pPr>
      <w:r>
        <w:t>Evidence from Vietnam</w:t>
      </w:r>
    </w:p>
    <w:p>
      <w:pPr>
        <w:keepLines w:val="0"/>
        <w:widowControl/>
        <w:spacing w:after="100"/>
      </w:pPr>
      <w:r>
        <w:rPr>
          <w:color w:val="182026"/>
        </w:rPr>
        <w:t xml:space="preserve">Home Credit Vietnam reported that it served 236,900 underbanked customers in 2025, up 3.9%, and 119,000 customers aged 18–20 accessed formal credit, 6.3 times the 2024 level. It also reported more than 17 million customers served historically in Vietnam. These are company-disclosed inclusion measures and should be audited against consistent definitions before being used as outcome KPIs. </w:t>
      </w:r>
      <w:r>
        <w:t xml:space="preserve"> </w:t>
      </w:r>
      <w:hyperlink r:id="rId30">
        <w:r>
          <w:rPr>
            <w:color w:val="1F5A7A"/>
            <w:b/>
            <w:sz w:val="16"/>
          </w:rPr>
          <w:t>[S08]</w:t>
        </w:r>
      </w:hyperlink>
      <w:r>
        <w:t xml:space="preserve"> </w:t>
      </w:r>
      <w:hyperlink r:id="rId22">
        <w:r>
          <w:rPr>
            <w:color w:val="1F5A7A"/>
            <w:b/>
            <w:sz w:val="16"/>
          </w:rPr>
          <w:t>[S09]</w:t>
        </w:r>
      </w:hyperlink>
    </w:p>
    <w:p>
      <w:pPr>
        <w:pStyle w:val="Heading2"/>
        <w:keepNext/>
        <w:widowControl/>
      </w:pPr>
      <w:r>
        <w:t>Customer research to commission</w:t>
      </w:r>
    </w:p>
    <w:p>
      <w:pPr>
        <w:pStyle w:val="ListBullet"/>
        <w:widowControl/>
        <w:spacing w:after="40"/>
      </w:pPr>
      <w:r>
        <w:rPr>
          <w:color w:val="182026"/>
        </w:rPr>
        <w:t>Separate 'could not borrow elsewhere' from 'preferred Home Credit' using a choice-based survey and rejected-applicant follow-up.</w:t>
      </w:r>
    </w:p>
    <w:p>
      <w:pPr>
        <w:pStyle w:val="ListBullet"/>
        <w:widowControl/>
        <w:spacing w:after="40"/>
      </w:pPr>
      <w:r>
        <w:rPr>
          <w:color w:val="182026"/>
        </w:rPr>
        <w:t>Measure comprehension of total cost, revolving minimum payments, late-payment consequences, insurance opt-in and hardship routes.</w:t>
      </w:r>
    </w:p>
    <w:p>
      <w:pPr>
        <w:pStyle w:val="ListBullet"/>
        <w:widowControl/>
        <w:spacing w:after="40"/>
      </w:pPr>
      <w:r>
        <w:rPr>
          <w:color w:val="182026"/>
        </w:rPr>
        <w:t>Run journey diaries by acquisition channel to distinguish approval speed from trust, merchant influence and app usability.</w:t>
      </w:r>
    </w:p>
    <w:p>
      <w:pPr>
        <w:pStyle w:val="ListBullet"/>
        <w:widowControl/>
        <w:spacing w:after="40"/>
      </w:pPr>
      <w:r>
        <w:rPr>
          <w:color w:val="182026"/>
        </w:rPr>
        <w:t>Compare repeat borrowers with first-time borrowers on price sensitivity, risk-adjusted profitability and financial-health outcomes.</w:t>
      </w:r>
    </w:p>
    <w:p>
      <w:pPr>
        <w:widowControl/>
        <w:spacing w:after="40"/>
      </w:pPr>
    </w:p>
    <w:p>
      <w:pPr>
        <w:pStyle w:val="Heading1"/>
        <w:keepNext/>
        <w:widowControl/>
      </w:pPr>
      <w:r>
        <w:rPr>
          <w:color w:val="0C7C86"/>
        </w:rPr>
        <w:t xml:space="preserve">4  </w:t>
      </w:r>
      <w:r>
        <w:rPr>
          <w:color w:val="16324F"/>
        </w:rPr>
        <w:t>Market size, growth and demand</w:t>
      </w:r>
    </w:p>
    <w:p>
      <w:pPr>
        <w:pStyle w:val="SectionStrap"/>
        <w:widowControl/>
      </w:pPr>
      <w:r>
        <w:t>Use comparable measures within markets; do not manufacture a global total</w:t>
      </w:r>
    </w:p>
    <w:tbl>
      <w:tblPr>
        <w:tblW w:type="auto" w:w="0"/>
        <w:jc w:val="center"/>
        <w:tblLayout w:type="fixed"/>
        <w:tblLook w:firstColumn="1" w:firstRow="1" w:lastColumn="0" w:lastRow="0" w:noHBand="0" w:noVBand="1" w:val="04A0"/>
      </w:tblPr>
      <w:tblGrid>
        <w:gridCol w:w="1800"/>
        <w:gridCol w:w="8424"/>
      </w:tblGrid>
      <w:tr>
        <w:trPr>
          <w:cantSplit w:val="true"/>
        </w:trPr>
        <w:tc>
          <w:tcPr>
            <w:tcW w:type="dxa" w:w="1800"/>
            <w:shd w:fill="1F5A7A"/>
            <w:tcMar>
              <w:top w:w="100" w:type="dxa"/>
              <w:start w:w="120" w:type="dxa"/>
              <w:bottom w:w="100" w:type="dxa"/>
              <w:end w:w="120" w:type="dxa"/>
            </w:tcMar>
            <w:tcBorders>
              <w:top w:val="single" w:sz="4" w:color="E5E9EC"/>
              <w:left w:val="single" w:sz="4" w:color="E5E9EC"/>
              <w:bottom w:val="single" w:sz="4" w:color="E5E9EC"/>
              <w:right w:val="single" w:sz="4" w:color="E5E9EC"/>
            </w:tcBorders>
          </w:tcPr>
          <w:p>
            <w:pPr>
              <w:jc w:val="center"/>
            </w:pPr>
            <w:r>
              <w:rPr>
                <w:b/>
                <w:color w:val="FFFFFF"/>
                <w:sz w:val="16"/>
              </w:rPr>
              <w:t>FINDING</w:t>
            </w:r>
          </w:p>
        </w:tc>
        <w:tc>
          <w:tcPr>
            <w:tcW w:type="dxa" w:w="8424"/>
            <w:shd w:fill="F4F8FA"/>
            <w:tcMar>
              <w:top w:w="100" w:type="dxa"/>
              <w:start w:w="120" w:type="dxa"/>
              <w:bottom w:w="100" w:type="dxa"/>
              <w:end w:w="120" w:type="dxa"/>
            </w:tcMar>
            <w:tcBorders>
              <w:top w:val="single" w:sz="4" w:color="E5E9EC"/>
              <w:left w:val="single" w:sz="4" w:color="E5E9EC"/>
              <w:bottom w:val="single" w:sz="4" w:color="E5E9EC"/>
              <w:right w:val="single" w:sz="4" w:color="E5E9EC"/>
            </w:tcBorders>
          </w:tcPr>
          <w:p>
            <w:r>
              <w:rPr>
                <w:b/>
                <w:color w:val="182026"/>
                <w:sz w:val="19"/>
              </w:rPr>
              <w:t>The public record supports directional and partial sizing, not a single defensible three-country TAM. The cleanest view is a dashboard of stock, flow, growth and product-mix indicators by regulator definition.</w:t>
            </w:r>
          </w:p>
        </w:tc>
      </w:tr>
    </w:tbl>
    <w:p>
      <w:pPr>
        <w:widowControl/>
        <w:spacing w:after="0"/>
      </w:pPr>
    </w:p>
    <w:p>
      <w:pPr>
        <w:pStyle w:val="Heading2"/>
        <w:keepNext/>
        <w:widowControl/>
      </w:pPr>
      <w:r>
        <w:t>Czech Republic</w:t>
      </w:r>
    </w:p>
    <w:p>
      <w:pPr>
        <w:keepLines w:val="0"/>
        <w:widowControl/>
        <w:spacing w:after="100"/>
      </w:pPr>
      <w:r>
        <w:rPr>
          <w:color w:val="182026"/>
        </w:rPr>
        <w:t xml:space="preserve">The Czech Ministry of Finance reported 2025 real GDP growth of 2.6%, HICP inflation of 2.3%, unemployment of 2.8% and an end-year two-week repo rate of 3.5%. Household debt rose 8.5% to nearly CZK 2.7tn; consumer-purpose loans reached CZK 457.2bn, up 10.8%; and the average bank consumption-loan rate was 8.5%. </w:t>
      </w:r>
      <w:r>
        <w:t xml:space="preserve"> </w:t>
      </w:r>
      <w:hyperlink r:id="rId33">
        <w:r>
          <w:rPr>
            <w:color w:val="1F5A7A"/>
            <w:b/>
            <w:sz w:val="16"/>
          </w:rPr>
          <w:t>[S15]</w:t>
        </w:r>
      </w:hyperlink>
    </w:p>
    <w:p>
      <w:pPr>
        <w:keepLines w:val="0"/>
        <w:widowControl/>
        <w:spacing w:after="100"/>
      </w:pPr>
      <w:r>
        <w:rPr>
          <w:color w:val="182026"/>
        </w:rPr>
        <w:t xml:space="preserve">For the broader Czech nonbank-lending population, the Ministry reported 2025 assets of CZK 550.9bn and loans of CZK 440.8bn, while the Czech National Bank reported assets of CZK 554.8bn and loans of CZK 456.7bn at 30 June 2026. The CNB population includes leasing, factoring and other lenders, so it is a system proxy rather than a consumer-finance TAM. </w:t>
      </w:r>
      <w:r>
        <w:t xml:space="preserve"> </w:t>
      </w:r>
      <w:hyperlink r:id="rId12">
        <w:r>
          <w:rPr>
            <w:color w:val="1F5A7A"/>
            <w:b/>
            <w:sz w:val="16"/>
          </w:rPr>
          <w:t>[S13]</w:t>
        </w:r>
      </w:hyperlink>
      <w:r>
        <w:t xml:space="preserve"> </w:t>
      </w:r>
      <w:hyperlink r:id="rId33">
        <w:r>
          <w:rPr>
            <w:color w:val="1F5A7A"/>
            <w:b/>
            <w:sz w:val="16"/>
          </w:rPr>
          <w:t>[S15]</w:t>
        </w:r>
      </w:hyperlink>
    </w:p>
    <w:p>
      <w:pPr>
        <w:keepLines w:val="0"/>
        <w:widowControl/>
        <w:spacing w:after="100"/>
      </w:pPr>
      <w:r>
        <w:rPr>
          <w:color w:val="182026"/>
        </w:rPr>
        <w:t xml:space="preserve">CLFA's current page reports that 14 licensed member providers supplied CZK 16bn of personal-use financing in H1 2026, up 4.4% year on year, with revolving demand increasing while unsecured non-purpose lending declined. Broader member financing to households was CZK 17.47bn. </w:t>
      </w:r>
      <w:r>
        <w:t xml:space="preserve"> </w:t>
      </w:r>
      <w:hyperlink r:id="rId34">
        <w:r>
          <w:rPr>
            <w:color w:val="1F5A7A"/>
            <w:b/>
            <w:sz w:val="16"/>
          </w:rPr>
          <w:t>[S14]</w:t>
        </w:r>
      </w:hyperlink>
    </w:p>
    <w:p>
      <w:pPr>
        <w:keepLines w:val="0"/>
        <w:widowControl/>
        <w:spacing w:after="100"/>
      </w:pPr>
      <w:r>
        <w:rPr>
          <w:color w:val="182026"/>
        </w:rPr>
        <w:t xml:space="preserve">Home Credit reported Czech 2025 originations of CZK 21.2bn, up 16%; its Czech portfolio rose CZK 3.3bn, or 18%, and its customer base exceeded 268,000. This flow cannot be divided by the CNB stock totals to infer share. </w:t>
      </w:r>
      <w:r>
        <w:t xml:space="preserve"> </w:t>
      </w:r>
      <w:hyperlink r:id="rId20">
        <w:r>
          <w:rPr>
            <w:color w:val="1F5A7A"/>
            <w:b/>
            <w:sz w:val="16"/>
          </w:rPr>
          <w:t>[S04]</w:t>
        </w:r>
      </w:hyperlink>
    </w:p>
    <w:p>
      <w:pPr>
        <w:pStyle w:val="Heading2"/>
        <w:keepNext/>
        <w:widowControl/>
      </w:pPr>
      <w:r>
        <w:t>Slovakia</w:t>
      </w:r>
    </w:p>
    <w:p>
      <w:pPr>
        <w:keepLines w:val="0"/>
        <w:widowControl/>
        <w:spacing w:after="100"/>
      </w:pPr>
      <w:r>
        <w:rPr>
          <w:color w:val="182026"/>
        </w:rPr>
        <w:t xml:space="preserve">NBS reported that assets of Slovak consumer-credit companies rose 12% year on year in Q1 2026 after falling 7% at December 2025; consumer-credit companies represented 11% of assets held by all financial corporations engaged in lending. Domestic clients were 92.3% of the consumer-credit-company client base, and households were 76.2% of domestic clients. </w:t>
      </w:r>
      <w:r>
        <w:t xml:space="preserve"> </w:t>
      </w:r>
      <w:hyperlink r:id="rId13">
        <w:r>
          <w:rPr>
            <w:color w:val="1F5A7A"/>
            <w:b/>
            <w:sz w:val="16"/>
          </w:rPr>
          <w:t>[S16]</w:t>
        </w:r>
      </w:hyperlink>
    </w:p>
    <w:p>
      <w:pPr>
        <w:keepLines w:val="0"/>
        <w:widowControl/>
        <w:spacing w:after="100"/>
      </w:pPr>
      <w:r>
        <w:rPr>
          <w:color w:val="182026"/>
        </w:rPr>
        <w:t xml:space="preserve">Home Credit disclosed 2025 Slovak originations of €351.2m, up 7%; the portfolio grew by €54m, or 12%; clients exceeded 129,000; and app users exceeded 83,000. A current, directly comparable total-market originations figure is not contained in the public NBS bulletin used here. </w:t>
      </w:r>
      <w:r>
        <w:t xml:space="preserve"> </w:t>
      </w:r>
      <w:hyperlink r:id="rId21">
        <w:r>
          <w:rPr>
            <w:color w:val="1F5A7A"/>
            <w:b/>
            <w:sz w:val="16"/>
          </w:rPr>
          <w:t>[S05]</w:t>
        </w:r>
      </w:hyperlink>
      <w:r>
        <w:t xml:space="preserve"> </w:t>
      </w:r>
      <w:hyperlink r:id="rId13">
        <w:r>
          <w:rPr>
            <w:color w:val="1F5A7A"/>
            <w:b/>
            <w:sz w:val="16"/>
          </w:rPr>
          <w:t>[S16]</w:t>
        </w:r>
      </w:hyperlink>
    </w:p>
    <w:p>
      <w:pPr>
        <w:pStyle w:val="Heading2"/>
        <w:keepNext/>
        <w:widowControl/>
      </w:pPr>
      <w:r>
        <w:t>Vietnam</w:t>
      </w:r>
    </w:p>
    <w:p>
      <w:pPr>
        <w:keepLines w:val="0"/>
        <w:widowControl/>
        <w:spacing w:after="100"/>
      </w:pPr>
      <w:r>
        <w:rPr>
          <w:color w:val="182026"/>
        </w:rPr>
        <w:t xml:space="preserve">FiinGroup's public 1H 2025 demo identifies a recovery led unevenly across finance companies, with movement toward cards, consumer durables and vehicle finance and away from cash/personal-loan concentration. It also identifies partnership lending, ecosystem finance, BNPL integration and EV/green finance as developing themes. The demo redacts the exact market-size, market-share and average-NPL figures; this report therefore does not quote them. </w:t>
      </w:r>
      <w:r>
        <w:t xml:space="preserve"> </w:t>
      </w:r>
      <w:hyperlink r:id="rId19">
        <w:r>
          <w:rPr>
            <w:color w:val="1F5A7A"/>
            <w:b/>
            <w:sz w:val="16"/>
          </w:rPr>
          <w:t>[S11]</w:t>
        </w:r>
      </w:hyperlink>
    </w:p>
    <w:p>
      <w:pPr>
        <w:keepLines w:val="0"/>
        <w:widowControl/>
        <w:spacing w:after="100"/>
      </w:pPr>
      <w:r>
        <w:rPr>
          <w:color w:val="182026"/>
        </w:rPr>
        <w:t xml:space="preserve">For the next available performance read-through, Tuoi Tre reported that six Vietnamese finance companies generated combined H1 2026 pre-tax profit of VND 3.983tn, up 36.8%. It reported Home Credit Vietnam at more than VND 1.68tn, up 15.2%, while competitor outcomes and provisioning varied materially. This is a six-company profit comparison from trade press, not a full-sector size estimate. </w:t>
      </w:r>
      <w:r>
        <w:t xml:space="preserve"> </w:t>
      </w:r>
      <w:hyperlink r:id="rId23">
        <w:r>
          <w:rPr>
            <w:color w:val="1F5A7A"/>
            <w:b/>
            <w:sz w:val="16"/>
          </w:rPr>
          <w:t>[S10]</w:t>
        </w:r>
      </w:hyperlink>
    </w:p>
    <w:tbl>
      <w:tblPr>
        <w:tblW w:type="auto" w:w="0"/>
        <w:jc w:val="center"/>
        <w:tblLayout w:type="fixed"/>
        <w:tblLook w:firstColumn="1" w:firstRow="1" w:lastColumn="0" w:lastRow="0" w:noHBand="0" w:noVBand="1" w:val="04A0"/>
      </w:tblPr>
      <w:tblGrid>
        <w:gridCol w:w="1584"/>
        <w:gridCol w:w="3096"/>
        <w:gridCol w:w="2808"/>
        <w:gridCol w:w="3024"/>
      </w:tblGrid>
      <w:tr>
        <w:trPr>
          <w:trHeight w:hRule="atLeast"/>
          <w:tblHeader w:val="true"/>
          <w:cantSplit w:val="true"/>
        </w:trPr>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Market</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Best public demand signal</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Home Credit signal</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What remains unknown</w:t>
            </w:r>
          </w:p>
        </w:tc>
      </w:tr>
      <w:tr>
        <w:trPr>
          <w:cantSplit w:val="true"/>
          <w:trHeight w:hRule="atLeast"/>
        </w:trPr>
        <w:tc>
          <w:tcPr>
            <w:tcW w:type="dxa" w:w="158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Czech Republic</w:t>
            </w:r>
          </w:p>
        </w:tc>
        <w:tc>
          <w:tcPr>
            <w:tcW w:type="dxa" w:w="309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Consumer-purpose loans +10.8% in 2025; CLFA H1 2026 personal-use financing +4.4%.</w:t>
            </w:r>
            <w:r>
              <w:t xml:space="preserve"> </w:t>
            </w:r>
            <w:hyperlink r:id="rId34">
              <w:r>
                <w:rPr>
                  <w:color w:val="1F5A7A"/>
                  <w:b/>
                  <w:sz w:val="15"/>
                </w:rPr>
                <w:t>[S14]</w:t>
              </w:r>
            </w:hyperlink>
            <w:r>
              <w:t xml:space="preserve"> </w:t>
            </w:r>
            <w:hyperlink r:id="rId33">
              <w:r>
                <w:rPr>
                  <w:color w:val="1F5A7A"/>
                  <w:b/>
                  <w:sz w:val="15"/>
                </w:rPr>
                <w:t>[S15]</w:t>
              </w:r>
            </w:hyperlink>
          </w:p>
        </w:tc>
        <w:tc>
          <w:tcPr>
            <w:tcW w:type="dxa" w:w="280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CZK 21.2bn 2025 originations; portfolio +18%.</w:t>
            </w:r>
            <w:r>
              <w:t xml:space="preserve"> </w:t>
            </w:r>
            <w:hyperlink r:id="rId20">
              <w:r>
                <w:rPr>
                  <w:color w:val="1F5A7A"/>
                  <w:b/>
                  <w:sz w:val="15"/>
                </w:rPr>
                <w:t>[S04]</w:t>
              </w:r>
            </w:hyperlink>
          </w:p>
        </w:tc>
        <w:tc>
          <w:tcPr>
            <w:tcW w:type="dxa" w:w="302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Comparable consumer-finance stock, denominator and share by product/channel.</w:t>
            </w:r>
          </w:p>
        </w:tc>
      </w:tr>
      <w:tr>
        <w:trPr>
          <w:cantSplit w:val="true"/>
          <w:trHeight w:hRule="atLeast"/>
        </w:trPr>
        <w:tc>
          <w:tcPr>
            <w:tcW w:type="dxa" w:w="158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Slovakia</w:t>
            </w:r>
          </w:p>
        </w:tc>
        <w:tc>
          <w:tcPr>
            <w:tcW w:type="dxa" w:w="309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Consumer-credit-company assets +12% YoY in Q1 2026.</w:t>
            </w:r>
            <w:r>
              <w:t xml:space="preserve"> </w:t>
            </w:r>
            <w:hyperlink r:id="rId13">
              <w:r>
                <w:rPr>
                  <w:color w:val="1F5A7A"/>
                  <w:b/>
                  <w:sz w:val="15"/>
                </w:rPr>
                <w:t>[S16]</w:t>
              </w:r>
            </w:hyperlink>
          </w:p>
        </w:tc>
        <w:tc>
          <w:tcPr>
            <w:tcW w:type="dxa" w:w="280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€351.2m 2025 originations; portfolio +12%.</w:t>
            </w:r>
            <w:r>
              <w:t xml:space="preserve"> </w:t>
            </w:r>
            <w:hyperlink r:id="rId21">
              <w:r>
                <w:rPr>
                  <w:color w:val="1F5A7A"/>
                  <w:b/>
                  <w:sz w:val="15"/>
                </w:rPr>
                <w:t>[S05]</w:t>
              </w:r>
            </w:hyperlink>
          </w:p>
        </w:tc>
        <w:tc>
          <w:tcPr>
            <w:tcW w:type="dxa" w:w="302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Total market originations, balances and share on like-for-like scope.</w:t>
            </w:r>
          </w:p>
        </w:tc>
      </w:tr>
      <w:tr>
        <w:trPr>
          <w:cantSplit w:val="true"/>
          <w:trHeight w:hRule="atLeast"/>
        </w:trPr>
        <w:tc>
          <w:tcPr>
            <w:tcW w:type="dxa" w:w="158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Vietnam</w:t>
            </w:r>
          </w:p>
        </w:tc>
        <w:tc>
          <w:tcPr>
            <w:tcW w:type="dxa" w:w="309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Product recovery and H1 2026 profit growth are visible, but public market totals are incomplete.</w:t>
            </w:r>
            <w:r>
              <w:t xml:space="preserve"> </w:t>
            </w:r>
            <w:hyperlink r:id="rId23">
              <w:r>
                <w:rPr>
                  <w:color w:val="1F5A7A"/>
                  <w:b/>
                  <w:sz w:val="15"/>
                </w:rPr>
                <w:t>[S10]</w:t>
              </w:r>
            </w:hyperlink>
            <w:r>
              <w:t xml:space="preserve"> </w:t>
            </w:r>
            <w:hyperlink r:id="rId19">
              <w:r>
                <w:rPr>
                  <w:color w:val="1F5A7A"/>
                  <w:b/>
                  <w:sz w:val="15"/>
                </w:rPr>
                <w:t>[S11]</w:t>
              </w:r>
            </w:hyperlink>
          </w:p>
        </w:tc>
        <w:tc>
          <w:tcPr>
            <w:tcW w:type="dxa" w:w="280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236,900 underbanked customers and 1.7% disclosed NPL in 2025.</w:t>
            </w:r>
            <w:r>
              <w:t xml:space="preserve"> </w:t>
            </w:r>
            <w:hyperlink r:id="rId22">
              <w:r>
                <w:rPr>
                  <w:color w:val="1F5A7A"/>
                  <w:b/>
                  <w:sz w:val="15"/>
                </w:rPr>
                <w:t>[S09]</w:t>
              </w:r>
            </w:hyperlink>
          </w:p>
        </w:tc>
        <w:tc>
          <w:tcPr>
            <w:tcW w:type="dxa" w:w="302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Current finance-company balances, originations, share and risk by product.</w:t>
            </w:r>
          </w:p>
        </w:tc>
      </w:tr>
    </w:tbl>
    <w:p>
      <w:pPr>
        <w:widowControl/>
        <w:spacing w:after="0"/>
      </w:pPr>
    </w:p>
    <w:p>
      <w:pPr>
        <w:pStyle w:val="Heading2"/>
        <w:keepNext/>
        <w:widowControl/>
      </w:pPr>
      <w:r>
        <w:t>Demand drivers and brakes</w:t>
      </w:r>
    </w:p>
    <w:tbl>
      <w:tblPr>
        <w:tblW w:type="auto" w:w="0"/>
        <w:jc w:val="center"/>
        <w:tblLayout w:type="fixed"/>
        <w:tblLook w:firstColumn="1" w:firstRow="1" w:lastColumn="0" w:lastRow="0" w:noHBand="0" w:noVBand="1" w:val="04A0"/>
      </w:tblPr>
      <w:tblGrid>
        <w:gridCol w:w="1800"/>
        <w:gridCol w:w="3600"/>
        <w:gridCol w:w="5112"/>
      </w:tblGrid>
      <w:tr>
        <w:trPr>
          <w:trHeight w:hRule="atLeast"/>
          <w:tblHeader w:val="true"/>
          <w:cantSplit w:val="true"/>
        </w:trPr>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Driver</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Transmission to demand</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Evidence / caveat</w:t>
            </w:r>
          </w:p>
        </w:tc>
      </w:tr>
      <w:tr>
        <w:trPr>
          <w:cantSplit w:val="true"/>
          <w:trHeight w:hRule="atLeast"/>
        </w:trPr>
        <w:tc>
          <w:tcPr>
            <w:tcW w:type="dxa" w:w="18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Household income and employment</w:t>
            </w:r>
          </w:p>
        </w:tc>
        <w:tc>
          <w:tcPr>
            <w:tcW w:type="dxa" w:w="36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Higher stable income supports purchases and repayment; shocks reduce approvals and increase delinquency.</w:t>
            </w:r>
          </w:p>
        </w:tc>
        <w:tc>
          <w:tcPr>
            <w:tcW w:type="dxa" w:w="511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Czech employment and macro data are favorable for 2025; Vietnam trade exposure can transmit into export employment and repayment.</w:t>
            </w:r>
            <w:r>
              <w:t xml:space="preserve"> </w:t>
            </w:r>
            <w:hyperlink r:id="rId35">
              <w:r>
                <w:rPr>
                  <w:color w:val="1F5A7A"/>
                  <w:b/>
                  <w:sz w:val="15"/>
                </w:rPr>
                <w:t>[S12]</w:t>
              </w:r>
            </w:hyperlink>
            <w:r>
              <w:t xml:space="preserve"> </w:t>
            </w:r>
            <w:hyperlink r:id="rId33">
              <w:r>
                <w:rPr>
                  <w:color w:val="1F5A7A"/>
                  <w:b/>
                  <w:sz w:val="15"/>
                </w:rPr>
                <w:t>[S15]</w:t>
              </w:r>
            </w:hyperlink>
          </w:p>
        </w:tc>
      </w:tr>
      <w:tr>
        <w:trPr>
          <w:cantSplit w:val="true"/>
          <w:trHeight w:hRule="atLeast"/>
        </w:trPr>
        <w:tc>
          <w:tcPr>
            <w:tcW w:type="dxa" w:w="180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Digital access</w:t>
            </w:r>
          </w:p>
        </w:tc>
        <w:tc>
          <w:tcPr>
            <w:tcW w:type="dxa" w:w="360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Remote onboarding and payment reduce distribution friction and broaden reachable customers.</w:t>
            </w:r>
          </w:p>
        </w:tc>
        <w:tc>
          <w:tcPr>
            <w:tcW w:type="dxa" w:w="511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Global mobile ownership is high; Home Credit reports high digital completion in Czechia and Slovakia.</w:t>
            </w:r>
            <w:r>
              <w:t xml:space="preserve"> </w:t>
            </w:r>
            <w:hyperlink r:id="rId20">
              <w:r>
                <w:rPr>
                  <w:color w:val="1F5A7A"/>
                  <w:b/>
                  <w:sz w:val="15"/>
                </w:rPr>
                <w:t>[S04]</w:t>
              </w:r>
            </w:hyperlink>
            <w:r>
              <w:t xml:space="preserve"> </w:t>
            </w:r>
            <w:hyperlink r:id="rId32">
              <w:r>
                <w:rPr>
                  <w:color w:val="1F5A7A"/>
                  <w:b/>
                  <w:sz w:val="15"/>
                </w:rPr>
                <w:t>[S21]</w:t>
              </w:r>
            </w:hyperlink>
          </w:p>
        </w:tc>
      </w:tr>
      <w:tr>
        <w:trPr>
          <w:cantSplit w:val="true"/>
          <w:trHeight w:hRule="atLeast"/>
        </w:trPr>
        <w:tc>
          <w:tcPr>
            <w:tcW w:type="dxa" w:w="18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Merchant ecosystems</w:t>
            </w:r>
          </w:p>
        </w:tc>
        <w:tc>
          <w:tcPr>
            <w:tcW w:type="dxa" w:w="36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Credit embedded at the point of need can raise application volume and conversion.</w:t>
            </w:r>
          </w:p>
        </w:tc>
        <w:tc>
          <w:tcPr>
            <w:tcW w:type="dxa" w:w="511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Home Credit and FiinGroup both emphasize partner ecosystems.</w:t>
            </w:r>
            <w:r>
              <w:t xml:space="preserve"> </w:t>
            </w:r>
            <w:hyperlink r:id="rId15">
              <w:r>
                <w:rPr>
                  <w:color w:val="1F5A7A"/>
                  <w:b/>
                  <w:sz w:val="15"/>
                </w:rPr>
                <w:t>[S02]</w:t>
              </w:r>
            </w:hyperlink>
            <w:r>
              <w:t xml:space="preserve"> </w:t>
            </w:r>
            <w:hyperlink r:id="rId19">
              <w:r>
                <w:rPr>
                  <w:color w:val="1F5A7A"/>
                  <w:b/>
                  <w:sz w:val="15"/>
                </w:rPr>
                <w:t>[S11]</w:t>
              </w:r>
            </w:hyperlink>
          </w:p>
        </w:tc>
      </w:tr>
      <w:tr>
        <w:trPr>
          <w:cantSplit w:val="true"/>
          <w:trHeight w:hRule="atLeast"/>
        </w:trPr>
        <w:tc>
          <w:tcPr>
            <w:tcW w:type="dxa" w:w="180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Interest and funding costs</w:t>
            </w:r>
          </w:p>
        </w:tc>
        <w:tc>
          <w:tcPr>
            <w:tcW w:type="dxa" w:w="360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Higher cost of funds can raise prices, tighten approvals and reduce contribution.</w:t>
            </w:r>
          </w:p>
        </w:tc>
        <w:tc>
          <w:tcPr>
            <w:tcW w:type="dxa" w:w="511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BIS highlights liquidity and funding vulnerability in nonbank lenders.</w:t>
            </w:r>
            <w:r>
              <w:t xml:space="preserve"> </w:t>
            </w:r>
            <w:hyperlink r:id="rId18">
              <w:r>
                <w:rPr>
                  <w:color w:val="1F5A7A"/>
                  <w:b/>
                  <w:sz w:val="15"/>
                </w:rPr>
                <w:t>[S22]</w:t>
              </w:r>
            </w:hyperlink>
          </w:p>
        </w:tc>
      </w:tr>
      <w:tr>
        <w:trPr>
          <w:cantSplit w:val="true"/>
          <w:trHeight w:hRule="atLeast"/>
        </w:trPr>
        <w:tc>
          <w:tcPr>
            <w:tcW w:type="dxa" w:w="18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Conduct and data rules</w:t>
            </w:r>
          </w:p>
        </w:tc>
        <w:tc>
          <w:tcPr>
            <w:tcW w:type="dxa" w:w="36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Broader scope and stronger assessment/documentation can raise compliance cost and remove unsuitable volume.</w:t>
            </w:r>
          </w:p>
        </w:tc>
        <w:tc>
          <w:tcPr>
            <w:tcW w:type="dxa" w:w="511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EU CCD applies national measures from 20 November 2026; Vietnam PDPL took effect 1 January 2026.</w:t>
            </w:r>
            <w:r>
              <w:t xml:space="preserve"> </w:t>
            </w:r>
            <w:hyperlink r:id="rId24">
              <w:r>
                <w:rPr>
                  <w:color w:val="1F5A7A"/>
                  <w:b/>
                  <w:sz w:val="15"/>
                </w:rPr>
                <w:t>[S23]</w:t>
              </w:r>
            </w:hyperlink>
            <w:r>
              <w:t xml:space="preserve"> </w:t>
            </w:r>
            <w:hyperlink r:id="rId36">
              <w:r>
                <w:rPr>
                  <w:color w:val="1F5A7A"/>
                  <w:b/>
                  <w:sz w:val="15"/>
                </w:rPr>
                <w:t>[S28]</w:t>
              </w:r>
            </w:hyperlink>
            <w:r>
              <w:t xml:space="preserve"> </w:t>
            </w:r>
            <w:hyperlink r:id="rId37">
              <w:r>
                <w:rPr>
                  <w:color w:val="1F5A7A"/>
                  <w:b/>
                  <w:sz w:val="15"/>
                </w:rPr>
                <w:t>[S29]</w:t>
              </w:r>
            </w:hyperlink>
          </w:p>
        </w:tc>
      </w:tr>
    </w:tbl>
    <w:p>
      <w:pPr>
        <w:widowControl/>
        <w:spacing w:after="0"/>
      </w:pPr>
    </w:p>
    <w:p>
      <w:pPr>
        <w:widowControl/>
        <w:spacing w:after="40"/>
      </w:pPr>
    </w:p>
    <w:p>
      <w:pPr>
        <w:pStyle w:val="Heading1"/>
        <w:keepNext/>
        <w:widowControl/>
      </w:pPr>
      <w:r>
        <w:rPr>
          <w:color w:val="0C7C86"/>
        </w:rPr>
        <w:t xml:space="preserve">5  </w:t>
      </w:r>
      <w:r>
        <w:rPr>
          <w:color w:val="16324F"/>
        </w:rPr>
        <w:t>Products, pricing and customer journey</w:t>
      </w:r>
    </w:p>
    <w:p>
      <w:pPr>
        <w:pStyle w:val="SectionStrap"/>
        <w:widowControl/>
      </w:pPr>
      <w:r>
        <w:t>Compare total customer value and risk—not headline APR alone</w:t>
      </w:r>
    </w:p>
    <w:p>
      <w:pPr>
        <w:pStyle w:val="Heading2"/>
        <w:keepNext/>
        <w:widowControl/>
      </w:pPr>
      <w:r>
        <w:t>Current public product examples</w:t>
      </w:r>
    </w:p>
    <w:tbl>
      <w:tblPr>
        <w:tblW w:type="auto" w:w="0"/>
        <w:jc w:val="center"/>
        <w:tblLayout w:type="fixed"/>
        <w:tblLook w:firstColumn="1" w:firstRow="1" w:lastColumn="0" w:lastRow="0" w:noHBand="0" w:noVBand="1" w:val="04A0"/>
      </w:tblPr>
      <w:tblGrid>
        <w:gridCol w:w="2016"/>
        <w:gridCol w:w="4896"/>
        <w:gridCol w:w="3600"/>
      </w:tblGrid>
      <w:tr>
        <w:trPr>
          <w:trHeight w:hRule="atLeast"/>
          <w:tblHeader w:val="true"/>
          <w:cantSplit w:val="true"/>
        </w:trPr>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Market / product</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Advertised parameters</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Interpretation</w:t>
            </w:r>
          </w:p>
        </w:tc>
      </w:tr>
      <w:tr>
        <w:trPr>
          <w:cantSplit w:val="true"/>
          <w:trHeight w:hRule="atLeast"/>
        </w:trPr>
        <w:tc>
          <w:tcPr>
            <w:tcW w:type="dxa" w:w="201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Czech classic loan</w:t>
            </w:r>
          </w:p>
        </w:tc>
        <w:tc>
          <w:tcPr>
            <w:tcW w:type="dxa" w:w="489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CZK 10,000–1,000,000; 6–120 months; interest 7.9%–25.9%; APR 8.2%–29.2%; no origination, maintenance or early-repayment fee.</w:t>
            </w:r>
            <w:r>
              <w:t xml:space="preserve"> </w:t>
            </w:r>
            <w:hyperlink r:id="rId28">
              <w:r>
                <w:rPr>
                  <w:color w:val="1F5A7A"/>
                  <w:b/>
                  <w:sz w:val="15"/>
                </w:rPr>
                <w:t>[S06]</w:t>
              </w:r>
            </w:hyperlink>
          </w:p>
        </w:tc>
        <w:tc>
          <w:tcPr>
            <w:tcW w:type="dxa" w:w="36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Wide risk-based range; representative offers must be separated from booked-customer distribution.</w:t>
            </w:r>
          </w:p>
        </w:tc>
      </w:tr>
      <w:tr>
        <w:trPr>
          <w:cantSplit w:val="true"/>
          <w:trHeight w:hRule="atLeast"/>
        </w:trPr>
        <w:tc>
          <w:tcPr>
            <w:tcW w:type="dxa" w:w="201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Czech flexible loan</w:t>
            </w:r>
          </w:p>
        </w:tc>
        <w:tc>
          <w:tcPr>
            <w:tcW w:type="dxa" w:w="489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Revolving product up to CZK 250,000, described alongside the classic loan.</w:t>
            </w:r>
            <w:r>
              <w:t xml:space="preserve"> </w:t>
            </w:r>
            <w:hyperlink r:id="rId28">
              <w:r>
                <w:rPr>
                  <w:color w:val="1F5A7A"/>
                  <w:b/>
                  <w:sz w:val="15"/>
                </w:rPr>
                <w:t>[S06]</w:t>
              </w:r>
            </w:hyperlink>
          </w:p>
        </w:tc>
        <w:tc>
          <w:tcPr>
            <w:tcW w:type="dxa" w:w="360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Reusable line can improve lifetime value but requires line management and minimum-payment monitoring.</w:t>
            </w:r>
          </w:p>
        </w:tc>
      </w:tr>
      <w:tr>
        <w:trPr>
          <w:cantSplit w:val="true"/>
          <w:trHeight w:hRule="atLeast"/>
        </w:trPr>
        <w:tc>
          <w:tcPr>
            <w:tcW w:type="dxa" w:w="201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Slovak classic loan</w:t>
            </w:r>
          </w:p>
        </w:tc>
        <w:tc>
          <w:tcPr>
            <w:tcW w:type="dxa" w:w="489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€400–€40,000; 6–96 months; parameter table shows interest 12.9%–19.4% and APR 13.7%–21.2%; no origination, maintenance or early-repayment fee.</w:t>
            </w:r>
            <w:r>
              <w:t xml:space="preserve"> </w:t>
            </w:r>
            <w:hyperlink r:id="rId29">
              <w:r>
                <w:rPr>
                  <w:color w:val="1F5A7A"/>
                  <w:b/>
                  <w:sz w:val="15"/>
                </w:rPr>
                <w:t>[S07]</w:t>
              </w:r>
            </w:hyperlink>
          </w:p>
        </w:tc>
        <w:tc>
          <w:tcPr>
            <w:tcW w:type="dxa" w:w="36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The page's narrative and parameter table show slightly different maximum interest figures; validate the legally controlling disclosure.</w:t>
            </w:r>
          </w:p>
        </w:tc>
      </w:tr>
      <w:tr>
        <w:trPr>
          <w:cantSplit w:val="true"/>
          <w:trHeight w:hRule="atLeast"/>
        </w:trPr>
        <w:tc>
          <w:tcPr>
            <w:tcW w:type="dxa" w:w="201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Slovak flexible loan</w:t>
            </w:r>
          </w:p>
        </w:tc>
        <w:tc>
          <w:tcPr>
            <w:tcW w:type="dxa" w:w="489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Revolving product up to €10,000, described alongside the classic loan.</w:t>
            </w:r>
            <w:r>
              <w:t xml:space="preserve"> </w:t>
            </w:r>
            <w:hyperlink r:id="rId29">
              <w:r>
                <w:rPr>
                  <w:color w:val="1F5A7A"/>
                  <w:b/>
                  <w:sz w:val="15"/>
                </w:rPr>
                <w:t>[S07]</w:t>
              </w:r>
            </w:hyperlink>
          </w:p>
        </w:tc>
        <w:tc>
          <w:tcPr>
            <w:tcW w:type="dxa" w:w="360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Price and repayment behavior should be compared with cards and bank overdrafts.</w:t>
            </w:r>
          </w:p>
        </w:tc>
      </w:tr>
      <w:tr>
        <w:trPr>
          <w:cantSplit w:val="true"/>
          <w:trHeight w:hRule="atLeast"/>
        </w:trPr>
        <w:tc>
          <w:tcPr>
            <w:tcW w:type="dxa" w:w="201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Vietnam portfolio</w:t>
            </w:r>
          </w:p>
        </w:tc>
        <w:tc>
          <w:tcPr>
            <w:tcW w:type="dxa" w:w="489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Company and market sources describe cash, durables/instalments, cards, vehicles and insurance/protection-related offers.</w:t>
            </w:r>
            <w:r>
              <w:t xml:space="preserve"> </w:t>
            </w:r>
            <w:hyperlink r:id="rId30">
              <w:r>
                <w:rPr>
                  <w:color w:val="1F5A7A"/>
                  <w:b/>
                  <w:sz w:val="15"/>
                </w:rPr>
                <w:t>[S08]</w:t>
              </w:r>
            </w:hyperlink>
            <w:r>
              <w:t xml:space="preserve"> </w:t>
            </w:r>
            <w:hyperlink r:id="rId22">
              <w:r>
                <w:rPr>
                  <w:color w:val="1F5A7A"/>
                  <w:b/>
                  <w:sz w:val="15"/>
                </w:rPr>
                <w:t>[S09]</w:t>
              </w:r>
            </w:hyperlink>
            <w:r>
              <w:t xml:space="preserve"> </w:t>
            </w:r>
            <w:hyperlink r:id="rId19">
              <w:r>
                <w:rPr>
                  <w:color w:val="1F5A7A"/>
                  <w:b/>
                  <w:sz w:val="15"/>
                </w:rPr>
                <w:t>[S11]</w:t>
              </w:r>
            </w:hyperlink>
          </w:p>
        </w:tc>
        <w:tc>
          <w:tcPr>
            <w:tcW w:type="dxa" w:w="36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Product mix is shifting toward ecosystem and asset-linked use cases; exact current price bands require local offer capture.</w:t>
            </w:r>
          </w:p>
        </w:tc>
      </w:tr>
    </w:tbl>
    <w:p>
      <w:pPr>
        <w:widowControl/>
        <w:spacing w:after="0"/>
      </w:pPr>
    </w:p>
    <w:p>
      <w:pPr>
        <w:keepLines w:val="0"/>
        <w:widowControl/>
        <w:spacing w:after="100"/>
      </w:pPr>
      <w:r>
        <w:rPr>
          <w:color w:val="182026"/>
        </w:rPr>
        <w:t>Advertised APRs are not realized portfolio yields. Cross-country comparisons also require product mix, currency, term, fees, insurance, early repayment, expected loss, tax and funding cost. No public source reviewed provides those components on a fully comparable Home Credit basis.</w:t>
      </w:r>
    </w:p>
    <w:p>
      <w:pPr>
        <w:pStyle w:val="Heading2"/>
        <w:keepNext/>
        <w:widowControl/>
      </w:pPr>
      <w:r>
        <w:t>Customer journey and control points</w:t>
      </w:r>
    </w:p>
    <w:tbl>
      <w:tblPr>
        <w:tblW w:type="auto" w:w="0"/>
        <w:jc w:val="center"/>
        <w:tblLayout w:type="fixed"/>
        <w:tblLook w:firstColumn="1" w:firstRow="1" w:lastColumn="0" w:lastRow="0" w:noHBand="0" w:noVBand="1" w:val="04A0"/>
      </w:tblPr>
      <w:tblGrid>
        <w:gridCol w:w="1152"/>
        <w:gridCol w:w="2232"/>
        <w:gridCol w:w="3168"/>
        <w:gridCol w:w="3960"/>
      </w:tblGrid>
      <w:tr>
        <w:trPr>
          <w:trHeight w:hRule="atLeast"/>
          <w:tblHeader w:val="true"/>
          <w:cantSplit w:val="true"/>
        </w:trPr>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Stage</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Customer question</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Commercial metric</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Risk / conduct control</w:t>
            </w:r>
          </w:p>
        </w:tc>
      </w:tr>
      <w:tr>
        <w:trPr>
          <w:cantSplit w:val="true"/>
          <w:trHeight w:hRule="atLeast"/>
        </w:trPr>
        <w:tc>
          <w:tcPr>
            <w:tcW w:type="dxa" w:w="115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Discover</w:t>
            </w:r>
          </w:p>
        </w:tc>
        <w:tc>
          <w:tcPr>
            <w:tcW w:type="dxa" w:w="223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Can I trust this offer?</w:t>
            </w:r>
          </w:p>
        </w:tc>
        <w:tc>
          <w:tcPr>
            <w:tcW w:type="dxa" w:w="316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Qualified traffic; merchant reach</w:t>
            </w:r>
          </w:p>
        </w:tc>
        <w:tc>
          <w:tcPr>
            <w:tcW w:type="dxa" w:w="396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Clear advertising; avoid dark patterns</w:t>
            </w:r>
          </w:p>
        </w:tc>
      </w:tr>
      <w:tr>
        <w:trPr>
          <w:cantSplit w:val="true"/>
          <w:trHeight w:hRule="atLeast"/>
        </w:trPr>
        <w:tc>
          <w:tcPr>
            <w:tcW w:type="dxa" w:w="115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Apply</w:t>
            </w:r>
          </w:p>
        </w:tc>
        <w:tc>
          <w:tcPr>
            <w:tcW w:type="dxa" w:w="223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How much effort and data are required?</w:t>
            </w:r>
          </w:p>
        </w:tc>
        <w:tc>
          <w:tcPr>
            <w:tcW w:type="dxa" w:w="316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Start-to-submit; cost per completed application</w:t>
            </w:r>
          </w:p>
        </w:tc>
        <w:tc>
          <w:tcPr>
            <w:tcW w:type="dxa" w:w="396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Data minimization; consent; fraud screening</w:t>
            </w:r>
          </w:p>
        </w:tc>
      </w:tr>
      <w:tr>
        <w:trPr>
          <w:cantSplit w:val="true"/>
          <w:trHeight w:hRule="atLeast"/>
        </w:trPr>
        <w:tc>
          <w:tcPr>
            <w:tcW w:type="dxa" w:w="115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Decide</w:t>
            </w:r>
          </w:p>
        </w:tc>
        <w:tc>
          <w:tcPr>
            <w:tcW w:type="dxa" w:w="223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Why this amount, price or decline?</w:t>
            </w:r>
          </w:p>
        </w:tc>
        <w:tc>
          <w:tcPr>
            <w:tcW w:type="dxa" w:w="316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Approval; time to decision; take-up</w:t>
            </w:r>
          </w:p>
        </w:tc>
        <w:tc>
          <w:tcPr>
            <w:tcW w:type="dxa" w:w="396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Affordability; explainability; bias and override monitoring</w:t>
            </w:r>
          </w:p>
        </w:tc>
      </w:tr>
      <w:tr>
        <w:trPr>
          <w:cantSplit w:val="true"/>
          <w:trHeight w:hRule="atLeast"/>
        </w:trPr>
        <w:tc>
          <w:tcPr>
            <w:tcW w:type="dxa" w:w="115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Contract</w:t>
            </w:r>
          </w:p>
        </w:tc>
        <w:tc>
          <w:tcPr>
            <w:tcW w:type="dxa" w:w="223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What will I repay and when?</w:t>
            </w:r>
          </w:p>
        </w:tc>
        <w:tc>
          <w:tcPr>
            <w:tcW w:type="dxa" w:w="316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Booking; cancellation; insurance attachment</w:t>
            </w:r>
          </w:p>
        </w:tc>
        <w:tc>
          <w:tcPr>
            <w:tcW w:type="dxa" w:w="396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Total-cost comprehension; suitable term; informed opt-in</w:t>
            </w:r>
          </w:p>
        </w:tc>
      </w:tr>
      <w:tr>
        <w:trPr>
          <w:cantSplit w:val="true"/>
          <w:trHeight w:hRule="atLeast"/>
        </w:trPr>
        <w:tc>
          <w:tcPr>
            <w:tcW w:type="dxa" w:w="115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Use / repay</w:t>
            </w:r>
          </w:p>
        </w:tc>
        <w:tc>
          <w:tcPr>
            <w:tcW w:type="dxa" w:w="223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Can I see and control my obligation?</w:t>
            </w:r>
          </w:p>
        </w:tc>
        <w:tc>
          <w:tcPr>
            <w:tcW w:type="dxa" w:w="316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Autopay; app activity; repeat use</w:t>
            </w:r>
          </w:p>
        </w:tc>
        <w:tc>
          <w:tcPr>
            <w:tcW w:type="dxa" w:w="396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Payment alerts; line management; hardship detection</w:t>
            </w:r>
          </w:p>
        </w:tc>
      </w:tr>
      <w:tr>
        <w:trPr>
          <w:cantSplit w:val="true"/>
          <w:trHeight w:hRule="atLeast"/>
        </w:trPr>
        <w:tc>
          <w:tcPr>
            <w:tcW w:type="dxa" w:w="115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Arrears</w:t>
            </w:r>
          </w:p>
        </w:tc>
        <w:tc>
          <w:tcPr>
            <w:tcW w:type="dxa" w:w="223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What help is available?</w:t>
            </w:r>
          </w:p>
        </w:tc>
        <w:tc>
          <w:tcPr>
            <w:tcW w:type="dxa" w:w="316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Cure; promise-to-pay; redefault</w:t>
            </w:r>
          </w:p>
        </w:tc>
        <w:tc>
          <w:tcPr>
            <w:tcW w:type="dxa" w:w="396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Proportionate contact; forbearance; complaint access</w:t>
            </w:r>
          </w:p>
        </w:tc>
      </w:tr>
      <w:tr>
        <w:trPr>
          <w:cantSplit w:val="true"/>
          <w:trHeight w:hRule="atLeast"/>
        </w:trPr>
        <w:tc>
          <w:tcPr>
            <w:tcW w:type="dxa" w:w="115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Close / return</w:t>
            </w:r>
          </w:p>
        </w:tc>
        <w:tc>
          <w:tcPr>
            <w:tcW w:type="dxa" w:w="223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Was this relationship fair and useful?</w:t>
            </w:r>
          </w:p>
        </w:tc>
        <w:tc>
          <w:tcPr>
            <w:tcW w:type="dxa" w:w="316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Retention; cross-sell; lifetime contribution</w:t>
            </w:r>
          </w:p>
        </w:tc>
        <w:tc>
          <w:tcPr>
            <w:tcW w:type="dxa" w:w="396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Outcome review; deletion/retention; redress</w:t>
            </w:r>
          </w:p>
        </w:tc>
      </w:tr>
    </w:tbl>
    <w:p>
      <w:pPr>
        <w:widowControl/>
        <w:spacing w:after="0"/>
      </w:pPr>
    </w:p>
    <w:p>
      <w:pPr>
        <w:keepLines w:val="0"/>
        <w:widowControl/>
        <w:spacing w:after="100"/>
      </w:pPr>
      <w:r>
        <w:rPr>
          <w:color w:val="182026"/>
        </w:rPr>
        <w:t xml:space="preserve">Home Credit's 2025 Czech-Slovak disclosure says 80% of instalment purchases were completed online and more than 60% of online transactions were fully digital without human intervention. The next productivity frontier is therefore not simply channel migration; it is better funnel quality, decision accuracy and servicing outcomes. </w:t>
      </w:r>
      <w:r>
        <w:t xml:space="preserve"> </w:t>
      </w:r>
      <w:hyperlink r:id="rId20">
        <w:r>
          <w:rPr>
            <w:color w:val="1F5A7A"/>
            <w:b/>
            <w:sz w:val="16"/>
          </w:rPr>
          <w:t>[S04]</w:t>
        </w:r>
      </w:hyperlink>
    </w:p>
    <w:p>
      <w:pPr>
        <w:pStyle w:val="Heading2"/>
        <w:keepNext/>
        <w:widowControl/>
      </w:pPr>
      <w:r>
        <w:t>Pricing research that matters</w:t>
      </w:r>
    </w:p>
    <w:p>
      <w:pPr>
        <w:pStyle w:val="ListBullet"/>
        <w:widowControl/>
        <w:spacing w:after="40"/>
      </w:pPr>
      <w:r>
        <w:rPr>
          <w:color w:val="182026"/>
        </w:rPr>
        <w:t>Build a weekly mystery-shopping panel capturing approved amount, APR, term, fees, insurance, merchant subsidy, required account behavior and early-repayment treatment.</w:t>
      </w:r>
    </w:p>
    <w:p>
      <w:pPr>
        <w:pStyle w:val="ListBullet"/>
        <w:widowControl/>
        <w:spacing w:after="40"/>
      </w:pPr>
      <w:r>
        <w:rPr>
          <w:color w:val="182026"/>
        </w:rPr>
        <w:t>Compare like-for-like borrower profiles and purchase categories; posted ranges without matched risk profiles are not price comparisons.</w:t>
      </w:r>
    </w:p>
    <w:p>
      <w:pPr>
        <w:pStyle w:val="ListBullet"/>
        <w:widowControl/>
        <w:spacing w:after="40"/>
      </w:pPr>
      <w:r>
        <w:rPr>
          <w:color w:val="182026"/>
        </w:rPr>
        <w:t>Decompose realized margin by cohort into interest/fee income, merchant economics, funding, expected and unexpected loss, fraud, servicing, collections and capital.</w:t>
      </w:r>
    </w:p>
    <w:p>
      <w:pPr>
        <w:pStyle w:val="ListBullet"/>
        <w:widowControl/>
        <w:spacing w:after="40"/>
      </w:pPr>
      <w:r>
        <w:rPr>
          <w:color w:val="182026"/>
        </w:rPr>
        <w:t>Measure customer comprehension and payment burden alongside price. A lower monthly instalment achieved only through a longer term may raise total cost.</w:t>
      </w:r>
    </w:p>
    <w:p>
      <w:pPr>
        <w:widowControl/>
        <w:spacing w:after="40"/>
      </w:pPr>
    </w:p>
    <w:p>
      <w:pPr>
        <w:pStyle w:val="Heading1"/>
        <w:keepNext/>
        <w:widowControl/>
      </w:pPr>
      <w:r>
        <w:rPr>
          <w:color w:val="0C7C86"/>
        </w:rPr>
        <w:t xml:space="preserve">6  </w:t>
      </w:r>
      <w:r>
        <w:rPr>
          <w:color w:val="16324F"/>
        </w:rPr>
        <w:t>Value chain, distribution and competition</w:t>
      </w:r>
    </w:p>
    <w:p>
      <w:pPr>
        <w:pStyle w:val="SectionStrap"/>
        <w:widowControl/>
      </w:pPr>
      <w:r>
        <w:t>Competitive advantage is the coordination of several capabilities</w:t>
      </w:r>
    </w:p>
    <w:p>
      <w:pPr>
        <w:pStyle w:val="Heading2"/>
        <w:keepNext/>
        <w:widowControl/>
      </w:pPr>
      <w:r>
        <w:t>Value-chain map</w:t>
      </w:r>
    </w:p>
    <w:tbl>
      <w:tblPr>
        <w:tblW w:type="auto" w:w="0"/>
        <w:jc w:val="center"/>
        <w:tblLayout w:type="fixed"/>
        <w:tblLook w:firstColumn="1" w:firstRow="1" w:lastColumn="0" w:lastRow="0" w:noHBand="0" w:noVBand="1" w:val="04A0"/>
      </w:tblPr>
      <w:tblGrid>
        <w:gridCol w:w="1728"/>
        <w:gridCol w:w="2952"/>
        <w:gridCol w:w="2880"/>
        <w:gridCol w:w="2952"/>
      </w:tblGrid>
      <w:tr>
        <w:trPr>
          <w:trHeight w:hRule="atLeast"/>
          <w:tblHeader w:val="true"/>
          <w:cantSplit w:val="true"/>
        </w:trPr>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Capability</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Primary activity</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Value created</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Failure mode</w:t>
            </w:r>
          </w:p>
        </w:tc>
      </w:tr>
      <w:tr>
        <w:trPr>
          <w:cantSplit w:val="true"/>
          <w:trHeight w:hRule="atLeast"/>
        </w:trPr>
        <w:tc>
          <w:tcPr>
            <w:tcW w:type="dxa" w:w="172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Demand access</w:t>
            </w:r>
          </w:p>
        </w:tc>
        <w:tc>
          <w:tcPr>
            <w:tcW w:type="dxa" w:w="295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Retailer, e-commerce, app and direct acquisition</w:t>
            </w:r>
          </w:p>
        </w:tc>
        <w:tc>
          <w:tcPr>
            <w:tcW w:type="dxa" w:w="28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Applications at relevant moments</w:t>
            </w:r>
          </w:p>
        </w:tc>
        <w:tc>
          <w:tcPr>
            <w:tcW w:type="dxa" w:w="295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Expensive low-intent traffic or partner concentration</w:t>
            </w:r>
          </w:p>
        </w:tc>
      </w:tr>
      <w:tr>
        <w:trPr>
          <w:cantSplit w:val="true"/>
          <w:trHeight w:hRule="atLeast"/>
        </w:trPr>
        <w:tc>
          <w:tcPr>
            <w:tcW w:type="dxa" w:w="172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Identity and fraud</w:t>
            </w:r>
          </w:p>
        </w:tc>
        <w:tc>
          <w:tcPr>
            <w:tcW w:type="dxa" w:w="295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Document, device, behavioral and transaction checks</w:t>
            </w:r>
          </w:p>
        </w:tc>
        <w:tc>
          <w:tcPr>
            <w:tcW w:type="dxa" w:w="288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Stops losses before booking</w:t>
            </w:r>
          </w:p>
        </w:tc>
        <w:tc>
          <w:tcPr>
            <w:tcW w:type="dxa" w:w="295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False positives, synthetic identity, account takeover</w:t>
            </w:r>
          </w:p>
        </w:tc>
      </w:tr>
      <w:tr>
        <w:trPr>
          <w:cantSplit w:val="true"/>
          <w:trHeight w:hRule="atLeast"/>
        </w:trPr>
        <w:tc>
          <w:tcPr>
            <w:tcW w:type="dxa" w:w="172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Credit decision</w:t>
            </w:r>
          </w:p>
        </w:tc>
        <w:tc>
          <w:tcPr>
            <w:tcW w:type="dxa" w:w="295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Affordability, risk, limit, price and term</w:t>
            </w:r>
          </w:p>
        </w:tc>
        <w:tc>
          <w:tcPr>
            <w:tcW w:type="dxa" w:w="28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Converts acceptable risk quickly</w:t>
            </w:r>
          </w:p>
        </w:tc>
        <w:tc>
          <w:tcPr>
            <w:tcW w:type="dxa" w:w="295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Adverse selection, bias, unexplained decline</w:t>
            </w:r>
          </w:p>
        </w:tc>
      </w:tr>
      <w:tr>
        <w:trPr>
          <w:cantSplit w:val="true"/>
          <w:trHeight w:hRule="atLeast"/>
        </w:trPr>
        <w:tc>
          <w:tcPr>
            <w:tcW w:type="dxa" w:w="172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Funding and treasury</w:t>
            </w:r>
          </w:p>
        </w:tc>
        <w:tc>
          <w:tcPr>
            <w:tcW w:type="dxa" w:w="295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Liquidity, tenor, hedging and transfer pricing</w:t>
            </w:r>
          </w:p>
        </w:tc>
        <w:tc>
          <w:tcPr>
            <w:tcW w:type="dxa" w:w="288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Turns decisions into scalable assets</w:t>
            </w:r>
          </w:p>
        </w:tc>
        <w:tc>
          <w:tcPr>
            <w:tcW w:type="dxa" w:w="295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Mismatch, refinancing pressure, margin compression</w:t>
            </w:r>
          </w:p>
        </w:tc>
      </w:tr>
      <w:tr>
        <w:trPr>
          <w:cantSplit w:val="true"/>
          <w:trHeight w:hRule="atLeast"/>
        </w:trPr>
        <w:tc>
          <w:tcPr>
            <w:tcW w:type="dxa" w:w="172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Servicing</w:t>
            </w:r>
          </w:p>
        </w:tc>
        <w:tc>
          <w:tcPr>
            <w:tcW w:type="dxa" w:w="295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Payments, statements, app and support</w:t>
            </w:r>
          </w:p>
        </w:tc>
        <w:tc>
          <w:tcPr>
            <w:tcW w:type="dxa" w:w="28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Retention and low cost to serve</w:t>
            </w:r>
          </w:p>
        </w:tc>
        <w:tc>
          <w:tcPr>
            <w:tcW w:type="dxa" w:w="295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Payment friction, complaints, operational error</w:t>
            </w:r>
          </w:p>
        </w:tc>
      </w:tr>
      <w:tr>
        <w:trPr>
          <w:cantSplit w:val="true"/>
          <w:trHeight w:hRule="atLeast"/>
        </w:trPr>
        <w:tc>
          <w:tcPr>
            <w:tcW w:type="dxa" w:w="172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Collections and recovery</w:t>
            </w:r>
          </w:p>
        </w:tc>
        <w:tc>
          <w:tcPr>
            <w:tcW w:type="dxa" w:w="295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Early intervention, forbearance, legal recovery</w:t>
            </w:r>
          </w:p>
        </w:tc>
        <w:tc>
          <w:tcPr>
            <w:tcW w:type="dxa" w:w="288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Reduces loss and supports customers</w:t>
            </w:r>
          </w:p>
        </w:tc>
        <w:tc>
          <w:tcPr>
            <w:tcW w:type="dxa" w:w="295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Harassment, redefault, legal/reputation damage</w:t>
            </w:r>
          </w:p>
        </w:tc>
      </w:tr>
      <w:tr>
        <w:trPr>
          <w:cantSplit w:val="true"/>
          <w:trHeight w:hRule="atLeast"/>
        </w:trPr>
        <w:tc>
          <w:tcPr>
            <w:tcW w:type="dxa" w:w="172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Data and governance</w:t>
            </w:r>
          </w:p>
        </w:tc>
        <w:tc>
          <w:tcPr>
            <w:tcW w:type="dxa" w:w="295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Monitoring, model controls, privacy and reporting</w:t>
            </w:r>
          </w:p>
        </w:tc>
        <w:tc>
          <w:tcPr>
            <w:tcW w:type="dxa" w:w="28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Learning loop and regulatory evidence</w:t>
            </w:r>
          </w:p>
        </w:tc>
        <w:tc>
          <w:tcPr>
            <w:tcW w:type="dxa" w:w="295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Blind spots, leakage, unowned third parties</w:t>
            </w:r>
          </w:p>
        </w:tc>
      </w:tr>
    </w:tbl>
    <w:p>
      <w:pPr>
        <w:widowControl/>
        <w:spacing w:after="0"/>
      </w:pPr>
    </w:p>
    <w:p>
      <w:pPr>
        <w:pStyle w:val="Heading2"/>
        <w:keepNext/>
        <w:widowControl/>
      </w:pPr>
      <w:r>
        <w:t>Competitive set by market</w:t>
      </w:r>
    </w:p>
    <w:tbl>
      <w:tblPr>
        <w:tblW w:type="auto" w:w="0"/>
        <w:jc w:val="center"/>
        <w:tblLayout w:type="fixed"/>
        <w:tblLook w:firstColumn="1" w:firstRow="1" w:lastColumn="0" w:lastRow="0" w:noHBand="0" w:noVBand="1" w:val="04A0"/>
      </w:tblPr>
      <w:tblGrid>
        <w:gridCol w:w="1152"/>
        <w:gridCol w:w="4392"/>
        <w:gridCol w:w="3096"/>
        <w:gridCol w:w="1872"/>
      </w:tblGrid>
      <w:tr>
        <w:trPr>
          <w:trHeight w:hRule="atLeast"/>
          <w:tblHeader w:val="true"/>
          <w:cantSplit w:val="true"/>
        </w:trPr>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Market</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Direct nonbank reference set</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Broader substitutes</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Evidence limit</w:t>
            </w:r>
          </w:p>
        </w:tc>
      </w:tr>
      <w:tr>
        <w:trPr>
          <w:cantSplit w:val="true"/>
          <w:trHeight w:hRule="atLeast"/>
        </w:trPr>
        <w:tc>
          <w:tcPr>
            <w:tcW w:type="dxa" w:w="115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Czech Republic</w:t>
            </w:r>
          </w:p>
        </w:tc>
        <w:tc>
          <w:tcPr>
            <w:tcW w:type="dxa" w:w="439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CLFA reports 14 licensed member consumer-credit providers in H1 2026.</w:t>
            </w:r>
            <w:r>
              <w:t xml:space="preserve"> </w:t>
            </w:r>
            <w:hyperlink r:id="rId34">
              <w:r>
                <w:rPr>
                  <w:color w:val="1F5A7A"/>
                  <w:b/>
                  <w:sz w:val="15"/>
                </w:rPr>
                <w:t>[S14]</w:t>
              </w:r>
            </w:hyperlink>
          </w:p>
        </w:tc>
        <w:tc>
          <w:tcPr>
            <w:tcW w:type="dxa" w:w="309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Banks, cards, retailer/captive finance, short-term online lenders and informal borrowing.</w:t>
            </w:r>
          </w:p>
        </w:tc>
        <w:tc>
          <w:tcPr>
            <w:tcW w:type="dxa" w:w="187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Current public CLFA homepage gives aggregate member volumes, not a full product-by-product share table.</w:t>
            </w:r>
          </w:p>
        </w:tc>
      </w:tr>
      <w:tr>
        <w:trPr>
          <w:cantSplit w:val="true"/>
          <w:trHeight w:hRule="atLeast"/>
        </w:trPr>
        <w:tc>
          <w:tcPr>
            <w:tcW w:type="dxa" w:w="115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Slovakia</w:t>
            </w:r>
          </w:p>
        </w:tc>
        <w:tc>
          <w:tcPr>
            <w:tcW w:type="dxa" w:w="439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NBS's 2026 reporting list classifies Ahoj, BPT Leasing, Home Credit Slovakia, Intrum Slovakia, Pohotovosť, PROFI CREDIT Slovakia and RMS Mezzanine's branch as consumer-credit companies.</w:t>
            </w:r>
            <w:r>
              <w:t xml:space="preserve"> </w:t>
            </w:r>
            <w:hyperlink r:id="rId38">
              <w:r>
                <w:rPr>
                  <w:color w:val="1F5A7A"/>
                  <w:b/>
                  <w:sz w:val="15"/>
                </w:rPr>
                <w:t>[S17]</w:t>
              </w:r>
            </w:hyperlink>
          </w:p>
        </w:tc>
        <w:tc>
          <w:tcPr>
            <w:tcW w:type="dxa" w:w="309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Banks, cards/overdrafts, leasing/captive finance and fintech credit.</w:t>
            </w:r>
          </w:p>
        </w:tc>
        <w:tc>
          <w:tcPr>
            <w:tcW w:type="dxa" w:w="187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 reporting list is not the same as every customer substitute or a market-share ranking.</w:t>
            </w:r>
          </w:p>
        </w:tc>
      </w:tr>
      <w:tr>
        <w:trPr>
          <w:cantSplit w:val="true"/>
          <w:trHeight w:hRule="atLeast"/>
        </w:trPr>
        <w:tc>
          <w:tcPr>
            <w:tcW w:type="dxa" w:w="115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Vietnam</w:t>
            </w:r>
          </w:p>
        </w:tc>
        <w:tc>
          <w:tcPr>
            <w:tcW w:type="dxa" w:w="439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FiinGroup's named finance-company set includes FE Credit, Home Credit, HD Saison, Mcredit, Shinhan Finance, Toyota Financial Services, Mirae Asset, JACCS, SHB Finance and VietCredit, with other smaller participants noted.</w:t>
            </w:r>
            <w:r>
              <w:t xml:space="preserve"> </w:t>
            </w:r>
            <w:hyperlink r:id="rId19">
              <w:r>
                <w:rPr>
                  <w:color w:val="1F5A7A"/>
                  <w:b/>
                  <w:sz w:val="15"/>
                </w:rPr>
                <w:t>[S11]</w:t>
              </w:r>
            </w:hyperlink>
          </w:p>
        </w:tc>
        <w:tc>
          <w:tcPr>
            <w:tcW w:type="dxa" w:w="309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Banks, credit cards, e-commerce/BNPL, retailer instalments, pawn/secured finance and informal family borrowing.</w:t>
            </w:r>
          </w:p>
        </w:tc>
        <w:tc>
          <w:tcPr>
            <w:tcW w:type="dxa" w:w="187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The public demo redacts exact shares; newer H1 2026 press data cover profit for six firms, not market volume.</w:t>
            </w:r>
          </w:p>
        </w:tc>
      </w:tr>
    </w:tbl>
    <w:p>
      <w:pPr>
        <w:widowControl/>
        <w:spacing w:after="0"/>
      </w:pPr>
    </w:p>
    <w:p>
      <w:pPr>
        <w:pStyle w:val="Heading2"/>
        <w:keepNext/>
        <w:widowControl/>
      </w:pPr>
      <w:r>
        <w:t>Where advantage can compound</w:t>
      </w:r>
    </w:p>
    <w:tbl>
      <w:tblPr>
        <w:tblW w:type="auto" w:w="0"/>
        <w:jc w:val="center"/>
        <w:tblLayout w:type="fixed"/>
        <w:tblLook w:firstColumn="1" w:firstRow="1" w:lastColumn="0" w:lastRow="0" w:noHBand="0" w:noVBand="1" w:val="04A0"/>
      </w:tblPr>
      <w:tblGrid>
        <w:gridCol w:w="1944"/>
        <w:gridCol w:w="4536"/>
        <w:gridCol w:w="4032"/>
      </w:tblGrid>
      <w:tr>
        <w:trPr>
          <w:trHeight w:hRule="atLeast"/>
          <w:tblHeader w:val="true"/>
          <w:cantSplit w:val="true"/>
        </w:trPr>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Potential moat</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Compounding mechanism</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Proof required</w:t>
            </w:r>
          </w:p>
        </w:tc>
      </w:tr>
      <w:tr>
        <w:trPr>
          <w:cantSplit w:val="true"/>
          <w:trHeight w:hRule="atLeast"/>
        </w:trPr>
        <w:tc>
          <w:tcPr>
            <w:tcW w:type="dxa" w:w="194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Partner density</w:t>
            </w:r>
          </w:p>
        </w:tc>
        <w:tc>
          <w:tcPr>
            <w:tcW w:type="dxa" w:w="453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More relevant checkout moments → more applications → better category data</w:t>
            </w:r>
          </w:p>
        </w:tc>
        <w:tc>
          <w:tcPr>
            <w:tcW w:type="dxa" w:w="403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Partner retention, incremental merchant conversion, concentration and subsidy-adjusted contribution</w:t>
            </w:r>
          </w:p>
        </w:tc>
      </w:tr>
      <w:tr>
        <w:trPr>
          <w:cantSplit w:val="true"/>
          <w:trHeight w:hRule="atLeast"/>
        </w:trPr>
        <w:tc>
          <w:tcPr>
            <w:tcW w:type="dxa" w:w="194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Repeat-customer data</w:t>
            </w:r>
          </w:p>
        </w:tc>
        <w:tc>
          <w:tcPr>
            <w:tcW w:type="dxa" w:w="453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Repayment history → better limits/price → higher acceptance at controlled loss</w:t>
            </w:r>
          </w:p>
        </w:tc>
        <w:tc>
          <w:tcPr>
            <w:tcW w:type="dxa" w:w="403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Out-of-time lift, fairness, repeat-customer loss and lifetime contribution</w:t>
            </w:r>
          </w:p>
        </w:tc>
      </w:tr>
      <w:tr>
        <w:trPr>
          <w:cantSplit w:val="true"/>
          <w:trHeight w:hRule="atLeast"/>
        </w:trPr>
        <w:tc>
          <w:tcPr>
            <w:tcW w:type="dxa" w:w="194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Decision speed</w:t>
            </w:r>
          </w:p>
        </w:tc>
        <w:tc>
          <w:tcPr>
            <w:tcW w:type="dxa" w:w="453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Low friction → higher conversion and partner preference</w:t>
            </w:r>
          </w:p>
        </w:tc>
        <w:tc>
          <w:tcPr>
            <w:tcW w:type="dxa" w:w="403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Fraud-adjusted conversion and false-positive rate, not response time alone</w:t>
            </w:r>
          </w:p>
        </w:tc>
      </w:tr>
      <w:tr>
        <w:trPr>
          <w:cantSplit w:val="true"/>
          <w:trHeight w:hRule="atLeast"/>
        </w:trPr>
        <w:tc>
          <w:tcPr>
            <w:tcW w:type="dxa" w:w="194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Collections learning</w:t>
            </w:r>
          </w:p>
        </w:tc>
        <w:tc>
          <w:tcPr>
            <w:tcW w:type="dxa" w:w="453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Early signals → tailored intervention → lower roll and redefault</w:t>
            </w:r>
          </w:p>
        </w:tc>
        <w:tc>
          <w:tcPr>
            <w:tcW w:type="dxa" w:w="403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Randomized treatment results and customer-outcome controls</w:t>
            </w:r>
          </w:p>
        </w:tc>
      </w:tr>
      <w:tr>
        <w:trPr>
          <w:cantSplit w:val="true"/>
          <w:trHeight w:hRule="atLeast"/>
        </w:trPr>
        <w:tc>
          <w:tcPr>
            <w:tcW w:type="dxa" w:w="194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Funding resilience</w:t>
            </w:r>
          </w:p>
        </w:tc>
        <w:tc>
          <w:tcPr>
            <w:tcW w:type="dxa" w:w="453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Stable diversified funding → more consistent risk appetite and price</w:t>
            </w:r>
          </w:p>
        </w:tc>
        <w:tc>
          <w:tcPr>
            <w:tcW w:type="dxa" w:w="403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Liquidity stress, maturity ladder, concentration and transfer-price discipline</w:t>
            </w:r>
          </w:p>
        </w:tc>
      </w:tr>
    </w:tbl>
    <w:p>
      <w:pPr>
        <w:widowControl/>
        <w:spacing w:after="0"/>
      </w:pPr>
    </w:p>
    <w:p>
      <w:pPr>
        <w:keepLines w:val="0"/>
        <w:widowControl/>
        <w:spacing w:after="100"/>
      </w:pPr>
      <w:r>
        <w:rPr>
          <w:color w:val="182026"/>
        </w:rPr>
        <w:t xml:space="preserve">Interpretation: Home Credit's partner/ecosystem model and reported digital completion create a credible distribution asset. The strategic test is whether that asset produces lower all-in acquisition cost, better data and repeat use without weakening affordability or increasing partner concentration. </w:t>
      </w:r>
      <w:r>
        <w:t xml:space="preserve"> </w:t>
      </w:r>
      <w:hyperlink r:id="rId15">
        <w:r>
          <w:rPr>
            <w:color w:val="1F5A7A"/>
            <w:b/>
            <w:sz w:val="16"/>
          </w:rPr>
          <w:t>[S02]</w:t>
        </w:r>
      </w:hyperlink>
      <w:r>
        <w:t xml:space="preserve"> </w:t>
      </w:r>
      <w:hyperlink r:id="rId20">
        <w:r>
          <w:rPr>
            <w:color w:val="1F5A7A"/>
            <w:b/>
            <w:sz w:val="16"/>
          </w:rPr>
          <w:t>[S04]</w:t>
        </w:r>
      </w:hyperlink>
    </w:p>
    <w:p>
      <w:pPr>
        <w:widowControl/>
        <w:spacing w:after="40"/>
      </w:pPr>
    </w:p>
    <w:p>
      <w:pPr>
        <w:pStyle w:val="Heading1"/>
        <w:keepNext/>
        <w:widowControl/>
      </w:pPr>
      <w:r>
        <w:rPr>
          <w:color w:val="0C7C86"/>
        </w:rPr>
        <w:t xml:space="preserve">7  </w:t>
      </w:r>
      <w:r>
        <w:rPr>
          <w:color w:val="16324F"/>
        </w:rPr>
        <w:t>Business models, economics and profit pools</w:t>
      </w:r>
    </w:p>
    <w:p>
      <w:pPr>
        <w:pStyle w:val="SectionStrap"/>
        <w:widowControl/>
      </w:pPr>
      <w:r>
        <w:t>Measure contribution after risk, funding and capital</w:t>
      </w:r>
    </w:p>
    <w:p>
      <w:pPr>
        <w:pStyle w:val="Heading2"/>
        <w:keepNext/>
        <w:widowControl/>
      </w:pPr>
      <w:r>
        <w:t>Economic equation</w:t>
      </w:r>
    </w:p>
    <w:tbl>
      <w:tblPr>
        <w:tblW w:type="auto" w:w="0"/>
        <w:jc w:val="center"/>
        <w:tblLayout w:type="fixed"/>
        <w:tblLook w:firstColumn="1" w:firstRow="1" w:lastColumn="0" w:lastRow="0" w:noHBand="0" w:noVBand="1" w:val="04A0"/>
      </w:tblPr>
      <w:tblGrid>
        <w:gridCol w:w="1800"/>
        <w:gridCol w:w="8424"/>
      </w:tblGrid>
      <w:tr>
        <w:trPr>
          <w:cantSplit w:val="true"/>
        </w:trPr>
        <w:tc>
          <w:tcPr>
            <w:tcW w:type="dxa" w:w="1800"/>
            <w:shd w:fill="16324F"/>
            <w:tcMar>
              <w:top w:w="100" w:type="dxa"/>
              <w:start w:w="120" w:type="dxa"/>
              <w:bottom w:w="100" w:type="dxa"/>
              <w:end w:w="120" w:type="dxa"/>
            </w:tcMar>
            <w:tcBorders>
              <w:top w:val="single" w:sz="4" w:color="E5E9EC"/>
              <w:left w:val="single" w:sz="4" w:color="E5E9EC"/>
              <w:bottom w:val="single" w:sz="4" w:color="E5E9EC"/>
              <w:right w:val="single" w:sz="4" w:color="E5E9EC"/>
            </w:tcBorders>
          </w:tcPr>
          <w:p>
            <w:pPr>
              <w:jc w:val="center"/>
            </w:pPr>
            <w:r>
              <w:rPr>
                <w:b/>
                <w:color w:val="FFFFFF"/>
                <w:sz w:val="16"/>
              </w:rPr>
              <w:t>UNIT ECONOMICS</w:t>
            </w:r>
          </w:p>
        </w:tc>
        <w:tc>
          <w:tcPr>
            <w:tcW w:type="dxa" w:w="8424"/>
            <w:shd w:fill="F4F8FA"/>
            <w:tcMar>
              <w:top w:w="100" w:type="dxa"/>
              <w:start w:w="120" w:type="dxa"/>
              <w:bottom w:w="100" w:type="dxa"/>
              <w:end w:w="120" w:type="dxa"/>
            </w:tcMar>
            <w:tcBorders>
              <w:top w:val="single" w:sz="4" w:color="E5E9EC"/>
              <w:left w:val="single" w:sz="4" w:color="E5E9EC"/>
              <w:bottom w:val="single" w:sz="4" w:color="E5E9EC"/>
              <w:right w:val="single" w:sz="4" w:color="E5E9EC"/>
            </w:tcBorders>
          </w:tcPr>
          <w:p>
            <w:r>
              <w:rPr>
                <w:b/>
                <w:color w:val="182026"/>
                <w:sz w:val="19"/>
              </w:rPr>
              <w:t>Risk-adjusted contribution = interest income + fees + merchant/insurance economics − cost of funds − expected credit loss − fraud − acquisition − servicing/collections − capital and regulatory costs.</w:t>
            </w:r>
          </w:p>
        </w:tc>
      </w:tr>
    </w:tbl>
    <w:p>
      <w:pPr>
        <w:widowControl/>
        <w:spacing w:after="0"/>
      </w:pPr>
    </w:p>
    <w:p>
      <w:pPr>
        <w:keepLines w:val="0"/>
        <w:widowControl/>
        <w:spacing w:after="100"/>
      </w:pPr>
      <w:r>
        <w:rPr>
          <w:color w:val="182026"/>
        </w:rPr>
        <w:t>The equation is a management framework rather than a public Home Credit disclosure. It prevents high yield or rapid originations from being mistaken for value creation.</w:t>
      </w:r>
    </w:p>
    <w:tbl>
      <w:tblPr>
        <w:tblW w:type="auto" w:w="0"/>
        <w:jc w:val="center"/>
        <w:tblLayout w:type="fixed"/>
        <w:tblLook w:firstColumn="1" w:firstRow="1" w:lastColumn="0" w:lastRow="0" w:noHBand="0" w:noVBand="1" w:val="04A0"/>
      </w:tblPr>
      <w:tblGrid>
        <w:gridCol w:w="1800"/>
        <w:gridCol w:w="2880"/>
        <w:gridCol w:w="2880"/>
        <w:gridCol w:w="2952"/>
      </w:tblGrid>
      <w:tr>
        <w:trPr>
          <w:trHeight w:hRule="atLeast"/>
          <w:tblHeader w:val="true"/>
          <w:cantSplit w:val="true"/>
        </w:trPr>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Business model</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Revenue logic</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Structural advantage</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Principal risk</w:t>
            </w:r>
          </w:p>
        </w:tc>
      </w:tr>
      <w:tr>
        <w:trPr>
          <w:cantSplit w:val="true"/>
          <w:trHeight w:hRule="atLeast"/>
        </w:trPr>
        <w:tc>
          <w:tcPr>
            <w:tcW w:type="dxa" w:w="18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POS instalment</w:t>
            </w:r>
          </w:p>
        </w:tc>
        <w:tc>
          <w:tcPr>
            <w:tcW w:type="dxa" w:w="28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Interest and/or merchant-funded economics on a specific purchase</w:t>
            </w:r>
          </w:p>
        </w:tc>
        <w:tc>
          <w:tcPr>
            <w:tcW w:type="dxa" w:w="28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High-context acquisition and category data</w:t>
            </w:r>
          </w:p>
        </w:tc>
        <w:tc>
          <w:tcPr>
            <w:tcW w:type="dxa" w:w="295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Subsidy dependence, merchant concentration, checkout adverse selection</w:t>
            </w:r>
          </w:p>
        </w:tc>
      </w:tr>
      <w:tr>
        <w:trPr>
          <w:cantSplit w:val="true"/>
          <w:trHeight w:hRule="atLeast"/>
        </w:trPr>
        <w:tc>
          <w:tcPr>
            <w:tcW w:type="dxa" w:w="180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Unsecured cash</w:t>
            </w:r>
          </w:p>
        </w:tc>
        <w:tc>
          <w:tcPr>
            <w:tcW w:type="dxa" w:w="288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Interest margin over a fixed term</w:t>
            </w:r>
          </w:p>
        </w:tc>
        <w:tc>
          <w:tcPr>
            <w:tcW w:type="dxa" w:w="288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Broad use case and simple proposition</w:t>
            </w:r>
          </w:p>
        </w:tc>
        <w:tc>
          <w:tcPr>
            <w:tcW w:type="dxa" w:w="295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Higher acquisition and loss volatility; refinancing behavior</w:t>
            </w:r>
          </w:p>
        </w:tc>
      </w:tr>
      <w:tr>
        <w:trPr>
          <w:cantSplit w:val="true"/>
          <w:trHeight w:hRule="atLeast"/>
        </w:trPr>
        <w:tc>
          <w:tcPr>
            <w:tcW w:type="dxa" w:w="18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Revolving/card</w:t>
            </w:r>
          </w:p>
        </w:tc>
        <w:tc>
          <w:tcPr>
            <w:tcW w:type="dxa" w:w="28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Interest, possibly interchange/fees, repeated utilization</w:t>
            </w:r>
          </w:p>
        </w:tc>
        <w:tc>
          <w:tcPr>
            <w:tcW w:type="dxa" w:w="28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Longer relationship and reusable limit</w:t>
            </w:r>
          </w:p>
        </w:tc>
        <w:tc>
          <w:tcPr>
            <w:tcW w:type="dxa" w:w="295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Persistent debt, line creep, fraud and uncertain duration</w:t>
            </w:r>
          </w:p>
        </w:tc>
      </w:tr>
      <w:tr>
        <w:trPr>
          <w:cantSplit w:val="true"/>
          <w:trHeight w:hRule="atLeast"/>
        </w:trPr>
        <w:tc>
          <w:tcPr>
            <w:tcW w:type="dxa" w:w="180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Embedded partnership</w:t>
            </w:r>
          </w:p>
        </w:tc>
        <w:tc>
          <w:tcPr>
            <w:tcW w:type="dxa" w:w="288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Shared economics with retailer/platform across integrated journey</w:t>
            </w:r>
          </w:p>
        </w:tc>
        <w:tc>
          <w:tcPr>
            <w:tcW w:type="dxa" w:w="288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Distribution scale and lower friction</w:t>
            </w:r>
          </w:p>
        </w:tc>
        <w:tc>
          <w:tcPr>
            <w:tcW w:type="dxa" w:w="295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Platform bargaining power, data/controller ambiguity, third-party risk</w:t>
            </w:r>
          </w:p>
        </w:tc>
      </w:tr>
      <w:tr>
        <w:trPr>
          <w:cantSplit w:val="true"/>
          <w:trHeight w:hRule="atLeast"/>
        </w:trPr>
        <w:tc>
          <w:tcPr>
            <w:tcW w:type="dxa" w:w="18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Ancillary protection</w:t>
            </w:r>
          </w:p>
        </w:tc>
        <w:tc>
          <w:tcPr>
            <w:tcW w:type="dxa" w:w="28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Commission or insurance economics linked to credit</w:t>
            </w:r>
          </w:p>
        </w:tc>
        <w:tc>
          <w:tcPr>
            <w:tcW w:type="dxa" w:w="28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Risk protection and customer reassurance when valuable</w:t>
            </w:r>
          </w:p>
        </w:tc>
        <w:tc>
          <w:tcPr>
            <w:tcW w:type="dxa" w:w="295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Mis-selling, low claims value, cancellation and conduct cost</w:t>
            </w:r>
          </w:p>
        </w:tc>
      </w:tr>
    </w:tbl>
    <w:p>
      <w:pPr>
        <w:widowControl/>
        <w:spacing w:after="0"/>
      </w:pPr>
    </w:p>
    <w:p>
      <w:pPr>
        <w:pStyle w:val="Heading2"/>
        <w:keepNext/>
        <w:widowControl/>
      </w:pPr>
      <w:r>
        <w:t>Public performance signals</w:t>
      </w:r>
    </w:p>
    <w:p>
      <w:pPr>
        <w:keepLines w:val="0"/>
        <w:widowControl/>
        <w:spacing w:after="100"/>
      </w:pPr>
      <w:r>
        <w:rPr>
          <w:color w:val="182026"/>
        </w:rPr>
        <w:t xml:space="preserve">Home Credit's Czech-Slovak disclosure shows rising originations, portfolio and clients in 2025, but it does not provide standalone net interest margin, cost of risk, cost-to-income, return on equity or cohort contribution. Growth should therefore be treated as a scale indicator, not proof of unit economics. </w:t>
      </w:r>
      <w:r>
        <w:t xml:space="preserve"> </w:t>
      </w:r>
      <w:hyperlink r:id="rId20">
        <w:r>
          <w:rPr>
            <w:color w:val="1F5A7A"/>
            <w:b/>
            <w:sz w:val="16"/>
          </w:rPr>
          <w:t>[S04]</w:t>
        </w:r>
      </w:hyperlink>
      <w:r>
        <w:t xml:space="preserve"> </w:t>
      </w:r>
      <w:hyperlink r:id="rId21">
        <w:r>
          <w:rPr>
            <w:color w:val="1F5A7A"/>
            <w:b/>
            <w:sz w:val="16"/>
          </w:rPr>
          <w:t>[S05]</w:t>
        </w:r>
      </w:hyperlink>
    </w:p>
    <w:p>
      <w:pPr>
        <w:keepLines w:val="0"/>
        <w:widowControl/>
        <w:spacing w:after="100"/>
      </w:pPr>
      <w:r>
        <w:rPr>
          <w:color w:val="182026"/>
        </w:rPr>
        <w:t xml:space="preserve">In Vietnam, Tuoi Tre reported Home Credit Vietnam H1 2026 pre-tax profit above VND 1.68tn, up 15.2%, and large performance differences among other finance companies. Home Credit Vietnam separately disclosed a 1.7% 2025 NPL ratio. Definitions and accounting bases should be reconciled before benchmarking loss performance. </w:t>
      </w:r>
      <w:r>
        <w:t xml:space="preserve"> </w:t>
      </w:r>
      <w:hyperlink r:id="rId22">
        <w:r>
          <w:rPr>
            <w:color w:val="1F5A7A"/>
            <w:b/>
            <w:sz w:val="16"/>
          </w:rPr>
          <w:t>[S09]</w:t>
        </w:r>
      </w:hyperlink>
      <w:r>
        <w:t xml:space="preserve"> </w:t>
      </w:r>
      <w:hyperlink r:id="rId23">
        <w:r>
          <w:rPr>
            <w:color w:val="1F5A7A"/>
            <w:b/>
            <w:sz w:val="16"/>
          </w:rPr>
          <w:t>[S10]</w:t>
        </w:r>
      </w:hyperlink>
    </w:p>
    <w:p>
      <w:pPr>
        <w:pStyle w:val="Heading2"/>
        <w:keepNext/>
        <w:widowControl/>
      </w:pPr>
      <w:r>
        <w:t>Management KPI spine</w:t>
      </w:r>
    </w:p>
    <w:tbl>
      <w:tblPr>
        <w:tblW w:type="auto" w:w="0"/>
        <w:jc w:val="center"/>
        <w:tblLayout w:type="fixed"/>
        <w:tblLook w:firstColumn="1" w:firstRow="1" w:lastColumn="0" w:lastRow="0" w:noHBand="0" w:noVBand="1" w:val="04A0"/>
      </w:tblPr>
      <w:tblGrid>
        <w:gridCol w:w="1440"/>
        <w:gridCol w:w="5328"/>
        <w:gridCol w:w="3744"/>
      </w:tblGrid>
      <w:tr>
        <w:trPr>
          <w:trHeight w:hRule="atLeast"/>
          <w:tblHeader w:val="true"/>
          <w:cantSplit w:val="true"/>
        </w:trPr>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Layer</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Core measures</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Why it matters</w:t>
            </w:r>
          </w:p>
        </w:tc>
      </w:tr>
      <w:tr>
        <w:trPr>
          <w:cantSplit w:val="true"/>
          <w:trHeight w:hRule="atLeast"/>
        </w:trPr>
        <w:tc>
          <w:tcPr>
            <w:tcW w:type="dxa" w:w="144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Demand</w:t>
            </w:r>
          </w:p>
        </w:tc>
        <w:tc>
          <w:tcPr>
            <w:tcW w:type="dxa" w:w="532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Eligible traffic; application starts; completion; approval; take-up</w:t>
            </w:r>
          </w:p>
        </w:tc>
        <w:tc>
          <w:tcPr>
            <w:tcW w:type="dxa" w:w="374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Separates reach from decision and customer choice</w:t>
            </w:r>
          </w:p>
        </w:tc>
      </w:tr>
      <w:tr>
        <w:trPr>
          <w:cantSplit w:val="true"/>
          <w:trHeight w:hRule="atLeast"/>
        </w:trPr>
        <w:tc>
          <w:tcPr>
            <w:tcW w:type="dxa" w:w="144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Economics</w:t>
            </w:r>
          </w:p>
        </w:tc>
        <w:tc>
          <w:tcPr>
            <w:tcW w:type="dxa" w:w="532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Booked yield; funding spread; contribution after expected loss; CAC payback; lifetime contribution</w:t>
            </w:r>
          </w:p>
        </w:tc>
        <w:tc>
          <w:tcPr>
            <w:tcW w:type="dxa" w:w="374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Links growth to economic value</w:t>
            </w:r>
          </w:p>
        </w:tc>
      </w:tr>
      <w:tr>
        <w:trPr>
          <w:cantSplit w:val="true"/>
          <w:trHeight w:hRule="atLeast"/>
        </w:trPr>
        <w:tc>
          <w:tcPr>
            <w:tcW w:type="dxa" w:w="144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Credit</w:t>
            </w:r>
          </w:p>
        </w:tc>
        <w:tc>
          <w:tcPr>
            <w:tcW w:type="dxa" w:w="532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First-payment default; MOB 1/3/6 delinquency; vintage loss; roll/cure; redefault; net charge-off</w:t>
            </w:r>
          </w:p>
        </w:tc>
        <w:tc>
          <w:tcPr>
            <w:tcW w:type="dxa" w:w="374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Shows cohort quality before lagging NPL</w:t>
            </w:r>
          </w:p>
        </w:tc>
      </w:tr>
      <w:tr>
        <w:trPr>
          <w:cantSplit w:val="true"/>
          <w:trHeight w:hRule="atLeast"/>
        </w:trPr>
        <w:tc>
          <w:tcPr>
            <w:tcW w:type="dxa" w:w="144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Customer</w:t>
            </w:r>
          </w:p>
        </w:tc>
        <w:tc>
          <w:tcPr>
            <w:tcW w:type="dxa" w:w="532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Repeat use; early payoff; payment burden; complaints; hardship; redress; comprehension</w:t>
            </w:r>
          </w:p>
        </w:tc>
        <w:tc>
          <w:tcPr>
            <w:tcW w:type="dxa" w:w="374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Tests value and vulnerability</w:t>
            </w:r>
          </w:p>
        </w:tc>
      </w:tr>
      <w:tr>
        <w:trPr>
          <w:cantSplit w:val="true"/>
          <w:trHeight w:hRule="atLeast"/>
        </w:trPr>
        <w:tc>
          <w:tcPr>
            <w:tcW w:type="dxa" w:w="144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Model</w:t>
            </w:r>
          </w:p>
        </w:tc>
        <w:tc>
          <w:tcPr>
            <w:tcW w:type="dxa" w:w="532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Discrimination; calibration; stability; override; approval parity; reason-code quality</w:t>
            </w:r>
          </w:p>
        </w:tc>
        <w:tc>
          <w:tcPr>
            <w:tcW w:type="dxa" w:w="374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Controls automated decision risk</w:t>
            </w:r>
          </w:p>
        </w:tc>
      </w:tr>
      <w:tr>
        <w:trPr>
          <w:cantSplit w:val="true"/>
          <w:trHeight w:hRule="atLeast"/>
        </w:trPr>
        <w:tc>
          <w:tcPr>
            <w:tcW w:type="dxa" w:w="144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Operations</w:t>
            </w:r>
          </w:p>
        </w:tc>
        <w:tc>
          <w:tcPr>
            <w:tcW w:type="dxa" w:w="532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Decision time; straight-through rate; fraud capture/false positive; uptime; cost to serve</w:t>
            </w:r>
          </w:p>
        </w:tc>
        <w:tc>
          <w:tcPr>
            <w:tcW w:type="dxa" w:w="374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Balances speed, risk and resilience</w:t>
            </w:r>
          </w:p>
        </w:tc>
      </w:tr>
      <w:tr>
        <w:trPr>
          <w:cantSplit w:val="true"/>
          <w:trHeight w:hRule="atLeast"/>
        </w:trPr>
        <w:tc>
          <w:tcPr>
            <w:tcW w:type="dxa" w:w="144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Funding</w:t>
            </w:r>
          </w:p>
        </w:tc>
        <w:tc>
          <w:tcPr>
            <w:tcW w:type="dxa" w:w="532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Marginal cost; liquidity buffer; maturity gap; source concentration; covenant headroom</w:t>
            </w:r>
          </w:p>
        </w:tc>
        <w:tc>
          <w:tcPr>
            <w:tcW w:type="dxa" w:w="374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Makes balance-sheet constraints visible</w:t>
            </w:r>
          </w:p>
        </w:tc>
      </w:tr>
    </w:tbl>
    <w:p>
      <w:pPr>
        <w:widowControl/>
        <w:spacing w:after="0"/>
      </w:pPr>
    </w:p>
    <w:p>
      <w:pPr>
        <w:pStyle w:val="Heading2"/>
        <w:keepNext/>
        <w:widowControl/>
      </w:pPr>
      <w:r>
        <w:t>Profit-pool hypotheses to test</w:t>
      </w:r>
    </w:p>
    <w:p>
      <w:pPr>
        <w:pStyle w:val="ListBullet"/>
        <w:widowControl/>
        <w:spacing w:after="40"/>
      </w:pPr>
      <w:r>
        <w:rPr>
          <w:color w:val="182026"/>
        </w:rPr>
        <w:t>Existing customers may produce higher contribution than first-time borrowers because underwriting data and acquisition costs improve—but repeated use may also mask debt dependence.</w:t>
      </w:r>
    </w:p>
    <w:p>
      <w:pPr>
        <w:pStyle w:val="ListBullet"/>
        <w:widowControl/>
        <w:spacing w:after="40"/>
      </w:pPr>
      <w:r>
        <w:rPr>
          <w:color w:val="182026"/>
        </w:rPr>
        <w:t>Merchant categories with verifiable assets, stable resale value or stronger intent may outperform generic cash lending after fraud and loss.</w:t>
      </w:r>
    </w:p>
    <w:p>
      <w:pPr>
        <w:pStyle w:val="ListBullet"/>
        <w:widowControl/>
        <w:spacing w:after="40"/>
      </w:pPr>
      <w:r>
        <w:rPr>
          <w:color w:val="182026"/>
        </w:rPr>
        <w:t>Revolving products may create more lifetime revenue, but value can disappear after persistent-debt interventions, dormant limits and fraud.</w:t>
      </w:r>
    </w:p>
    <w:p>
      <w:pPr>
        <w:pStyle w:val="ListBullet"/>
        <w:widowControl/>
        <w:spacing w:after="40"/>
      </w:pPr>
      <w:r>
        <w:rPr>
          <w:color w:val="182026"/>
        </w:rPr>
        <w:t>Insurance and add-ons create value only if consent, claims utility, cancellation behavior and conduct cost remain favorable.</w:t>
      </w:r>
    </w:p>
    <w:p>
      <w:pPr>
        <w:widowControl/>
        <w:spacing w:after="40"/>
      </w:pPr>
    </w:p>
    <w:p>
      <w:pPr>
        <w:pStyle w:val="Heading1"/>
        <w:keepNext/>
        <w:widowControl/>
      </w:pPr>
      <w:r>
        <w:rPr>
          <w:color w:val="0C7C86"/>
        </w:rPr>
        <w:t xml:space="preserve">8  </w:t>
      </w:r>
      <w:r>
        <w:rPr>
          <w:color w:val="16324F"/>
        </w:rPr>
        <w:t>Credit underwriting, data and decision systems</w:t>
      </w:r>
    </w:p>
    <w:p>
      <w:pPr>
        <w:pStyle w:val="SectionStrap"/>
        <w:widowControl/>
      </w:pPr>
      <w:r>
        <w:t>The objective is profitable affordability—not maximum approval</w:t>
      </w:r>
    </w:p>
    <w:p>
      <w:pPr>
        <w:keepLines w:val="0"/>
        <w:widowControl/>
        <w:spacing w:after="100"/>
      </w:pPr>
      <w:r>
        <w:rPr>
          <w:color w:val="182026"/>
        </w:rPr>
        <w:t xml:space="preserve">World Bank/CGAP notes that digital-credit ecosystems use bank, payment, phone, device and behavioral data, increasingly with AI and machine learning. These tools can improve access, scoring and fraud detection, but may also introduce bias, data misuse, opacity and operational dependence. </w:t>
      </w:r>
      <w:r>
        <w:t xml:space="preserve"> </w:t>
      </w:r>
      <w:hyperlink r:id="rId17">
        <w:r>
          <w:rPr>
            <w:color w:val="1F5A7A"/>
            <w:b/>
            <w:sz w:val="16"/>
          </w:rPr>
          <w:t>[S19]</w:t>
        </w:r>
      </w:hyperlink>
    </w:p>
    <w:p>
      <w:pPr>
        <w:keepLines w:val="0"/>
        <w:widowControl/>
        <w:spacing w:after="100"/>
      </w:pPr>
      <w:r>
        <w:rPr>
          <w:color w:val="182026"/>
        </w:rPr>
        <w:t xml:space="preserve">Home Credit says it uses predictive tools and data analytics, and its 2025 Czech-Slovak release describes AI use in probability models, customer management, servicing, legal evaluation and developer/analyst support. </w:t>
      </w:r>
      <w:r>
        <w:t xml:space="preserve"> </w:t>
      </w:r>
      <w:hyperlink r:id="rId16">
        <w:r>
          <w:rPr>
            <w:color w:val="1F5A7A"/>
            <w:b/>
            <w:sz w:val="16"/>
          </w:rPr>
          <w:t>[S03]</w:t>
        </w:r>
      </w:hyperlink>
      <w:r>
        <w:t xml:space="preserve"> </w:t>
      </w:r>
      <w:hyperlink r:id="rId20">
        <w:r>
          <w:rPr>
            <w:color w:val="1F5A7A"/>
            <w:b/>
            <w:sz w:val="16"/>
          </w:rPr>
          <w:t>[S04]</w:t>
        </w:r>
      </w:hyperlink>
    </w:p>
    <w:p>
      <w:pPr>
        <w:pStyle w:val="Heading2"/>
        <w:keepNext/>
        <w:widowControl/>
      </w:pPr>
      <w:r>
        <w:t>Decision architecture</w:t>
      </w:r>
    </w:p>
    <w:tbl>
      <w:tblPr>
        <w:tblW w:type="auto" w:w="0"/>
        <w:jc w:val="center"/>
        <w:tblLayout w:type="fixed"/>
        <w:tblLook w:firstColumn="1" w:firstRow="1" w:lastColumn="0" w:lastRow="0" w:noHBand="0" w:noVBand="1" w:val="04A0"/>
      </w:tblPr>
      <w:tblGrid>
        <w:gridCol w:w="1512"/>
        <w:gridCol w:w="3384"/>
        <w:gridCol w:w="3240"/>
        <w:gridCol w:w="2376"/>
      </w:tblGrid>
      <w:tr>
        <w:trPr>
          <w:trHeight w:hRule="atLeast"/>
          <w:tblHeader w:val="true"/>
          <w:cantSplit w:val="true"/>
        </w:trPr>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Decision</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Minimum evidence</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Model/control output</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Monitoring</w:t>
            </w:r>
          </w:p>
        </w:tc>
      </w:tr>
      <w:tr>
        <w:trPr>
          <w:cantSplit w:val="true"/>
          <w:trHeight w:hRule="atLeast"/>
        </w:trPr>
        <w:tc>
          <w:tcPr>
            <w:tcW w:type="dxa" w:w="151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Identity</w:t>
            </w:r>
          </w:p>
        </w:tc>
        <w:tc>
          <w:tcPr>
            <w:tcW w:type="dxa" w:w="338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Verified identity, device/contact integrity</w:t>
            </w:r>
          </w:p>
        </w:tc>
        <w:tc>
          <w:tcPr>
            <w:tcW w:type="dxa" w:w="324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Match confidence; fraud flags</w:t>
            </w:r>
          </w:p>
        </w:tc>
        <w:tc>
          <w:tcPr>
            <w:tcW w:type="dxa" w:w="237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False accept/reject; identity-loss rate</w:t>
            </w:r>
          </w:p>
        </w:tc>
      </w:tr>
      <w:tr>
        <w:trPr>
          <w:cantSplit w:val="true"/>
          <w:trHeight w:hRule="atLeast"/>
        </w:trPr>
        <w:tc>
          <w:tcPr>
            <w:tcW w:type="dxa" w:w="151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Eligibility</w:t>
            </w:r>
          </w:p>
        </w:tc>
        <w:tc>
          <w:tcPr>
            <w:tcW w:type="dxa" w:w="338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Age, residence, product/legal criteria</w:t>
            </w:r>
          </w:p>
        </w:tc>
        <w:tc>
          <w:tcPr>
            <w:tcW w:type="dxa" w:w="324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Pass/fail reason</w:t>
            </w:r>
          </w:p>
        </w:tc>
        <w:tc>
          <w:tcPr>
            <w:tcW w:type="dxa" w:w="237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Rule drift; exception rate</w:t>
            </w:r>
          </w:p>
        </w:tc>
      </w:tr>
      <w:tr>
        <w:trPr>
          <w:cantSplit w:val="true"/>
          <w:trHeight w:hRule="atLeast"/>
        </w:trPr>
        <w:tc>
          <w:tcPr>
            <w:tcW w:type="dxa" w:w="151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Affordability</w:t>
            </w:r>
          </w:p>
        </w:tc>
        <w:tc>
          <w:tcPr>
            <w:tcW w:type="dxa" w:w="338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Verified income, expenses and obligations appropriate to market</w:t>
            </w:r>
          </w:p>
        </w:tc>
        <w:tc>
          <w:tcPr>
            <w:tcW w:type="dxa" w:w="324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Disposable-income and payment-burden assessment</w:t>
            </w:r>
          </w:p>
        </w:tc>
        <w:tc>
          <w:tcPr>
            <w:tcW w:type="dxa" w:w="237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Overrides; post-booking stress; complaints</w:t>
            </w:r>
          </w:p>
        </w:tc>
      </w:tr>
      <w:tr>
        <w:trPr>
          <w:cantSplit w:val="true"/>
          <w:trHeight w:hRule="atLeast"/>
        </w:trPr>
        <w:tc>
          <w:tcPr>
            <w:tcW w:type="dxa" w:w="151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Credit risk</w:t>
            </w:r>
          </w:p>
        </w:tc>
        <w:tc>
          <w:tcPr>
            <w:tcW w:type="dxa" w:w="338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Bureau, internal repayment and permitted alternative data</w:t>
            </w:r>
          </w:p>
        </w:tc>
        <w:tc>
          <w:tcPr>
            <w:tcW w:type="dxa" w:w="324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Probability of default / risk grade</w:t>
            </w:r>
          </w:p>
        </w:tc>
        <w:tc>
          <w:tcPr>
            <w:tcW w:type="dxa" w:w="237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Discrimination, calibration, stability, vintage loss</w:t>
            </w:r>
          </w:p>
        </w:tc>
      </w:tr>
      <w:tr>
        <w:trPr>
          <w:cantSplit w:val="true"/>
          <w:trHeight w:hRule="atLeast"/>
        </w:trPr>
        <w:tc>
          <w:tcPr>
            <w:tcW w:type="dxa" w:w="151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Offer</w:t>
            </w:r>
          </w:p>
        </w:tc>
        <w:tc>
          <w:tcPr>
            <w:tcW w:type="dxa" w:w="338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Risk, affordability, policy, price and term constraints</w:t>
            </w:r>
          </w:p>
        </w:tc>
        <w:tc>
          <w:tcPr>
            <w:tcW w:type="dxa" w:w="324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Amount, limit, term and price</w:t>
            </w:r>
          </w:p>
        </w:tc>
        <w:tc>
          <w:tcPr>
            <w:tcW w:type="dxa" w:w="237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Take-up, adverse selection, realized margin</w:t>
            </w:r>
          </w:p>
        </w:tc>
      </w:tr>
      <w:tr>
        <w:trPr>
          <w:cantSplit w:val="true"/>
          <w:trHeight w:hRule="atLeast"/>
        </w:trPr>
        <w:tc>
          <w:tcPr>
            <w:tcW w:type="dxa" w:w="151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Human review</w:t>
            </w:r>
          </w:p>
        </w:tc>
        <w:tc>
          <w:tcPr>
            <w:tcW w:type="dxa" w:w="338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Defined triggers and intelligible reason codes</w:t>
            </w:r>
          </w:p>
        </w:tc>
        <w:tc>
          <w:tcPr>
            <w:tcW w:type="dxa" w:w="324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Confirm, adjust or decline with rationale</w:t>
            </w:r>
          </w:p>
        </w:tc>
        <w:tc>
          <w:tcPr>
            <w:tcW w:type="dxa" w:w="237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Review rate, reversal, fairness and outcome</w:t>
            </w:r>
          </w:p>
        </w:tc>
      </w:tr>
    </w:tbl>
    <w:p>
      <w:pPr>
        <w:widowControl/>
        <w:spacing w:after="0"/>
      </w:pPr>
    </w:p>
    <w:p>
      <w:pPr>
        <w:pStyle w:val="Heading2"/>
        <w:keepNext/>
        <w:widowControl/>
      </w:pPr>
      <w:r>
        <w:t>What regulation is forcing into the architecture</w:t>
      </w:r>
    </w:p>
    <w:p>
      <w:pPr>
        <w:keepLines w:val="0"/>
        <w:widowControl/>
        <w:spacing w:after="100"/>
      </w:pPr>
      <w:r>
        <w:rPr>
          <w:color w:val="182026"/>
        </w:rPr>
        <w:t xml:space="preserve">The revised EU Consumer Credit Directive requires creditworthiness assessment based on relevant and accurate information about income, expenses and other financial/economic circumstances, with appropriate verification. It prohibits using social-network information for that assessment and says credit should be made available only where the result indicates the obligations are likely to be met. </w:t>
      </w:r>
      <w:r>
        <w:t xml:space="preserve"> </w:t>
      </w:r>
      <w:hyperlink r:id="rId24">
        <w:r>
          <w:rPr>
            <w:color w:val="1F5A7A"/>
            <w:b/>
            <w:sz w:val="16"/>
          </w:rPr>
          <w:t>[S23]</w:t>
        </w:r>
      </w:hyperlink>
    </w:p>
    <w:p>
      <w:pPr>
        <w:keepLines w:val="0"/>
        <w:widowControl/>
        <w:spacing w:after="100"/>
      </w:pPr>
      <w:r>
        <w:rPr>
          <w:color w:val="182026"/>
        </w:rPr>
        <w:t xml:space="preserve">Where automated processing is used, the Directive gives consumers rights to meaningful human intervention, a comprehensible explanation, the opportunity to express their view and review of the decision. Credit-scoring and creditworthiness AI are listed as high-risk under the EU AI Act, except systems used specifically for fraud detection; the Annex III high-risk obligations are scheduled to apply from 2 December 2027 following the 2026 amendment. </w:t>
      </w:r>
      <w:r>
        <w:t xml:space="preserve"> </w:t>
      </w:r>
      <w:hyperlink r:id="rId24">
        <w:r>
          <w:rPr>
            <w:color w:val="1F5A7A"/>
            <w:b/>
            <w:sz w:val="16"/>
          </w:rPr>
          <w:t>[S23]</w:t>
        </w:r>
      </w:hyperlink>
      <w:r>
        <w:t xml:space="preserve"> </w:t>
      </w:r>
      <w:hyperlink r:id="rId25">
        <w:r>
          <w:rPr>
            <w:color w:val="1F5A7A"/>
            <w:b/>
            <w:sz w:val="16"/>
          </w:rPr>
          <w:t>[S24]</w:t>
        </w:r>
      </w:hyperlink>
      <w:r>
        <w:t xml:space="preserve"> </w:t>
      </w:r>
      <w:hyperlink r:id="rId26">
        <w:r>
          <w:rPr>
            <w:color w:val="1F5A7A"/>
            <w:b/>
            <w:sz w:val="16"/>
          </w:rPr>
          <w:t>[S25]</w:t>
        </w:r>
      </w:hyperlink>
    </w:p>
    <w:p>
      <w:pPr>
        <w:keepLines w:val="0"/>
        <w:widowControl/>
        <w:spacing w:after="100"/>
      </w:pPr>
      <w:r>
        <w:rPr>
          <w:color w:val="182026"/>
        </w:rPr>
        <w:t xml:space="preserve">The EBA's fact-finding exercise covered 125 nonbank lenders across 23 EU member states. It found recurring issues around the adequacy and verification of applicant information, credit-register use, governance and practices for revolving credit and automated assessments. </w:t>
      </w:r>
      <w:r>
        <w:t xml:space="preserve"> </w:t>
      </w:r>
      <w:hyperlink r:id="rId39">
        <w:r>
          <w:rPr>
            <w:color w:val="1F5A7A"/>
            <w:b/>
            <w:sz w:val="16"/>
          </w:rPr>
          <w:t>[S31]</w:t>
        </w:r>
      </w:hyperlink>
    </w:p>
    <w:p>
      <w:pPr>
        <w:pStyle w:val="Heading2"/>
        <w:keepNext/>
        <w:widowControl/>
      </w:pPr>
      <w:r>
        <w:t>Model-governance research questions</w:t>
      </w:r>
    </w:p>
    <w:p>
      <w:pPr>
        <w:pStyle w:val="ListBullet"/>
        <w:widowControl/>
        <w:spacing w:after="40"/>
      </w:pPr>
      <w:r>
        <w:rPr>
          <w:color w:val="182026"/>
        </w:rPr>
        <w:t>Does each production model have an accountable owner, approved purpose, data lineage, validation, monitoring thresholds and retirement plan?</w:t>
      </w:r>
    </w:p>
    <w:p>
      <w:pPr>
        <w:pStyle w:val="ListBullet"/>
        <w:widowControl/>
        <w:spacing w:after="40"/>
      </w:pPr>
      <w:r>
        <w:rPr>
          <w:color w:val="182026"/>
        </w:rPr>
        <w:t>Are affordability and credit-risk decisions distinct, or can a strong risk score override evidence of insufficient repayment capacity?</w:t>
      </w:r>
    </w:p>
    <w:p>
      <w:pPr>
        <w:pStyle w:val="ListBullet"/>
        <w:widowControl/>
        <w:spacing w:after="40"/>
      </w:pPr>
      <w:r>
        <w:rPr>
          <w:color w:val="182026"/>
        </w:rPr>
        <w:t>Can every customer decision be reconstructed from the model/rule version, inputs, transformations, outputs, overrides and notices?</w:t>
      </w:r>
    </w:p>
    <w:p>
      <w:pPr>
        <w:pStyle w:val="ListBullet"/>
        <w:widowControl/>
        <w:spacing w:after="40"/>
      </w:pPr>
      <w:r>
        <w:rPr>
          <w:color w:val="182026"/>
        </w:rPr>
        <w:t>Do alternative variables remain stable, lawful and non-discriminatory across channel, age, geography and economic stress?</w:t>
      </w:r>
    </w:p>
    <w:p>
      <w:pPr>
        <w:pStyle w:val="ListBullet"/>
        <w:widowControl/>
        <w:spacing w:after="40"/>
      </w:pPr>
      <w:r>
        <w:rPr>
          <w:color w:val="182026"/>
        </w:rPr>
        <w:t>What is the incremental value of each data source after its acquisition cost, consent friction, outage risk and privacy burden?</w:t>
      </w:r>
    </w:p>
    <w:tbl>
      <w:tblPr>
        <w:tblW w:type="auto" w:w="0"/>
        <w:jc w:val="center"/>
        <w:tblLayout w:type="fixed"/>
        <w:tblLook w:firstColumn="1" w:firstRow="1" w:lastColumn="0" w:lastRow="0" w:noHBand="0" w:noVBand="1" w:val="04A0"/>
      </w:tblPr>
      <w:tblGrid>
        <w:gridCol w:w="1800"/>
        <w:gridCol w:w="8424"/>
      </w:tblGrid>
      <w:tr>
        <w:trPr>
          <w:cantSplit w:val="true"/>
        </w:trPr>
        <w:tc>
          <w:tcPr>
            <w:tcW w:type="dxa" w:w="1800"/>
            <w:shd w:fill="0C7C86"/>
            <w:tcMar>
              <w:top w:w="100" w:type="dxa"/>
              <w:start w:w="120" w:type="dxa"/>
              <w:bottom w:w="100" w:type="dxa"/>
              <w:end w:w="120" w:type="dxa"/>
            </w:tcMar>
            <w:tcBorders>
              <w:top w:val="single" w:sz="4" w:color="E5E9EC"/>
              <w:left w:val="single" w:sz="4" w:color="E5E9EC"/>
              <w:bottom w:val="single" w:sz="4" w:color="E5E9EC"/>
              <w:right w:val="single" w:sz="4" w:color="E5E9EC"/>
            </w:tcBorders>
          </w:tcPr>
          <w:p>
            <w:pPr>
              <w:jc w:val="center"/>
            </w:pPr>
            <w:r>
              <w:rPr>
                <w:b/>
                <w:color w:val="FFFFFF"/>
                <w:sz w:val="16"/>
              </w:rPr>
              <w:t>CONTROL</w:t>
            </w:r>
          </w:p>
        </w:tc>
        <w:tc>
          <w:tcPr>
            <w:tcW w:type="dxa" w:w="8424"/>
            <w:shd w:fill="F4F8FA"/>
            <w:tcMar>
              <w:top w:w="100" w:type="dxa"/>
              <w:start w:w="120" w:type="dxa"/>
              <w:bottom w:w="100" w:type="dxa"/>
              <w:end w:w="120" w:type="dxa"/>
            </w:tcMar>
            <w:tcBorders>
              <w:top w:val="single" w:sz="4" w:color="E5E9EC"/>
              <w:left w:val="single" w:sz="4" w:color="E5E9EC"/>
              <w:bottom w:val="single" w:sz="4" w:color="E5E9EC"/>
              <w:right w:val="single" w:sz="4" w:color="E5E9EC"/>
            </w:tcBorders>
          </w:tcPr>
          <w:p>
            <w:r>
              <w:rPr>
                <w:b/>
                <w:color w:val="182026"/>
                <w:sz w:val="19"/>
              </w:rPr>
              <w:t>Create a single decision evidence pack for each model: purpose, population, feature register, lawful basis, validation, bias tests, reason-code fidelity, human-review path, incident thresholds and customer-outcome monitoring.</w:t>
            </w:r>
            <w:r>
              <w:t xml:space="preserve"> </w:t>
            </w:r>
            <w:hyperlink r:id="rId17">
              <w:r>
                <w:rPr>
                  <w:color w:val="1F5A7A"/>
                  <w:b/>
                  <w:sz w:val="16"/>
                </w:rPr>
                <w:t>[S19]</w:t>
              </w:r>
            </w:hyperlink>
            <w:r>
              <w:t xml:space="preserve"> </w:t>
            </w:r>
            <w:hyperlink r:id="rId24">
              <w:r>
                <w:rPr>
                  <w:color w:val="1F5A7A"/>
                  <w:b/>
                  <w:sz w:val="16"/>
                </w:rPr>
                <w:t>[S23]</w:t>
              </w:r>
            </w:hyperlink>
            <w:r>
              <w:t xml:space="preserve"> </w:t>
            </w:r>
            <w:hyperlink r:id="rId25">
              <w:r>
                <w:rPr>
                  <w:color w:val="1F5A7A"/>
                  <w:b/>
                  <w:sz w:val="16"/>
                </w:rPr>
                <w:t>[S24]</w:t>
              </w:r>
            </w:hyperlink>
          </w:p>
        </w:tc>
      </w:tr>
    </w:tbl>
    <w:p>
      <w:pPr>
        <w:widowControl/>
        <w:spacing w:after="0"/>
      </w:pPr>
    </w:p>
    <w:p>
      <w:pPr>
        <w:widowControl/>
        <w:spacing w:after="40"/>
      </w:pPr>
    </w:p>
    <w:p>
      <w:pPr>
        <w:pStyle w:val="Heading1"/>
        <w:keepNext/>
        <w:widowControl/>
      </w:pPr>
      <w:r>
        <w:rPr>
          <w:color w:val="0C7C86"/>
        </w:rPr>
        <w:t xml:space="preserve">9  </w:t>
      </w:r>
      <w:r>
        <w:rPr>
          <w:color w:val="16324F"/>
        </w:rPr>
        <w:t>Credit performance and collections</w:t>
      </w:r>
    </w:p>
    <w:p>
      <w:pPr>
        <w:pStyle w:val="SectionStrap"/>
        <w:widowControl/>
      </w:pPr>
      <w:r>
        <w:t>Manage the full repayment lifecycle, not a single NPL ratio</w:t>
      </w:r>
    </w:p>
    <w:p>
      <w:pPr>
        <w:keepLines w:val="0"/>
        <w:widowControl/>
        <w:spacing w:after="100"/>
      </w:pPr>
      <w:r>
        <w:rPr>
          <w:color w:val="182026"/>
        </w:rPr>
        <w:t xml:space="preserve">Home Credit Vietnam's 2025 sustainability disclosure, as summarized by VBCSD, reports a 1.7% NPL ratio. That is a useful company indicator but cannot be compared safely with competitor figures until default definitions, write-off timing, restructures, product mix and portfolio seasoning are aligned. </w:t>
      </w:r>
      <w:r>
        <w:t xml:space="preserve"> </w:t>
      </w:r>
      <w:hyperlink r:id="rId30">
        <w:r>
          <w:rPr>
            <w:color w:val="1F5A7A"/>
            <w:b/>
            <w:sz w:val="16"/>
          </w:rPr>
          <w:t>[S08]</w:t>
        </w:r>
      </w:hyperlink>
      <w:r>
        <w:t xml:space="preserve"> </w:t>
      </w:r>
      <w:hyperlink r:id="rId22">
        <w:r>
          <w:rPr>
            <w:color w:val="1F5A7A"/>
            <w:b/>
            <w:sz w:val="16"/>
          </w:rPr>
          <w:t>[S09]</w:t>
        </w:r>
      </w:hyperlink>
    </w:p>
    <w:p>
      <w:pPr>
        <w:pStyle w:val="Heading2"/>
        <w:keepNext/>
        <w:widowControl/>
      </w:pPr>
      <w:r>
        <w:t>Credit-quality dashboard</w:t>
      </w:r>
    </w:p>
    <w:tbl>
      <w:tblPr>
        <w:tblW w:type="auto" w:w="0"/>
        <w:jc w:val="center"/>
        <w:tblLayout w:type="fixed"/>
        <w:tblLook w:firstColumn="1" w:firstRow="1" w:lastColumn="0" w:lastRow="0" w:noHBand="0" w:noVBand="1" w:val="04A0"/>
      </w:tblPr>
      <w:tblGrid>
        <w:gridCol w:w="2088"/>
        <w:gridCol w:w="4536"/>
        <w:gridCol w:w="3816"/>
      </w:tblGrid>
      <w:tr>
        <w:trPr>
          <w:trHeight w:hRule="atLeast"/>
          <w:tblHeader w:val="true"/>
          <w:cantSplit w:val="true"/>
        </w:trPr>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Metric</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Diagnostic use</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Segmentation required</w:t>
            </w:r>
          </w:p>
        </w:tc>
      </w:tr>
      <w:tr>
        <w:trPr>
          <w:cantSplit w:val="true"/>
          <w:trHeight w:hRule="atLeast"/>
        </w:trPr>
        <w:tc>
          <w:tcPr>
            <w:tcW w:type="dxa" w:w="208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First-payment default</w:t>
            </w:r>
          </w:p>
        </w:tc>
        <w:tc>
          <w:tcPr>
            <w:tcW w:type="dxa" w:w="453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Fraud, onboarding, affordability or merchant-quality failures</w:t>
            </w:r>
          </w:p>
        </w:tc>
        <w:tc>
          <w:tcPr>
            <w:tcW w:type="dxa" w:w="381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Channel, merchant, device, product, new/repeat</w:t>
            </w:r>
          </w:p>
        </w:tc>
      </w:tr>
      <w:tr>
        <w:trPr>
          <w:cantSplit w:val="true"/>
          <w:trHeight w:hRule="atLeast"/>
        </w:trPr>
        <w:tc>
          <w:tcPr>
            <w:tcW w:type="dxa" w:w="208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MOB 1/3/6 delinquency</w:t>
            </w:r>
          </w:p>
        </w:tc>
        <w:tc>
          <w:tcPr>
            <w:tcW w:type="dxa" w:w="453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Early cohort trajectory before accounting loss emerges</w:t>
            </w:r>
          </w:p>
        </w:tc>
        <w:tc>
          <w:tcPr>
            <w:tcW w:type="dxa" w:w="381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Vintage, risk grade, amount, term, price</w:t>
            </w:r>
          </w:p>
        </w:tc>
      </w:tr>
      <w:tr>
        <w:trPr>
          <w:cantSplit w:val="true"/>
          <w:trHeight w:hRule="atLeast"/>
        </w:trPr>
        <w:tc>
          <w:tcPr>
            <w:tcW w:type="dxa" w:w="208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Roll and cure rates</w:t>
            </w:r>
          </w:p>
        </w:tc>
        <w:tc>
          <w:tcPr>
            <w:tcW w:type="dxa" w:w="453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Movement between delinquency states and intervention effectiveness</w:t>
            </w:r>
          </w:p>
        </w:tc>
        <w:tc>
          <w:tcPr>
            <w:tcW w:type="dxa" w:w="381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Treatment, contactability, vulnerability, payment method</w:t>
            </w:r>
          </w:p>
        </w:tc>
      </w:tr>
      <w:tr>
        <w:trPr>
          <w:cantSplit w:val="true"/>
          <w:trHeight w:hRule="atLeast"/>
        </w:trPr>
        <w:tc>
          <w:tcPr>
            <w:tcW w:type="dxa" w:w="208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Restructure and redefault</w:t>
            </w:r>
          </w:p>
        </w:tc>
        <w:tc>
          <w:tcPr>
            <w:tcW w:type="dxa" w:w="453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Whether relief is durable rather than cosmetic</w:t>
            </w:r>
          </w:p>
        </w:tc>
        <w:tc>
          <w:tcPr>
            <w:tcW w:type="dxa" w:w="381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Reason, concession type, term extension, hardship type</w:t>
            </w:r>
          </w:p>
        </w:tc>
      </w:tr>
      <w:tr>
        <w:trPr>
          <w:cantSplit w:val="true"/>
          <w:trHeight w:hRule="atLeast"/>
        </w:trPr>
        <w:tc>
          <w:tcPr>
            <w:tcW w:type="dxa" w:w="208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Gross and net loss</w:t>
            </w:r>
          </w:p>
        </w:tc>
        <w:tc>
          <w:tcPr>
            <w:tcW w:type="dxa" w:w="453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Ultimate economic loss after recoveries and costs</w:t>
            </w:r>
          </w:p>
        </w:tc>
        <w:tc>
          <w:tcPr>
            <w:tcW w:type="dxa" w:w="381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Vintage, product, channel, secured/unsecured</w:t>
            </w:r>
          </w:p>
        </w:tc>
      </w:tr>
      <w:tr>
        <w:trPr>
          <w:cantSplit w:val="true"/>
          <w:trHeight w:hRule="atLeast"/>
        </w:trPr>
        <w:tc>
          <w:tcPr>
            <w:tcW w:type="dxa" w:w="208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NPL and write-off</w:t>
            </w:r>
          </w:p>
        </w:tc>
        <w:tc>
          <w:tcPr>
            <w:tcW w:type="dxa" w:w="453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Accounting/portfolio stock view</w:t>
            </w:r>
          </w:p>
        </w:tc>
        <w:tc>
          <w:tcPr>
            <w:tcW w:type="dxa" w:w="381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Definition, days past due, forbearance and sale policy</w:t>
            </w:r>
          </w:p>
        </w:tc>
      </w:tr>
      <w:tr>
        <w:trPr>
          <w:cantSplit w:val="true"/>
          <w:trHeight w:hRule="atLeast"/>
        </w:trPr>
        <w:tc>
          <w:tcPr>
            <w:tcW w:type="dxa" w:w="208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Complaint / harm rate</w:t>
            </w:r>
          </w:p>
        </w:tc>
        <w:tc>
          <w:tcPr>
            <w:tcW w:type="dxa" w:w="453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Conduct consequences of approval and collections</w:t>
            </w:r>
          </w:p>
        </w:tc>
        <w:tc>
          <w:tcPr>
            <w:tcW w:type="dxa" w:w="381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Journey stage, agent/vendor, segment and outcome</w:t>
            </w:r>
          </w:p>
        </w:tc>
      </w:tr>
    </w:tbl>
    <w:p>
      <w:pPr>
        <w:widowControl/>
        <w:spacing w:after="0"/>
      </w:pPr>
    </w:p>
    <w:p>
      <w:pPr>
        <w:pStyle w:val="Heading2"/>
        <w:keepNext/>
        <w:widowControl/>
      </w:pPr>
      <w:r>
        <w:t>Collections operating model</w:t>
      </w:r>
    </w:p>
    <w:p>
      <w:pPr>
        <w:keepLines w:val="0"/>
        <w:widowControl/>
        <w:spacing w:after="100"/>
      </w:pPr>
      <w:r>
        <w:rPr>
          <w:color w:val="182026"/>
        </w:rPr>
        <w:t xml:space="preserve">World Bank/CGAP warns that digital collections can create repeated-contact, third-party-contact, social-shaming and privacy harms. It recommends enforceable conduct rules, ethical automation, affordability-sensitive treatment and early intervention. </w:t>
      </w:r>
      <w:r>
        <w:t xml:space="preserve"> </w:t>
      </w:r>
      <w:hyperlink r:id="rId17">
        <w:r>
          <w:rPr>
            <w:color w:val="1F5A7A"/>
            <w:b/>
            <w:sz w:val="16"/>
          </w:rPr>
          <w:t>[S19]</w:t>
        </w:r>
      </w:hyperlink>
    </w:p>
    <w:p>
      <w:pPr>
        <w:keepLines w:val="0"/>
        <w:widowControl/>
        <w:spacing w:after="100"/>
      </w:pPr>
      <w:r>
        <w:rPr>
          <w:color w:val="182026"/>
        </w:rPr>
        <w:t xml:space="preserve">The revised EU Consumer Credit Directive requires reasonable forbearance before enforcement. Possible measures include extending the term, deferring instalments, changing the interest rate, offering a payment holiday, partial repayment or forgiveness, and consolidation, depending on circumstances. </w:t>
      </w:r>
      <w:r>
        <w:t xml:space="preserve"> </w:t>
      </w:r>
      <w:hyperlink r:id="rId24">
        <w:r>
          <w:rPr>
            <w:color w:val="1F5A7A"/>
            <w:b/>
            <w:sz w:val="16"/>
          </w:rPr>
          <w:t>[S23]</w:t>
        </w:r>
      </w:hyperlink>
    </w:p>
    <w:tbl>
      <w:tblPr>
        <w:tblW w:type="auto" w:w="0"/>
        <w:jc w:val="center"/>
        <w:tblLayout w:type="fixed"/>
        <w:tblLook w:firstColumn="1" w:firstRow="1" w:lastColumn="0" w:lastRow="0" w:noHBand="0" w:noVBand="1" w:val="04A0"/>
      </w:tblPr>
      <w:tblGrid>
        <w:gridCol w:w="1728"/>
        <w:gridCol w:w="2232"/>
        <w:gridCol w:w="4176"/>
        <w:gridCol w:w="2376"/>
      </w:tblGrid>
      <w:tr>
        <w:trPr>
          <w:trHeight w:hRule="atLeast"/>
          <w:tblHeader w:val="true"/>
          <w:cantSplit w:val="true"/>
        </w:trPr>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Arrears state</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Primary objective</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Treatment principle</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Outcome test</w:t>
            </w:r>
          </w:p>
        </w:tc>
      </w:tr>
      <w:tr>
        <w:trPr>
          <w:cantSplit w:val="true"/>
          <w:trHeight w:hRule="atLeast"/>
        </w:trPr>
        <w:tc>
          <w:tcPr>
            <w:tcW w:type="dxa" w:w="172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Pre-delinquency</w:t>
            </w:r>
          </w:p>
        </w:tc>
        <w:tc>
          <w:tcPr>
            <w:tcW w:type="dxa" w:w="223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Prevent avoidable miss</w:t>
            </w:r>
          </w:p>
        </w:tc>
        <w:tc>
          <w:tcPr>
            <w:tcW w:type="dxa" w:w="417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Clear reminder, payment tools, easy self-service</w:t>
            </w:r>
          </w:p>
        </w:tc>
        <w:tc>
          <w:tcPr>
            <w:tcW w:type="dxa" w:w="237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Miss avoided without excessive contact</w:t>
            </w:r>
          </w:p>
        </w:tc>
      </w:tr>
      <w:tr>
        <w:trPr>
          <w:cantSplit w:val="true"/>
          <w:trHeight w:hRule="atLeast"/>
        </w:trPr>
        <w:tc>
          <w:tcPr>
            <w:tcW w:type="dxa" w:w="172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Early arrears</w:t>
            </w:r>
          </w:p>
        </w:tc>
        <w:tc>
          <w:tcPr>
            <w:tcW w:type="dxa" w:w="223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Diagnose and cure</w:t>
            </w:r>
          </w:p>
        </w:tc>
        <w:tc>
          <w:tcPr>
            <w:tcW w:type="dxa" w:w="417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Right-party contact, cause capture, affordable promise</w:t>
            </w:r>
          </w:p>
        </w:tc>
        <w:tc>
          <w:tcPr>
            <w:tcW w:type="dxa" w:w="237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Cure and sustained current status</w:t>
            </w:r>
          </w:p>
        </w:tc>
      </w:tr>
      <w:tr>
        <w:trPr>
          <w:cantSplit w:val="true"/>
          <w:trHeight w:hRule="atLeast"/>
        </w:trPr>
        <w:tc>
          <w:tcPr>
            <w:tcW w:type="dxa" w:w="172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Hardship</w:t>
            </w:r>
          </w:p>
        </w:tc>
        <w:tc>
          <w:tcPr>
            <w:tcW w:type="dxa" w:w="223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Restore sustainable payment</w:t>
            </w:r>
          </w:p>
        </w:tc>
        <w:tc>
          <w:tcPr>
            <w:tcW w:type="dxa" w:w="417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Income/expense refresh, tailored forbearance, vulnerability safeguards</w:t>
            </w:r>
          </w:p>
        </w:tc>
        <w:tc>
          <w:tcPr>
            <w:tcW w:type="dxa" w:w="237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Lower redefault and improved payment burden</w:t>
            </w:r>
          </w:p>
        </w:tc>
      </w:tr>
      <w:tr>
        <w:trPr>
          <w:cantSplit w:val="true"/>
          <w:trHeight w:hRule="atLeast"/>
        </w:trPr>
        <w:tc>
          <w:tcPr>
            <w:tcW w:type="dxa" w:w="172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Late arrears</w:t>
            </w:r>
          </w:p>
        </w:tc>
        <w:tc>
          <w:tcPr>
            <w:tcW w:type="dxa" w:w="223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Maximize fair recovery</w:t>
            </w:r>
          </w:p>
        </w:tc>
        <w:tc>
          <w:tcPr>
            <w:tcW w:type="dxa" w:w="417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Proportionate escalation and documented alternatives</w:t>
            </w:r>
          </w:p>
        </w:tc>
        <w:tc>
          <w:tcPr>
            <w:tcW w:type="dxa" w:w="237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Net recovery after cost and harm</w:t>
            </w:r>
          </w:p>
        </w:tc>
      </w:tr>
      <w:tr>
        <w:trPr>
          <w:cantSplit w:val="true"/>
          <w:trHeight w:hRule="atLeast"/>
        </w:trPr>
        <w:tc>
          <w:tcPr>
            <w:tcW w:type="dxa" w:w="172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Exit / sale / legal</w:t>
            </w:r>
          </w:p>
        </w:tc>
        <w:tc>
          <w:tcPr>
            <w:tcW w:type="dxa" w:w="223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Resolve residual exposure</w:t>
            </w:r>
          </w:p>
        </w:tc>
        <w:tc>
          <w:tcPr>
            <w:tcW w:type="dxa" w:w="417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Vendor oversight, data integrity, legal review</w:t>
            </w:r>
          </w:p>
        </w:tc>
        <w:tc>
          <w:tcPr>
            <w:tcW w:type="dxa" w:w="237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Recovery, complaints, reversals and vendor breaches</w:t>
            </w:r>
          </w:p>
        </w:tc>
      </w:tr>
    </w:tbl>
    <w:p>
      <w:pPr>
        <w:widowControl/>
        <w:spacing w:after="0"/>
      </w:pPr>
    </w:p>
    <w:p>
      <w:pPr>
        <w:pStyle w:val="Heading2"/>
        <w:keepNext/>
        <w:widowControl/>
      </w:pPr>
      <w:r>
        <w:t>Stress-test design</w:t>
      </w:r>
    </w:p>
    <w:p>
      <w:pPr>
        <w:keepLines w:val="0"/>
        <w:widowControl/>
        <w:spacing w:after="100"/>
      </w:pPr>
      <w:r>
        <w:rPr>
          <w:color w:val="182026"/>
        </w:rPr>
        <w:t xml:space="preserve">Run scenario overlays by country, product and vintage for unemployment/income shock, inflation in essentials, funding-cost increase, currency pressure, fraud spike, partner failure and regulatory tightening. Translate each driver through approval, utilization, roll rates, cure, loss, funding and capital—not only through a top-down NPL multiplier. BIS specifically identifies liquidity, leverage and interconnectedness as relevant nonbank vulnerabilities. </w:t>
      </w:r>
      <w:r>
        <w:t xml:space="preserve"> </w:t>
      </w:r>
      <w:hyperlink r:id="rId18">
        <w:r>
          <w:rPr>
            <w:color w:val="1F5A7A"/>
            <w:b/>
            <w:sz w:val="16"/>
          </w:rPr>
          <w:t>[S22]</w:t>
        </w:r>
      </w:hyperlink>
    </w:p>
    <w:p>
      <w:pPr>
        <w:widowControl/>
        <w:spacing w:after="40"/>
      </w:pPr>
    </w:p>
    <w:p>
      <w:pPr>
        <w:pStyle w:val="Heading1"/>
        <w:keepNext/>
        <w:widowControl/>
      </w:pPr>
      <w:r>
        <w:rPr>
          <w:color w:val="0C7C86"/>
        </w:rPr>
        <w:t xml:space="preserve">10  </w:t>
      </w:r>
      <w:r>
        <w:rPr>
          <w:color w:val="16324F"/>
        </w:rPr>
        <w:t>Regulation and supervisory direction</w:t>
      </w:r>
    </w:p>
    <w:p>
      <w:pPr>
        <w:pStyle w:val="SectionStrap"/>
        <w:widowControl/>
      </w:pPr>
      <w:r>
        <w:t>The direction is broader scope, stronger evidence and earlier customer protection</w:t>
      </w:r>
    </w:p>
    <w:tbl>
      <w:tblPr>
        <w:tblW w:type="auto" w:w="0"/>
        <w:jc w:val="center"/>
        <w:tblLayout w:type="fixed"/>
        <w:tblLook w:firstColumn="1" w:firstRow="1" w:lastColumn="0" w:lastRow="0" w:noHBand="0" w:noVBand="1" w:val="04A0"/>
      </w:tblPr>
      <w:tblGrid>
        <w:gridCol w:w="1944"/>
        <w:gridCol w:w="4824"/>
        <w:gridCol w:w="3744"/>
      </w:tblGrid>
      <w:tr>
        <w:trPr>
          <w:trHeight w:hRule="atLeast"/>
          <w:tblHeader w:val="true"/>
          <w:cantSplit w:val="true"/>
        </w:trPr>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Regime</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Current requirement / date</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Business implication</w:t>
            </w:r>
          </w:p>
        </w:tc>
      </w:tr>
      <w:tr>
        <w:trPr>
          <w:cantSplit w:val="true"/>
          <w:trHeight w:hRule="atLeast"/>
        </w:trPr>
        <w:tc>
          <w:tcPr>
            <w:tcW w:type="dxa" w:w="194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EU Consumer Credit Directive</w:t>
            </w:r>
          </w:p>
        </w:tc>
        <w:tc>
          <w:tcPr>
            <w:tcW w:type="dxa" w:w="482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Directive (EU) 2023/2225 expands scope to smaller, short and certain interest-free/BNPL credit; national measures apply from 20 November 2026.</w:t>
            </w:r>
            <w:r>
              <w:t xml:space="preserve"> </w:t>
            </w:r>
            <w:hyperlink r:id="rId24">
              <w:r>
                <w:rPr>
                  <w:color w:val="1F5A7A"/>
                  <w:b/>
                  <w:sz w:val="15"/>
                </w:rPr>
                <w:t>[S23]</w:t>
              </w:r>
            </w:hyperlink>
          </w:p>
        </w:tc>
        <w:tc>
          <w:tcPr>
            <w:tcW w:type="dxa" w:w="374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Re-paper journeys, advertisements, pre-contract information, assessment, automated-decision explanations, arrears and forbearance.</w:t>
            </w:r>
          </w:p>
        </w:tc>
      </w:tr>
      <w:tr>
        <w:trPr>
          <w:cantSplit w:val="true"/>
          <w:trHeight w:hRule="atLeast"/>
        </w:trPr>
        <w:tc>
          <w:tcPr>
            <w:tcW w:type="dxa" w:w="194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EU AI Act</w:t>
            </w:r>
          </w:p>
        </w:tc>
        <w:tc>
          <w:tcPr>
            <w:tcW w:type="dxa" w:w="482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Creditworthiness/credit-scoring AI is Annex III high-risk, except fraud-detection systems; relevant high-risk obligations are scheduled for 2 December 2027 after Regulation (EU) 2026/1744.</w:t>
            </w:r>
            <w:r>
              <w:t xml:space="preserve"> </w:t>
            </w:r>
            <w:hyperlink r:id="rId25">
              <w:r>
                <w:rPr>
                  <w:color w:val="1F5A7A"/>
                  <w:b/>
                  <w:sz w:val="15"/>
                </w:rPr>
                <w:t>[S24]</w:t>
              </w:r>
            </w:hyperlink>
            <w:r>
              <w:t xml:space="preserve"> </w:t>
            </w:r>
            <w:hyperlink r:id="rId26">
              <w:r>
                <w:rPr>
                  <w:color w:val="1F5A7A"/>
                  <w:b/>
                  <w:sz w:val="15"/>
                </w:rPr>
                <w:t>[S25]</w:t>
              </w:r>
            </w:hyperlink>
            <w:r>
              <w:t xml:space="preserve"> </w:t>
            </w:r>
            <w:hyperlink r:id="rId40">
              <w:r>
                <w:rPr>
                  <w:color w:val="1F5A7A"/>
                  <w:b/>
                  <w:sz w:val="15"/>
                </w:rPr>
                <w:t>[S26]</w:t>
              </w:r>
            </w:hyperlink>
          </w:p>
        </w:tc>
        <w:tc>
          <w:tcPr>
            <w:tcW w:type="dxa" w:w="374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Inventory models and rule systems now; classify use cases; create traceability, human oversight, data governance and robustness evidence.</w:t>
            </w:r>
          </w:p>
        </w:tc>
      </w:tr>
      <w:tr>
        <w:trPr>
          <w:cantSplit w:val="true"/>
          <w:trHeight w:hRule="atLeast"/>
        </w:trPr>
        <w:tc>
          <w:tcPr>
            <w:tcW w:type="dxa" w:w="194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DORA</w:t>
            </w:r>
          </w:p>
        </w:tc>
        <w:tc>
          <w:tcPr>
            <w:tcW w:type="dxa" w:w="482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DORA applies from 17 January 2025 and covers payment institutions among specified financial entities, with ICT risk, incident, testing and third-party duties.</w:t>
            </w:r>
            <w:r>
              <w:t xml:space="preserve"> </w:t>
            </w:r>
            <w:hyperlink r:id="rId41">
              <w:r>
                <w:rPr>
                  <w:color w:val="1F5A7A"/>
                  <w:b/>
                  <w:sz w:val="15"/>
                </w:rPr>
                <w:t>[S27]</w:t>
              </w:r>
            </w:hyperlink>
          </w:p>
        </w:tc>
        <w:tc>
          <w:tcPr>
            <w:tcW w:type="dxa" w:w="374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Map applicability to Home Credit's Czech and Slovak payment-institution activities; bind vendors to resilience and evidence requirements.</w:t>
            </w:r>
          </w:p>
        </w:tc>
      </w:tr>
      <w:tr>
        <w:trPr>
          <w:cantSplit w:val="true"/>
          <w:trHeight w:hRule="atLeast"/>
        </w:trPr>
        <w:tc>
          <w:tcPr>
            <w:tcW w:type="dxa" w:w="194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Vietnam consumer lending</w:t>
            </w:r>
          </w:p>
        </w:tc>
        <w:tc>
          <w:tcPr>
            <w:tcW w:type="dxa" w:w="482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Circular 43/2016/TT-NHNN establishes the consumer-lending framework for finance companies.</w:t>
            </w:r>
            <w:r>
              <w:t xml:space="preserve"> </w:t>
            </w:r>
            <w:hyperlink r:id="rId14">
              <w:r>
                <w:rPr>
                  <w:color w:val="1F5A7A"/>
                  <w:b/>
                  <w:sz w:val="15"/>
                </w:rPr>
                <w:t>[S18]</w:t>
              </w:r>
            </w:hyperlink>
          </w:p>
        </w:tc>
        <w:tc>
          <w:tcPr>
            <w:tcW w:type="dxa" w:w="374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Maintain product-policy mapping to local purpose, customer, amount and disclosure constraints; confirm amendments with local counsel.</w:t>
            </w:r>
          </w:p>
        </w:tc>
      </w:tr>
      <w:tr>
        <w:trPr>
          <w:cantSplit w:val="true"/>
          <w:trHeight w:hRule="atLeast"/>
        </w:trPr>
        <w:tc>
          <w:tcPr>
            <w:tcW w:type="dxa" w:w="194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Vietnam personal data</w:t>
            </w:r>
          </w:p>
        </w:tc>
        <w:tc>
          <w:tcPr>
            <w:tcW w:type="dxa" w:w="482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Law 91/2025/QH15 took effect on 1 January 2026. Legal analysis highlights broad scope, assessments, cross-border transfer duties, incident notification and financial-data safeguards.</w:t>
            </w:r>
            <w:r>
              <w:t xml:space="preserve"> </w:t>
            </w:r>
            <w:hyperlink r:id="rId36">
              <w:r>
                <w:rPr>
                  <w:color w:val="1F5A7A"/>
                  <w:b/>
                  <w:sz w:val="15"/>
                </w:rPr>
                <w:t>[S28]</w:t>
              </w:r>
            </w:hyperlink>
            <w:r>
              <w:t xml:space="preserve"> </w:t>
            </w:r>
            <w:hyperlink r:id="rId37">
              <w:r>
                <w:rPr>
                  <w:color w:val="1F5A7A"/>
                  <w:b/>
                  <w:sz w:val="15"/>
                </w:rPr>
                <w:t>[S29]</w:t>
              </w:r>
            </w:hyperlink>
          </w:p>
        </w:tc>
        <w:tc>
          <w:tcPr>
            <w:tcW w:type="dxa" w:w="374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Revalidate lawful basis, notices, vendors, transfers, retention, biometric/financial data controls and incident playbooks.</w:t>
            </w:r>
          </w:p>
        </w:tc>
      </w:tr>
    </w:tbl>
    <w:p>
      <w:pPr>
        <w:widowControl/>
        <w:spacing w:after="0"/>
      </w:pPr>
    </w:p>
    <w:p>
      <w:pPr>
        <w:pStyle w:val="Heading2"/>
        <w:keepNext/>
        <w:widowControl/>
      </w:pPr>
      <w:r>
        <w:t>EU conduct changes most relevant to the model</w:t>
      </w:r>
    </w:p>
    <w:p>
      <w:pPr>
        <w:pStyle w:val="ListBullet"/>
        <w:widowControl/>
        <w:spacing w:after="40"/>
      </w:pPr>
      <w:r>
        <w:rPr>
          <w:color w:val="182026"/>
        </w:rPr>
        <w:t>Broader product scope reduces the ability to treat small, short or interest-free credit as outside consumer-credit controls.</w:t>
      </w:r>
      <w:r>
        <w:t xml:space="preserve"> </w:t>
      </w:r>
      <w:hyperlink r:id="rId24">
        <w:r>
          <w:rPr>
            <w:color w:val="1F5A7A"/>
            <w:b/>
            <w:sz w:val="16"/>
          </w:rPr>
          <w:t>[S23]</w:t>
        </w:r>
      </w:hyperlink>
    </w:p>
    <w:p>
      <w:pPr>
        <w:pStyle w:val="ListBullet"/>
        <w:widowControl/>
        <w:spacing w:after="40"/>
      </w:pPr>
      <w:r>
        <w:rPr>
          <w:color w:val="182026"/>
        </w:rPr>
        <w:t>Creditworthiness must rely on relevant, accurate financial/economic information with appropriate verification; social-network data are excluded.</w:t>
      </w:r>
      <w:r>
        <w:t xml:space="preserve"> </w:t>
      </w:r>
      <w:hyperlink r:id="rId24">
        <w:r>
          <w:rPr>
            <w:color w:val="1F5A7A"/>
            <w:b/>
            <w:sz w:val="16"/>
          </w:rPr>
          <w:t>[S23]</w:t>
        </w:r>
      </w:hyperlink>
    </w:p>
    <w:p>
      <w:pPr>
        <w:pStyle w:val="ListBullet"/>
        <w:widowControl/>
        <w:spacing w:after="40"/>
      </w:pPr>
      <w:r>
        <w:rPr>
          <w:color w:val="182026"/>
        </w:rPr>
        <w:t>Consumers affected by automated creditworthiness processing receive human-intervention, explanation, expression and review rights.</w:t>
      </w:r>
      <w:r>
        <w:t xml:space="preserve"> </w:t>
      </w:r>
      <w:hyperlink r:id="rId24">
        <w:r>
          <w:rPr>
            <w:color w:val="1F5A7A"/>
            <w:b/>
            <w:sz w:val="16"/>
          </w:rPr>
          <w:t>[S23]</w:t>
        </w:r>
      </w:hyperlink>
    </w:p>
    <w:p>
      <w:pPr>
        <w:pStyle w:val="ListBullet"/>
        <w:widowControl/>
        <w:spacing w:after="40"/>
      </w:pPr>
      <w:r>
        <w:rPr>
          <w:color w:val="182026"/>
        </w:rPr>
        <w:t>Member States must introduce measures to prevent excessively high borrowing rates, APRs or total costs, potentially including caps.</w:t>
      </w:r>
      <w:r>
        <w:t xml:space="preserve"> </w:t>
      </w:r>
      <w:hyperlink r:id="rId24">
        <w:r>
          <w:rPr>
            <w:color w:val="1F5A7A"/>
            <w:b/>
            <w:sz w:val="16"/>
          </w:rPr>
          <w:t>[S23]</w:t>
        </w:r>
      </w:hyperlink>
    </w:p>
    <w:p>
      <w:pPr>
        <w:pStyle w:val="ListBullet"/>
        <w:widowControl/>
        <w:spacing w:after="40"/>
      </w:pPr>
      <w:r>
        <w:rPr>
          <w:color w:val="182026"/>
        </w:rPr>
        <w:t>Reasonable forbearance is expected before enforcement, connecting conduct requirements directly to collections strategy.</w:t>
      </w:r>
      <w:r>
        <w:t xml:space="preserve"> </w:t>
      </w:r>
      <w:hyperlink r:id="rId24">
        <w:r>
          <w:rPr>
            <w:color w:val="1F5A7A"/>
            <w:b/>
            <w:sz w:val="16"/>
          </w:rPr>
          <w:t>[S23]</w:t>
        </w:r>
      </w:hyperlink>
    </w:p>
    <w:p>
      <w:pPr>
        <w:pStyle w:val="Heading2"/>
        <w:keepNext/>
        <w:widowControl/>
      </w:pPr>
      <w:r>
        <w:t>Regulatory research agenda</w:t>
      </w:r>
    </w:p>
    <w:tbl>
      <w:tblPr>
        <w:tblW w:type="auto" w:w="0"/>
        <w:jc w:val="center"/>
        <w:tblLayout w:type="fixed"/>
        <w:tblLook w:firstColumn="1" w:firstRow="1" w:lastColumn="0" w:lastRow="0" w:noHBand="0" w:noVBand="1" w:val="04A0"/>
      </w:tblPr>
      <w:tblGrid>
        <w:gridCol w:w="3672"/>
        <w:gridCol w:w="3024"/>
        <w:gridCol w:w="3816"/>
      </w:tblGrid>
      <w:tr>
        <w:trPr>
          <w:trHeight w:hRule="atLeast"/>
          <w:tblHeader w:val="true"/>
          <w:cantSplit w:val="true"/>
        </w:trPr>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Question</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Evidence owner</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Required output</w:t>
            </w:r>
          </w:p>
        </w:tc>
      </w:tr>
      <w:tr>
        <w:trPr>
          <w:cantSplit w:val="true"/>
          <w:trHeight w:hRule="atLeast"/>
        </w:trPr>
        <w:tc>
          <w:tcPr>
            <w:tcW w:type="dxa" w:w="367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Which legal entity, product and channel falls under each regime?</w:t>
            </w:r>
          </w:p>
        </w:tc>
        <w:tc>
          <w:tcPr>
            <w:tcW w:type="dxa" w:w="302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Legal / compliance</w:t>
            </w:r>
          </w:p>
        </w:tc>
        <w:tc>
          <w:tcPr>
            <w:tcW w:type="dxa" w:w="381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Entity-product-obligation matrix with effective dates</w:t>
            </w:r>
          </w:p>
        </w:tc>
      </w:tr>
      <w:tr>
        <w:trPr>
          <w:cantSplit w:val="true"/>
          <w:trHeight w:hRule="atLeast"/>
        </w:trPr>
        <w:tc>
          <w:tcPr>
            <w:tcW w:type="dxa" w:w="367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Where do current data and decisions fail evidentiary standards?</w:t>
            </w:r>
          </w:p>
        </w:tc>
        <w:tc>
          <w:tcPr>
            <w:tcW w:type="dxa" w:w="302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Credit risk / model risk / privacy</w:t>
            </w:r>
          </w:p>
        </w:tc>
        <w:tc>
          <w:tcPr>
            <w:tcW w:type="dxa" w:w="381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Gap log tied to decision records and customer notices</w:t>
            </w:r>
          </w:p>
        </w:tc>
      </w:tr>
      <w:tr>
        <w:trPr>
          <w:cantSplit w:val="true"/>
          <w:trHeight w:hRule="atLeast"/>
        </w:trPr>
        <w:tc>
          <w:tcPr>
            <w:tcW w:type="dxa" w:w="367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Which economics change under price/fee constraints?</w:t>
            </w:r>
          </w:p>
        </w:tc>
        <w:tc>
          <w:tcPr>
            <w:tcW w:type="dxa" w:w="302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Finance / pricing</w:t>
            </w:r>
          </w:p>
        </w:tc>
        <w:tc>
          <w:tcPr>
            <w:tcW w:type="dxa" w:w="381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Cohort contribution under cap and disclosure scenarios</w:t>
            </w:r>
          </w:p>
        </w:tc>
      </w:tr>
      <w:tr>
        <w:trPr>
          <w:cantSplit w:val="true"/>
          <w:trHeight w:hRule="atLeast"/>
        </w:trPr>
        <w:tc>
          <w:tcPr>
            <w:tcW w:type="dxa" w:w="367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Can partners and vendors prove compliant behavior?</w:t>
            </w:r>
          </w:p>
        </w:tc>
        <w:tc>
          <w:tcPr>
            <w:tcW w:type="dxa" w:w="302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Procurement / operations / ICT risk</w:t>
            </w:r>
          </w:p>
        </w:tc>
        <w:tc>
          <w:tcPr>
            <w:tcW w:type="dxa" w:w="381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Contract, audit, incident and exit evidence</w:t>
            </w:r>
          </w:p>
        </w:tc>
      </w:tr>
      <w:tr>
        <w:trPr>
          <w:cantSplit w:val="true"/>
          <w:trHeight w:hRule="atLeast"/>
        </w:trPr>
        <w:tc>
          <w:tcPr>
            <w:tcW w:type="dxa" w:w="367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How will supervisors see customer outcomes?</w:t>
            </w:r>
          </w:p>
        </w:tc>
        <w:tc>
          <w:tcPr>
            <w:tcW w:type="dxa" w:w="302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Conduct risk / analytics</w:t>
            </w:r>
          </w:p>
        </w:tc>
        <w:tc>
          <w:tcPr>
            <w:tcW w:type="dxa" w:w="381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Outcome dashboard with thresholds and escalation</w:t>
            </w:r>
          </w:p>
        </w:tc>
      </w:tr>
    </w:tbl>
    <w:p>
      <w:pPr>
        <w:widowControl/>
        <w:spacing w:after="0"/>
      </w:pPr>
    </w:p>
    <w:p>
      <w:pPr>
        <w:widowControl/>
        <w:spacing w:after="40"/>
      </w:pPr>
    </w:p>
    <w:p>
      <w:pPr>
        <w:pStyle w:val="Heading1"/>
        <w:keepNext/>
        <w:widowControl/>
      </w:pPr>
      <w:r>
        <w:rPr>
          <w:color w:val="0C7C86"/>
        </w:rPr>
        <w:t xml:space="preserve">11  </w:t>
      </w:r>
      <w:r>
        <w:rPr>
          <w:color w:val="16324F"/>
        </w:rPr>
        <w:t>Technology, fraud and cyber resilience</w:t>
      </w:r>
    </w:p>
    <w:p>
      <w:pPr>
        <w:pStyle w:val="SectionStrap"/>
        <w:widowControl/>
      </w:pPr>
      <w:r>
        <w:t>Automation creates value only when trust survives failure</w:t>
      </w:r>
    </w:p>
    <w:p>
      <w:pPr>
        <w:keepLines w:val="0"/>
        <w:widowControl/>
        <w:spacing w:after="100"/>
      </w:pPr>
      <w:r>
        <w:rPr>
          <w:color w:val="182026"/>
        </w:rPr>
        <w:t xml:space="preserve">Home Credit's high reported digital completion in Czechia and Slovakia means operational resilience, fraud controls and vendor dependencies are directly tied to revenue and customer access. </w:t>
      </w:r>
      <w:r>
        <w:t xml:space="preserve"> </w:t>
      </w:r>
      <w:hyperlink r:id="rId20">
        <w:r>
          <w:rPr>
            <w:color w:val="1F5A7A"/>
            <w:b/>
            <w:sz w:val="16"/>
          </w:rPr>
          <w:t>[S04]</w:t>
        </w:r>
      </w:hyperlink>
    </w:p>
    <w:p>
      <w:pPr>
        <w:keepLines w:val="0"/>
        <w:widowControl/>
        <w:spacing w:after="100"/>
      </w:pPr>
      <w:r>
        <w:rPr>
          <w:color w:val="182026"/>
        </w:rPr>
        <w:t xml:space="preserve">European consumer trends identify payment fraud, indebtedness and access issues as important consumer risks, while World Bank/CGAP highlights identity fraud, data misuse, opaque automation and fragmented accountability in digital-credit ecosystems. </w:t>
      </w:r>
      <w:r>
        <w:t xml:space="preserve"> </w:t>
      </w:r>
      <w:hyperlink r:id="rId17">
        <w:r>
          <w:rPr>
            <w:color w:val="1F5A7A"/>
            <w:b/>
            <w:sz w:val="16"/>
          </w:rPr>
          <w:t>[S19]</w:t>
        </w:r>
      </w:hyperlink>
      <w:r>
        <w:t xml:space="preserve"> </w:t>
      </w:r>
      <w:hyperlink r:id="rId42">
        <w:r>
          <w:rPr>
            <w:color w:val="1F5A7A"/>
            <w:b/>
            <w:sz w:val="16"/>
          </w:rPr>
          <w:t>[S30]</w:t>
        </w:r>
      </w:hyperlink>
    </w:p>
    <w:tbl>
      <w:tblPr>
        <w:tblW w:type="auto" w:w="0"/>
        <w:jc w:val="center"/>
        <w:tblLayout w:type="fixed"/>
        <w:tblLook w:firstColumn="1" w:firstRow="1" w:lastColumn="0" w:lastRow="0" w:noHBand="0" w:noVBand="1" w:val="04A0"/>
      </w:tblPr>
      <w:tblGrid>
        <w:gridCol w:w="1944"/>
        <w:gridCol w:w="2520"/>
        <w:gridCol w:w="3168"/>
        <w:gridCol w:w="2880"/>
      </w:tblGrid>
      <w:tr>
        <w:trPr>
          <w:trHeight w:hRule="atLeast"/>
          <w:tblHeader w:val="true"/>
          <w:cantSplit w:val="true"/>
        </w:trPr>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Threat / failure</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Business effect</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Leading indicator</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Control priority</w:t>
            </w:r>
          </w:p>
        </w:tc>
      </w:tr>
      <w:tr>
        <w:trPr>
          <w:cantSplit w:val="true"/>
          <w:trHeight w:hRule="atLeast"/>
        </w:trPr>
        <w:tc>
          <w:tcPr>
            <w:tcW w:type="dxa" w:w="194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Identity or application fraud</w:t>
            </w:r>
          </w:p>
        </w:tc>
        <w:tc>
          <w:tcPr>
            <w:tcW w:type="dxa" w:w="252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Credit loss and false customer records</w:t>
            </w:r>
          </w:p>
        </w:tc>
        <w:tc>
          <w:tcPr>
            <w:tcW w:type="dxa" w:w="316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First-payment default, device/linkage anomalies, document failure</w:t>
            </w:r>
          </w:p>
        </w:tc>
        <w:tc>
          <w:tcPr>
            <w:tcW w:type="dxa" w:w="28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Layered identity, device and behavior controls; rapid feedback</w:t>
            </w:r>
          </w:p>
        </w:tc>
      </w:tr>
      <w:tr>
        <w:trPr>
          <w:cantSplit w:val="true"/>
          <w:trHeight w:hRule="atLeast"/>
        </w:trPr>
        <w:tc>
          <w:tcPr>
            <w:tcW w:type="dxa" w:w="194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Account takeover / payment fraud</w:t>
            </w:r>
          </w:p>
        </w:tc>
        <w:tc>
          <w:tcPr>
            <w:tcW w:type="dxa" w:w="252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Unauthorized use, redress cost, trust loss</w:t>
            </w:r>
          </w:p>
        </w:tc>
        <w:tc>
          <w:tcPr>
            <w:tcW w:type="dxa" w:w="316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Credential resets, new payee/device, disputed transactions</w:t>
            </w:r>
          </w:p>
        </w:tc>
        <w:tc>
          <w:tcPr>
            <w:tcW w:type="dxa" w:w="288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Strong authentication, risk-based step-up, customer alerts</w:t>
            </w:r>
          </w:p>
        </w:tc>
      </w:tr>
      <w:tr>
        <w:trPr>
          <w:cantSplit w:val="true"/>
          <w:trHeight w:hRule="atLeast"/>
        </w:trPr>
        <w:tc>
          <w:tcPr>
            <w:tcW w:type="dxa" w:w="194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Model or rule failure</w:t>
            </w:r>
          </w:p>
        </w:tc>
        <w:tc>
          <w:tcPr>
            <w:tcW w:type="dxa" w:w="252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Systematic wrong approval/decline/price</w:t>
            </w:r>
          </w:p>
        </w:tc>
        <w:tc>
          <w:tcPr>
            <w:tcW w:type="dxa" w:w="316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Score drift, override spikes, reason mismatch</w:t>
            </w:r>
          </w:p>
        </w:tc>
        <w:tc>
          <w:tcPr>
            <w:tcW w:type="dxa" w:w="28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Versioned deployment, shadow monitoring, kill switch and rollback</w:t>
            </w:r>
          </w:p>
        </w:tc>
      </w:tr>
      <w:tr>
        <w:trPr>
          <w:cantSplit w:val="true"/>
          <w:trHeight w:hRule="atLeast"/>
        </w:trPr>
        <w:tc>
          <w:tcPr>
            <w:tcW w:type="dxa" w:w="194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Third-party outage</w:t>
            </w:r>
          </w:p>
        </w:tc>
        <w:tc>
          <w:tcPr>
            <w:tcW w:type="dxa" w:w="252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Checkout/app failure and lost originations</w:t>
            </w:r>
          </w:p>
        </w:tc>
        <w:tc>
          <w:tcPr>
            <w:tcW w:type="dxa" w:w="316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Latency, error rate, dependency saturation</w:t>
            </w:r>
          </w:p>
        </w:tc>
        <w:tc>
          <w:tcPr>
            <w:tcW w:type="dxa" w:w="288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Dependency map, contractual SLOs, failover and exit plan</w:t>
            </w:r>
          </w:p>
        </w:tc>
      </w:tr>
      <w:tr>
        <w:trPr>
          <w:cantSplit w:val="true"/>
          <w:trHeight w:hRule="atLeast"/>
        </w:trPr>
        <w:tc>
          <w:tcPr>
            <w:tcW w:type="dxa" w:w="194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Data breach / misuse</w:t>
            </w:r>
          </w:p>
        </w:tc>
        <w:tc>
          <w:tcPr>
            <w:tcW w:type="dxa" w:w="252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Legal, financial and reputation harm</w:t>
            </w:r>
          </w:p>
        </w:tc>
        <w:tc>
          <w:tcPr>
            <w:tcW w:type="dxa" w:w="316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Privilege anomalies, exfiltration indicators, consent complaints</w:t>
            </w:r>
          </w:p>
        </w:tc>
        <w:tc>
          <w:tcPr>
            <w:tcW w:type="dxa" w:w="28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Least privilege, encryption, retention, DLP and incident rehearsal</w:t>
            </w:r>
          </w:p>
        </w:tc>
      </w:tr>
      <w:tr>
        <w:trPr>
          <w:cantSplit w:val="true"/>
          <w:trHeight w:hRule="atLeast"/>
        </w:trPr>
        <w:tc>
          <w:tcPr>
            <w:tcW w:type="dxa" w:w="194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Automated-collections harm</w:t>
            </w:r>
          </w:p>
        </w:tc>
        <w:tc>
          <w:tcPr>
            <w:tcW w:type="dxa" w:w="252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Complaints, redefault and sanctions</w:t>
            </w:r>
          </w:p>
        </w:tc>
        <w:tc>
          <w:tcPr>
            <w:tcW w:type="dxa" w:w="316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Contact intensity, opt-outs, vulnerable-customer outcomes</w:t>
            </w:r>
          </w:p>
        </w:tc>
        <w:tc>
          <w:tcPr>
            <w:tcW w:type="dxa" w:w="288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Treatment caps, human escalation and outcome testing</w:t>
            </w:r>
          </w:p>
        </w:tc>
      </w:tr>
    </w:tbl>
    <w:p>
      <w:pPr>
        <w:widowControl/>
        <w:spacing w:after="0"/>
      </w:pPr>
    </w:p>
    <w:p>
      <w:pPr>
        <w:pStyle w:val="Heading2"/>
        <w:keepNext/>
        <w:widowControl/>
      </w:pPr>
      <w:r>
        <w:t>DORA-aligned questions for EU payment activities</w:t>
      </w:r>
    </w:p>
    <w:p>
      <w:pPr>
        <w:keepLines w:val="0"/>
        <w:widowControl/>
        <w:spacing w:after="100"/>
      </w:pPr>
      <w:r>
        <w:rPr>
          <w:color w:val="182026"/>
        </w:rPr>
        <w:t xml:space="preserve">DORA requires covered financial entities to manage ICT risk, report major incidents, test operational resilience and oversee ICT third-party risk. Because Home Credit's Czech and Slovak disclosures identify payment-institution status, applicability should be mapped precisely by entity and activity rather than assumed for the entire group. </w:t>
      </w:r>
      <w:r>
        <w:t xml:space="preserve"> </w:t>
      </w:r>
      <w:hyperlink r:id="rId20">
        <w:r>
          <w:rPr>
            <w:color w:val="1F5A7A"/>
            <w:b/>
            <w:sz w:val="16"/>
          </w:rPr>
          <w:t>[S04]</w:t>
        </w:r>
      </w:hyperlink>
      <w:r>
        <w:t xml:space="preserve"> </w:t>
      </w:r>
      <w:hyperlink r:id="rId21">
        <w:r>
          <w:rPr>
            <w:color w:val="1F5A7A"/>
            <w:b/>
            <w:sz w:val="16"/>
          </w:rPr>
          <w:t>[S05]</w:t>
        </w:r>
      </w:hyperlink>
      <w:r>
        <w:t xml:space="preserve"> </w:t>
      </w:r>
      <w:hyperlink r:id="rId41">
        <w:r>
          <w:rPr>
            <w:color w:val="1F5A7A"/>
            <w:b/>
            <w:sz w:val="16"/>
          </w:rPr>
          <w:t>[S27]</w:t>
        </w:r>
      </w:hyperlink>
    </w:p>
    <w:p>
      <w:pPr>
        <w:pStyle w:val="ListBullet"/>
        <w:widowControl/>
        <w:spacing w:after="40"/>
      </w:pPr>
      <w:r>
        <w:rPr>
          <w:color w:val="182026"/>
        </w:rPr>
        <w:t>Can the complete digital-credit journey operate during the loss of a bureau, identity, cloud, payment or messaging provider?</w:t>
      </w:r>
    </w:p>
    <w:p>
      <w:pPr>
        <w:pStyle w:val="ListBullet"/>
        <w:widowControl/>
        <w:spacing w:after="40"/>
      </w:pPr>
      <w:r>
        <w:rPr>
          <w:color w:val="182026"/>
        </w:rPr>
        <w:t>Are critical services mapped to business impact, recovery objectives, data dependencies and customer communications?</w:t>
      </w:r>
    </w:p>
    <w:p>
      <w:pPr>
        <w:pStyle w:val="ListBullet"/>
        <w:widowControl/>
        <w:spacing w:after="40"/>
      </w:pPr>
      <w:r>
        <w:rPr>
          <w:color w:val="182026"/>
        </w:rPr>
        <w:t>Do incident thresholds connect technical events with customer harm, regulatory reporting and credit-decision integrity?</w:t>
      </w:r>
    </w:p>
    <w:p>
      <w:pPr>
        <w:pStyle w:val="ListBullet"/>
        <w:widowControl/>
        <w:spacing w:after="40"/>
      </w:pPr>
      <w:r>
        <w:rPr>
          <w:color w:val="182026"/>
        </w:rPr>
        <w:t>Can the firm exit or replace a critical provider without losing models, logs, data rights or servicing continuity?</w:t>
      </w:r>
    </w:p>
    <w:p>
      <w:pPr>
        <w:pStyle w:val="Heading2"/>
        <w:keepNext/>
        <w:widowControl/>
      </w:pPr>
      <w:r>
        <w:t>AI use-case portfolio</w:t>
      </w:r>
    </w:p>
    <w:tbl>
      <w:tblPr>
        <w:tblW w:type="auto" w:w="0"/>
        <w:jc w:val="center"/>
        <w:tblLayout w:type="fixed"/>
        <w:tblLook w:firstColumn="1" w:firstRow="1" w:lastColumn="0" w:lastRow="0" w:noHBand="0" w:noVBand="1" w:val="04A0"/>
      </w:tblPr>
      <w:tblGrid>
        <w:gridCol w:w="2088"/>
        <w:gridCol w:w="2232"/>
        <w:gridCol w:w="3456"/>
        <w:gridCol w:w="2736"/>
      </w:tblGrid>
      <w:tr>
        <w:trPr>
          <w:trHeight w:hRule="atLeast"/>
          <w:tblHeader w:val="true"/>
          <w:cantSplit w:val="true"/>
        </w:trPr>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Use case</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Value</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Risk class / concern</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Minimum safeguard</w:t>
            </w:r>
          </w:p>
        </w:tc>
      </w:tr>
      <w:tr>
        <w:trPr>
          <w:cantSplit w:val="true"/>
          <w:trHeight w:hRule="atLeast"/>
        </w:trPr>
        <w:tc>
          <w:tcPr>
            <w:tcW w:type="dxa" w:w="208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Credit score / offer</w:t>
            </w:r>
          </w:p>
        </w:tc>
        <w:tc>
          <w:tcPr>
            <w:tcW w:type="dxa" w:w="223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Risk separation and personalization</w:t>
            </w:r>
          </w:p>
        </w:tc>
        <w:tc>
          <w:tcPr>
            <w:tcW w:type="dxa" w:w="345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EU high-risk use when evaluating natural-person creditworthiness</w:t>
            </w:r>
          </w:p>
        </w:tc>
        <w:tc>
          <w:tcPr>
            <w:tcW w:type="dxa" w:w="273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Validation, data governance, human oversight, traceability and explanation</w:t>
            </w:r>
          </w:p>
        </w:tc>
      </w:tr>
      <w:tr>
        <w:trPr>
          <w:cantSplit w:val="true"/>
          <w:trHeight w:hRule="atLeast"/>
        </w:trPr>
        <w:tc>
          <w:tcPr>
            <w:tcW w:type="dxa" w:w="208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Fraud detection</w:t>
            </w:r>
          </w:p>
        </w:tc>
        <w:tc>
          <w:tcPr>
            <w:tcW w:type="dxa" w:w="223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Avoid loss and identity abuse</w:t>
            </w:r>
          </w:p>
        </w:tc>
        <w:tc>
          <w:tcPr>
            <w:tcW w:type="dxa" w:w="345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Excluded from the specific Annex III creditworthiness item, but still subject to other law/control</w:t>
            </w:r>
          </w:p>
        </w:tc>
        <w:tc>
          <w:tcPr>
            <w:tcW w:type="dxa" w:w="273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False-positive and customer-impact monitoring; security and data controls</w:t>
            </w:r>
          </w:p>
        </w:tc>
      </w:tr>
      <w:tr>
        <w:trPr>
          <w:cantSplit w:val="true"/>
          <w:trHeight w:hRule="atLeast"/>
        </w:trPr>
        <w:tc>
          <w:tcPr>
            <w:tcW w:type="dxa" w:w="208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Collections prioritization</w:t>
            </w:r>
          </w:p>
        </w:tc>
        <w:tc>
          <w:tcPr>
            <w:tcW w:type="dxa" w:w="223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Earlier and more relevant intervention</w:t>
            </w:r>
          </w:p>
        </w:tc>
        <w:tc>
          <w:tcPr>
            <w:tcW w:type="dxa" w:w="345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Vulnerability, discrimination, excessive contact</w:t>
            </w:r>
          </w:p>
        </w:tc>
        <w:tc>
          <w:tcPr>
            <w:tcW w:type="dxa" w:w="273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Treatment constraints, fairness tests and human escalation</w:t>
            </w:r>
          </w:p>
        </w:tc>
      </w:tr>
      <w:tr>
        <w:trPr>
          <w:cantSplit w:val="true"/>
          <w:trHeight w:hRule="atLeast"/>
        </w:trPr>
        <w:tc>
          <w:tcPr>
            <w:tcW w:type="dxa" w:w="208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Customer service / documents</w:t>
            </w:r>
          </w:p>
        </w:tc>
        <w:tc>
          <w:tcPr>
            <w:tcW w:type="dxa" w:w="223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Faster resolution and lower cost</w:t>
            </w:r>
          </w:p>
        </w:tc>
        <w:tc>
          <w:tcPr>
            <w:tcW w:type="dxa" w:w="345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Hallucination, disclosure error, privacy leakage</w:t>
            </w:r>
          </w:p>
        </w:tc>
        <w:tc>
          <w:tcPr>
            <w:tcW w:type="dxa" w:w="273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Approved knowledge, retrieval boundaries, audit logs and escalation</w:t>
            </w:r>
          </w:p>
        </w:tc>
      </w:tr>
      <w:tr>
        <w:trPr>
          <w:cantSplit w:val="true"/>
          <w:trHeight w:hRule="atLeast"/>
        </w:trPr>
        <w:tc>
          <w:tcPr>
            <w:tcW w:type="dxa" w:w="208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Developer/analyst assistant</w:t>
            </w:r>
          </w:p>
        </w:tc>
        <w:tc>
          <w:tcPr>
            <w:tcW w:type="dxa" w:w="223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Productivity</w:t>
            </w:r>
          </w:p>
        </w:tc>
        <w:tc>
          <w:tcPr>
            <w:tcW w:type="dxa" w:w="345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Code/data leakage and unreviewed output</w:t>
            </w:r>
          </w:p>
        </w:tc>
        <w:tc>
          <w:tcPr>
            <w:tcW w:type="dxa" w:w="273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Secure environment, review gates, test coverage and access controls</w:t>
            </w:r>
          </w:p>
        </w:tc>
      </w:tr>
    </w:tbl>
    <w:p>
      <w:pPr>
        <w:widowControl/>
        <w:spacing w:after="0"/>
      </w:pPr>
    </w:p>
    <w:p>
      <w:pPr>
        <w:widowControl/>
        <w:spacing w:after="40"/>
      </w:pPr>
    </w:p>
    <w:p>
      <w:pPr>
        <w:pStyle w:val="Heading1"/>
        <w:keepNext/>
        <w:widowControl/>
      </w:pPr>
      <w:r>
        <w:rPr>
          <w:color w:val="0C7C86"/>
        </w:rPr>
        <w:t xml:space="preserve">12  </w:t>
      </w:r>
      <w:r>
        <w:rPr>
          <w:color w:val="16324F"/>
        </w:rPr>
        <w:t>Funding, capital and macro sensitivity</w:t>
      </w:r>
    </w:p>
    <w:p>
      <w:pPr>
        <w:pStyle w:val="SectionStrap"/>
        <w:widowControl/>
      </w:pPr>
      <w:r>
        <w:t>A consumer-finance strategy is also an asset-liability strategy</w:t>
      </w:r>
    </w:p>
    <w:p>
      <w:pPr>
        <w:keepLines w:val="0"/>
        <w:widowControl/>
        <w:spacing w:after="100"/>
      </w:pPr>
      <w:r>
        <w:rPr>
          <w:color w:val="182026"/>
        </w:rPr>
        <w:t xml:space="preserve">BIS identifies credit risk, liquidity risk, maturity transformation, leverage and interconnectedness with banks and capital markets as central concerns for nonbank retail lenders. Institutional funding can become less available precisely when loan performance weakens. </w:t>
      </w:r>
      <w:r>
        <w:t xml:space="preserve"> </w:t>
      </w:r>
      <w:hyperlink r:id="rId18">
        <w:r>
          <w:rPr>
            <w:color w:val="1F5A7A"/>
            <w:b/>
            <w:sz w:val="16"/>
          </w:rPr>
          <w:t>[S22]</w:t>
        </w:r>
      </w:hyperlink>
    </w:p>
    <w:p>
      <w:pPr>
        <w:keepLines w:val="0"/>
        <w:widowControl/>
        <w:spacing w:after="100"/>
      </w:pPr>
      <w:r>
        <w:rPr>
          <w:color w:val="182026"/>
        </w:rPr>
        <w:t xml:space="preserve">In Slovakia, NBS reports that the broader financial-corporations-engaged-in-lending sector funded 87.6% of assets with borrowed/external capital in Q1 2026. Of external funding, bank loans were 66.4%, debt securities 25.6% and intragroup loans/credit 7.9%; own funds represented 12.4%. These figures cover the broader sector, not Home Credit or consumer-credit companies alone. </w:t>
      </w:r>
      <w:r>
        <w:t xml:space="preserve"> </w:t>
      </w:r>
      <w:hyperlink r:id="rId13">
        <w:r>
          <w:rPr>
            <w:color w:val="1F5A7A"/>
            <w:b/>
            <w:sz w:val="16"/>
          </w:rPr>
          <w:t>[S16]</w:t>
        </w:r>
      </w:hyperlink>
    </w:p>
    <w:p>
      <w:pPr>
        <w:pStyle w:val="Heading2"/>
        <w:keepNext/>
        <w:widowControl/>
      </w:pPr>
      <w:r>
        <w:t>Funding questions</w:t>
      </w:r>
    </w:p>
    <w:tbl>
      <w:tblPr>
        <w:tblW w:type="auto" w:w="0"/>
        <w:jc w:val="center"/>
        <w:tblLayout w:type="fixed"/>
        <w:tblLook w:firstColumn="1" w:firstRow="1" w:lastColumn="0" w:lastRow="0" w:noHBand="0" w:noVBand="1" w:val="04A0"/>
      </w:tblPr>
      <w:tblGrid>
        <w:gridCol w:w="1440"/>
        <w:gridCol w:w="5760"/>
        <w:gridCol w:w="3312"/>
      </w:tblGrid>
      <w:tr>
        <w:trPr>
          <w:trHeight w:hRule="atLeast"/>
          <w:tblHeader w:val="true"/>
          <w:cantSplit w:val="true"/>
        </w:trPr>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Dimension</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Key question</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Metric</w:t>
            </w:r>
          </w:p>
        </w:tc>
      </w:tr>
      <w:tr>
        <w:trPr>
          <w:cantSplit w:val="true"/>
          <w:trHeight w:hRule="atLeast"/>
        </w:trPr>
        <w:tc>
          <w:tcPr>
            <w:tcW w:type="dxa" w:w="144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Source</w:t>
            </w:r>
          </w:p>
        </w:tc>
        <w:tc>
          <w:tcPr>
            <w:tcW w:type="dxa" w:w="576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How dependent is each entity on banks, bonds, securitization, group funding or local facilities?</w:t>
            </w:r>
          </w:p>
        </w:tc>
        <w:tc>
          <w:tcPr>
            <w:tcW w:type="dxa" w:w="331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Largest-source share; committed/uncommitted; secured/unsecured</w:t>
            </w:r>
          </w:p>
        </w:tc>
      </w:tr>
      <w:tr>
        <w:trPr>
          <w:cantSplit w:val="true"/>
          <w:trHeight w:hRule="atLeast"/>
        </w:trPr>
        <w:tc>
          <w:tcPr>
            <w:tcW w:type="dxa" w:w="144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Tenor</w:t>
            </w:r>
          </w:p>
        </w:tc>
        <w:tc>
          <w:tcPr>
            <w:tcW w:type="dxa" w:w="576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Does liability duration match loan amortization and revolving utilization?</w:t>
            </w:r>
          </w:p>
        </w:tc>
        <w:tc>
          <w:tcPr>
            <w:tcW w:type="dxa" w:w="331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Contractual and behavioral maturity gaps</w:t>
            </w:r>
          </w:p>
        </w:tc>
      </w:tr>
      <w:tr>
        <w:trPr>
          <w:cantSplit w:val="true"/>
          <w:trHeight w:hRule="atLeast"/>
        </w:trPr>
        <w:tc>
          <w:tcPr>
            <w:tcW w:type="dxa" w:w="144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Price</w:t>
            </w:r>
          </w:p>
        </w:tc>
        <w:tc>
          <w:tcPr>
            <w:tcW w:type="dxa" w:w="576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How quickly does market funding reprice versus booked assets?</w:t>
            </w:r>
          </w:p>
        </w:tc>
        <w:tc>
          <w:tcPr>
            <w:tcW w:type="dxa" w:w="331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Marginal cost, transfer price, fixed/floating gap</w:t>
            </w:r>
          </w:p>
        </w:tc>
      </w:tr>
      <w:tr>
        <w:trPr>
          <w:cantSplit w:val="true"/>
          <w:trHeight w:hRule="atLeast"/>
        </w:trPr>
        <w:tc>
          <w:tcPr>
            <w:tcW w:type="dxa" w:w="144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Currency</w:t>
            </w:r>
          </w:p>
        </w:tc>
        <w:tc>
          <w:tcPr>
            <w:tcW w:type="dxa" w:w="576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Are assets and liabilities matched by currency?</w:t>
            </w:r>
          </w:p>
        </w:tc>
        <w:tc>
          <w:tcPr>
            <w:tcW w:type="dxa" w:w="331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Open position and hedge effectiveness</w:t>
            </w:r>
          </w:p>
        </w:tc>
      </w:tr>
      <w:tr>
        <w:trPr>
          <w:cantSplit w:val="true"/>
          <w:trHeight w:hRule="atLeast"/>
        </w:trPr>
        <w:tc>
          <w:tcPr>
            <w:tcW w:type="dxa" w:w="144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Liquidity</w:t>
            </w:r>
          </w:p>
        </w:tc>
        <w:tc>
          <w:tcPr>
            <w:tcW w:type="dxa" w:w="576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Can the firm fund drawdowns, partner settlement and collections disruption?</w:t>
            </w:r>
          </w:p>
        </w:tc>
        <w:tc>
          <w:tcPr>
            <w:tcW w:type="dxa" w:w="331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Survival horizon; stress buffer; contingent capacity</w:t>
            </w:r>
          </w:p>
        </w:tc>
      </w:tr>
      <w:tr>
        <w:trPr>
          <w:cantSplit w:val="true"/>
          <w:trHeight w:hRule="atLeast"/>
        </w:trPr>
        <w:tc>
          <w:tcPr>
            <w:tcW w:type="dxa" w:w="144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Capital</w:t>
            </w:r>
          </w:p>
        </w:tc>
        <w:tc>
          <w:tcPr>
            <w:tcW w:type="dxa" w:w="576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Which products consume scarce capital under base and stress?</w:t>
            </w:r>
          </w:p>
        </w:tc>
        <w:tc>
          <w:tcPr>
            <w:tcW w:type="dxa" w:w="331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Risk-adjusted return, loss absorption and covenant headroom</w:t>
            </w:r>
          </w:p>
        </w:tc>
      </w:tr>
    </w:tbl>
    <w:p>
      <w:pPr>
        <w:widowControl/>
        <w:spacing w:after="0"/>
      </w:pPr>
    </w:p>
    <w:p>
      <w:pPr>
        <w:pStyle w:val="Heading2"/>
        <w:keepNext/>
        <w:widowControl/>
      </w:pPr>
      <w:r>
        <w:t>Macro transmission</w:t>
      </w:r>
    </w:p>
    <w:tbl>
      <w:tblPr>
        <w:tblW w:type="auto" w:w="0"/>
        <w:jc w:val="center"/>
        <w:tblLayout w:type="fixed"/>
        <w:tblLook w:firstColumn="1" w:firstRow="1" w:lastColumn="0" w:lastRow="0" w:noHBand="0" w:noVBand="1" w:val="04A0"/>
      </w:tblPr>
      <w:tblGrid>
        <w:gridCol w:w="1728"/>
        <w:gridCol w:w="3312"/>
        <w:gridCol w:w="3528"/>
        <w:gridCol w:w="1944"/>
      </w:tblGrid>
      <w:tr>
        <w:trPr>
          <w:trHeight w:hRule="atLeast"/>
          <w:tblHeader w:val="true"/>
          <w:cantSplit w:val="true"/>
        </w:trPr>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Shock</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Credit channel</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P&amp;L / balance-sheet channel</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Early indicator</w:t>
            </w:r>
          </w:p>
        </w:tc>
      </w:tr>
      <w:tr>
        <w:trPr>
          <w:cantSplit w:val="true"/>
          <w:trHeight w:hRule="atLeast"/>
        </w:trPr>
        <w:tc>
          <w:tcPr>
            <w:tcW w:type="dxa" w:w="172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Unemployment / income loss</w:t>
            </w:r>
          </w:p>
        </w:tc>
        <w:tc>
          <w:tcPr>
            <w:tcW w:type="dxa" w:w="331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Approval tightens; delinquency and hardship rise</w:t>
            </w:r>
          </w:p>
        </w:tc>
        <w:tc>
          <w:tcPr>
            <w:tcW w:type="dxa" w:w="352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Loss and collections cost rise; growth slows</w:t>
            </w:r>
          </w:p>
        </w:tc>
        <w:tc>
          <w:tcPr>
            <w:tcW w:type="dxa" w:w="194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Payroll continuity, bureau inquiries, early arrears</w:t>
            </w:r>
          </w:p>
        </w:tc>
      </w:tr>
      <w:tr>
        <w:trPr>
          <w:cantSplit w:val="true"/>
          <w:trHeight w:hRule="atLeast"/>
        </w:trPr>
        <w:tc>
          <w:tcPr>
            <w:tcW w:type="dxa" w:w="172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Inflation in essentials</w:t>
            </w:r>
          </w:p>
        </w:tc>
        <w:tc>
          <w:tcPr>
            <w:tcW w:type="dxa" w:w="331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Payment capacity falls before headline income changes</w:t>
            </w:r>
          </w:p>
        </w:tc>
        <w:tc>
          <w:tcPr>
            <w:tcW w:type="dxa" w:w="352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Higher redefault and lower discretionary purchases</w:t>
            </w:r>
          </w:p>
        </w:tc>
        <w:tc>
          <w:tcPr>
            <w:tcW w:type="dxa" w:w="194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Payment burden, utility/food inflation, minimum-payment behavior</w:t>
            </w:r>
          </w:p>
        </w:tc>
      </w:tr>
      <w:tr>
        <w:trPr>
          <w:cantSplit w:val="true"/>
          <w:trHeight w:hRule="atLeast"/>
        </w:trPr>
        <w:tc>
          <w:tcPr>
            <w:tcW w:type="dxa" w:w="172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Higher rates / spreads</w:t>
            </w:r>
          </w:p>
        </w:tc>
        <w:tc>
          <w:tcPr>
            <w:tcW w:type="dxa" w:w="331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Price may rise and demand shift</w:t>
            </w:r>
          </w:p>
        </w:tc>
        <w:tc>
          <w:tcPr>
            <w:tcW w:type="dxa" w:w="352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Cost of funds rises; fixed-rate assets reprice slowly</w:t>
            </w:r>
          </w:p>
        </w:tc>
        <w:tc>
          <w:tcPr>
            <w:tcW w:type="dxa" w:w="194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Marginal funding cost, offer APR, take-up</w:t>
            </w:r>
          </w:p>
        </w:tc>
      </w:tr>
      <w:tr>
        <w:trPr>
          <w:cantSplit w:val="true"/>
          <w:trHeight w:hRule="atLeast"/>
        </w:trPr>
        <w:tc>
          <w:tcPr>
            <w:tcW w:type="dxa" w:w="172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Currency pressure</w:t>
            </w:r>
          </w:p>
        </w:tc>
        <w:tc>
          <w:tcPr>
            <w:tcW w:type="dxa" w:w="331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Imported-goods demand and household prices change</w:t>
            </w:r>
          </w:p>
        </w:tc>
        <w:tc>
          <w:tcPr>
            <w:tcW w:type="dxa" w:w="352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Funding/hedge cost and partner sales change</w:t>
            </w:r>
          </w:p>
        </w:tc>
        <w:tc>
          <w:tcPr>
            <w:tcW w:type="dxa" w:w="194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FX move, hedge basis, category applications</w:t>
            </w:r>
          </w:p>
        </w:tc>
      </w:tr>
      <w:tr>
        <w:trPr>
          <w:cantSplit w:val="true"/>
          <w:trHeight w:hRule="atLeast"/>
        </w:trPr>
        <w:tc>
          <w:tcPr>
            <w:tcW w:type="dxa" w:w="172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Trade / export shock</w:t>
            </w:r>
          </w:p>
        </w:tc>
        <w:tc>
          <w:tcPr>
            <w:tcW w:type="dxa" w:w="331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Employment risk rises in exposed regions</w:t>
            </w:r>
          </w:p>
        </w:tc>
        <w:tc>
          <w:tcPr>
            <w:tcW w:type="dxa" w:w="352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Loss concentration by employer/region</w:t>
            </w:r>
          </w:p>
        </w:tc>
        <w:tc>
          <w:tcPr>
            <w:tcW w:type="dxa" w:w="194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Order/export data, sector payroll, local arrears</w:t>
            </w:r>
          </w:p>
        </w:tc>
      </w:tr>
    </w:tbl>
    <w:p>
      <w:pPr>
        <w:widowControl/>
        <w:spacing w:after="0"/>
      </w:pPr>
    </w:p>
    <w:p>
      <w:pPr>
        <w:keepLines w:val="0"/>
        <w:widowControl/>
        <w:spacing w:after="100"/>
      </w:pPr>
      <w:r>
        <w:rPr>
          <w:color w:val="182026"/>
        </w:rPr>
        <w:t xml:space="preserve">The Czech 2025 macro backdrop—2.6% growth, 2.3% HICP inflation and 2.8% unemployment—was supportive, but it should be treated as a starting state rather than a through-cycle assumption. FiinResearch flags trade and tariff exposure as a transmission risk for Vietnamese employment and repayment. </w:t>
      </w:r>
      <w:r>
        <w:t xml:space="preserve"> </w:t>
      </w:r>
      <w:hyperlink r:id="rId35">
        <w:r>
          <w:rPr>
            <w:color w:val="1F5A7A"/>
            <w:b/>
            <w:sz w:val="16"/>
          </w:rPr>
          <w:t>[S12]</w:t>
        </w:r>
      </w:hyperlink>
      <w:r>
        <w:t xml:space="preserve"> </w:t>
      </w:r>
      <w:hyperlink r:id="rId33">
        <w:r>
          <w:rPr>
            <w:color w:val="1F5A7A"/>
            <w:b/>
            <w:sz w:val="16"/>
          </w:rPr>
          <w:t>[S15]</w:t>
        </w:r>
      </w:hyperlink>
    </w:p>
    <w:tbl>
      <w:tblPr>
        <w:tblW w:type="auto" w:w="0"/>
        <w:jc w:val="center"/>
        <w:tblLayout w:type="fixed"/>
        <w:tblLook w:firstColumn="1" w:firstRow="1" w:lastColumn="0" w:lastRow="0" w:noHBand="0" w:noVBand="1" w:val="04A0"/>
      </w:tblPr>
      <w:tblGrid>
        <w:gridCol w:w="1800"/>
        <w:gridCol w:w="8424"/>
      </w:tblGrid>
      <w:tr>
        <w:trPr>
          <w:cantSplit w:val="true"/>
        </w:trPr>
        <w:tc>
          <w:tcPr>
            <w:tcW w:type="dxa" w:w="1800"/>
            <w:shd w:fill="0C7C86"/>
            <w:tcMar>
              <w:top w:w="100" w:type="dxa"/>
              <w:start w:w="120" w:type="dxa"/>
              <w:bottom w:w="100" w:type="dxa"/>
              <w:end w:w="120" w:type="dxa"/>
            </w:tcMar>
            <w:tcBorders>
              <w:top w:val="single" w:sz="4" w:color="E5E9EC"/>
              <w:left w:val="single" w:sz="4" w:color="E5E9EC"/>
              <w:bottom w:val="single" w:sz="4" w:color="E5E9EC"/>
              <w:right w:val="single" w:sz="4" w:color="E5E9EC"/>
            </w:tcBorders>
          </w:tcPr>
          <w:p>
            <w:pPr>
              <w:jc w:val="center"/>
            </w:pPr>
            <w:r>
              <w:rPr>
                <w:b/>
                <w:color w:val="FFFFFF"/>
                <w:sz w:val="16"/>
              </w:rPr>
              <w:t>PRICING</w:t>
            </w:r>
          </w:p>
        </w:tc>
        <w:tc>
          <w:tcPr>
            <w:tcW w:type="dxa" w:w="8424"/>
            <w:shd w:fill="F4F8FA"/>
            <w:tcMar>
              <w:top w:w="100" w:type="dxa"/>
              <w:start w:w="120" w:type="dxa"/>
              <w:bottom w:w="100" w:type="dxa"/>
              <w:end w:w="120" w:type="dxa"/>
            </w:tcMar>
            <w:tcBorders>
              <w:top w:val="single" w:sz="4" w:color="E5E9EC"/>
              <w:left w:val="single" w:sz="4" w:color="E5E9EC"/>
              <w:bottom w:val="single" w:sz="4" w:color="E5E9EC"/>
              <w:right w:val="single" w:sz="4" w:color="E5E9EC"/>
            </w:tcBorders>
          </w:tcPr>
          <w:p>
            <w:r>
              <w:rPr>
                <w:b/>
                <w:color w:val="182026"/>
                <w:sz w:val="19"/>
              </w:rPr>
              <w:t>Set product and channel hurdle rates with marginal—not average—funding cost, expected loss by vintage, liquidity usage and capital consumption. Re-underwrite partner economics when any of those inputs moves.</w:t>
            </w:r>
            <w:r>
              <w:t xml:space="preserve"> </w:t>
            </w:r>
            <w:hyperlink r:id="rId18">
              <w:r>
                <w:rPr>
                  <w:color w:val="1F5A7A"/>
                  <w:b/>
                  <w:sz w:val="16"/>
                </w:rPr>
                <w:t>[S22]</w:t>
              </w:r>
            </w:hyperlink>
          </w:p>
        </w:tc>
      </w:tr>
    </w:tbl>
    <w:p>
      <w:pPr>
        <w:widowControl/>
        <w:spacing w:after="0"/>
      </w:pPr>
    </w:p>
    <w:p>
      <w:pPr>
        <w:widowControl/>
        <w:spacing w:after="40"/>
      </w:pPr>
    </w:p>
    <w:p>
      <w:pPr>
        <w:pStyle w:val="Heading1"/>
        <w:keepNext/>
        <w:widowControl/>
      </w:pPr>
      <w:r>
        <w:rPr>
          <w:color w:val="0C7C86"/>
        </w:rPr>
        <w:t xml:space="preserve">13  </w:t>
      </w:r>
      <w:r>
        <w:rPr>
          <w:color w:val="16324F"/>
        </w:rPr>
        <w:t>Responsible lending and social impact</w:t>
      </w:r>
    </w:p>
    <w:p>
      <w:pPr>
        <w:pStyle w:val="SectionStrap"/>
        <w:widowControl/>
      </w:pPr>
      <w:r>
        <w:t>Inclusion is credible only when customer outcomes are measurable</w:t>
      </w:r>
    </w:p>
    <w:p>
      <w:pPr>
        <w:keepLines w:val="0"/>
        <w:widowControl/>
        <w:spacing w:after="100"/>
      </w:pPr>
      <w:r>
        <w:rPr>
          <w:color w:val="182026"/>
        </w:rPr>
        <w:t xml:space="preserve">Home Credit presents responsible lending and service to underserved or thin-file customers as part of its model. In Vietnam, the company reported 236,900 underbanked customers served in 2025, 119,000 customers aged 18–20 gaining formal credit, more than 21 million engagements with its financial-literacy initiative and 4,400 direct training participants. </w:t>
      </w:r>
      <w:r>
        <w:t xml:space="preserve"> </w:t>
      </w:r>
      <w:hyperlink r:id="rId15">
        <w:r>
          <w:rPr>
            <w:color w:val="1F5A7A"/>
            <w:b/>
            <w:sz w:val="16"/>
          </w:rPr>
          <w:t>[S02]</w:t>
        </w:r>
      </w:hyperlink>
      <w:r>
        <w:t xml:space="preserve"> </w:t>
      </w:r>
      <w:hyperlink r:id="rId30">
        <w:r>
          <w:rPr>
            <w:color w:val="1F5A7A"/>
            <w:b/>
            <w:sz w:val="16"/>
          </w:rPr>
          <w:t>[S08]</w:t>
        </w:r>
      </w:hyperlink>
      <w:r>
        <w:t xml:space="preserve"> </w:t>
      </w:r>
      <w:hyperlink r:id="rId22">
        <w:r>
          <w:rPr>
            <w:color w:val="1F5A7A"/>
            <w:b/>
            <w:sz w:val="16"/>
          </w:rPr>
          <w:t>[S09]</w:t>
        </w:r>
      </w:hyperlink>
    </w:p>
    <w:p>
      <w:pPr>
        <w:keepLines w:val="0"/>
        <w:widowControl/>
        <w:spacing w:after="100"/>
      </w:pPr>
      <w:r>
        <w:rPr>
          <w:color w:val="182026"/>
        </w:rPr>
        <w:t xml:space="preserve">The same digital model can create harm through unsuitable approvals, data misuse, opaque pricing and decisions, weak redress or aggressive collections. World Bank/CGAP therefore frames responsible digital credit as a lifecycle discipline from application through repayment and redress. </w:t>
      </w:r>
      <w:r>
        <w:t xml:space="preserve"> </w:t>
      </w:r>
      <w:hyperlink r:id="rId17">
        <w:r>
          <w:rPr>
            <w:color w:val="1F5A7A"/>
            <w:b/>
            <w:sz w:val="16"/>
          </w:rPr>
          <w:t>[S19]</w:t>
        </w:r>
      </w:hyperlink>
    </w:p>
    <w:p>
      <w:pPr>
        <w:pStyle w:val="Heading2"/>
        <w:keepNext/>
        <w:widowControl/>
      </w:pPr>
      <w:r>
        <w:t>Independent Czech lens</w:t>
      </w:r>
    </w:p>
    <w:p>
      <w:pPr>
        <w:keepLines w:val="0"/>
        <w:widowControl/>
        <w:spacing w:after="100"/>
      </w:pPr>
      <w:r>
        <w:rPr>
          <w:color w:val="182026"/>
        </w:rPr>
        <w:t xml:space="preserve">People in Need's 2025 Responsible Lending Index compared roughly 60 Czech products across price, transparency, creditworthiness-assessment compliance and regulator sanctions. It added revolving products because of increasing nonbank popularity, highlighted the risk of persistent minimum-payment debt and drew on more than 4,000 contracts seen by debt advisers. The index is an NGO methodology, not a regulator ranking, but it provides a useful external outcome lens. </w:t>
      </w:r>
      <w:r>
        <w:t xml:space="preserve"> </w:t>
      </w:r>
      <w:hyperlink r:id="rId27">
        <w:r>
          <w:rPr>
            <w:color w:val="1F5A7A"/>
            <w:b/>
            <w:sz w:val="16"/>
          </w:rPr>
          <w:t>[S32]</w:t>
        </w:r>
      </w:hyperlink>
    </w:p>
    <w:p>
      <w:pPr>
        <w:pStyle w:val="Heading2"/>
        <w:keepNext/>
        <w:widowControl/>
      </w:pPr>
      <w:r>
        <w:t>Balanced responsible-finance scorecard</w:t>
      </w:r>
    </w:p>
    <w:tbl>
      <w:tblPr>
        <w:tblW w:type="auto" w:w="0"/>
        <w:jc w:val="center"/>
        <w:tblLayout w:type="fixed"/>
        <w:tblLook w:firstColumn="1" w:firstRow="1" w:lastColumn="0" w:lastRow="0" w:noHBand="0" w:noVBand="1" w:val="04A0"/>
      </w:tblPr>
      <w:tblGrid>
        <w:gridCol w:w="1584"/>
        <w:gridCol w:w="4320"/>
        <w:gridCol w:w="4608"/>
      </w:tblGrid>
      <w:tr>
        <w:trPr>
          <w:trHeight w:hRule="atLeast"/>
          <w:tblHeader w:val="true"/>
          <w:cantSplit w:val="true"/>
        </w:trPr>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Objective</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Positive indicator</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Guardrail</w:t>
            </w:r>
          </w:p>
        </w:tc>
      </w:tr>
      <w:tr>
        <w:trPr>
          <w:cantSplit w:val="true"/>
          <w:trHeight w:hRule="atLeast"/>
        </w:trPr>
        <w:tc>
          <w:tcPr>
            <w:tcW w:type="dxa" w:w="158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Access</w:t>
            </w:r>
          </w:p>
        </w:tc>
        <w:tc>
          <w:tcPr>
            <w:tcW w:type="dxa" w:w="432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First formal credit; thin-file approval; geographic reach</w:t>
            </w:r>
          </w:p>
        </w:tc>
        <w:tc>
          <w:tcPr>
            <w:tcW w:type="dxa" w:w="460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Affordability pass, early loss, repeat distress</w:t>
            </w:r>
          </w:p>
        </w:tc>
      </w:tr>
      <w:tr>
        <w:trPr>
          <w:cantSplit w:val="true"/>
          <w:trHeight w:hRule="atLeast"/>
        </w:trPr>
        <w:tc>
          <w:tcPr>
            <w:tcW w:type="dxa" w:w="158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Value</w:t>
            </w:r>
          </w:p>
        </w:tc>
        <w:tc>
          <w:tcPr>
            <w:tcW w:type="dxa" w:w="432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Useful purchase financed; price vs comparable alternatives</w:t>
            </w:r>
          </w:p>
        </w:tc>
        <w:tc>
          <w:tcPr>
            <w:tcW w:type="dxa" w:w="460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Total-cost comprehension, add-on value, cancellation</w:t>
            </w:r>
          </w:p>
        </w:tc>
      </w:tr>
      <w:tr>
        <w:trPr>
          <w:cantSplit w:val="true"/>
          <w:trHeight w:hRule="atLeast"/>
        </w:trPr>
        <w:tc>
          <w:tcPr>
            <w:tcW w:type="dxa" w:w="158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Control</w:t>
            </w:r>
          </w:p>
        </w:tc>
        <w:tc>
          <w:tcPr>
            <w:tcW w:type="dxa" w:w="432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Autopay and self-service; clear limit/payment tools</w:t>
            </w:r>
          </w:p>
        </w:tc>
        <w:tc>
          <w:tcPr>
            <w:tcW w:type="dxa" w:w="460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Persistent debt, payment burden, complaints</w:t>
            </w:r>
          </w:p>
        </w:tc>
      </w:tr>
      <w:tr>
        <w:trPr>
          <w:cantSplit w:val="true"/>
          <w:trHeight w:hRule="atLeast"/>
        </w:trPr>
        <w:tc>
          <w:tcPr>
            <w:tcW w:type="dxa" w:w="158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Resilience</w:t>
            </w:r>
          </w:p>
        </w:tc>
        <w:tc>
          <w:tcPr>
            <w:tcW w:type="dxa" w:w="432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Hardship engagement and durable cure</w:t>
            </w:r>
          </w:p>
        </w:tc>
        <w:tc>
          <w:tcPr>
            <w:tcW w:type="dxa" w:w="460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Redefault, excessive contact, legal escalation</w:t>
            </w:r>
          </w:p>
        </w:tc>
      </w:tr>
      <w:tr>
        <w:trPr>
          <w:cantSplit w:val="true"/>
          <w:trHeight w:hRule="atLeast"/>
        </w:trPr>
        <w:tc>
          <w:tcPr>
            <w:tcW w:type="dxa" w:w="158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Fairness</w:t>
            </w:r>
          </w:p>
        </w:tc>
        <w:tc>
          <w:tcPr>
            <w:tcW w:type="dxa" w:w="432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Comparable treatment and explanation quality</w:t>
            </w:r>
          </w:p>
        </w:tc>
        <w:tc>
          <w:tcPr>
            <w:tcW w:type="dxa" w:w="460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Approval/price disparity, proxy bias, override asymmetry</w:t>
            </w:r>
          </w:p>
        </w:tc>
      </w:tr>
      <w:tr>
        <w:trPr>
          <w:cantSplit w:val="true"/>
          <w:trHeight w:hRule="atLeast"/>
        </w:trPr>
        <w:tc>
          <w:tcPr>
            <w:tcW w:type="dxa" w:w="158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Capability</w:t>
            </w:r>
          </w:p>
        </w:tc>
        <w:tc>
          <w:tcPr>
            <w:tcW w:type="dxa" w:w="432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Financial-literacy reach and measured learning</w:t>
            </w:r>
          </w:p>
        </w:tc>
        <w:tc>
          <w:tcPr>
            <w:tcW w:type="dxa" w:w="460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Avoid counting impressions as demonstrated behavior change</w:t>
            </w:r>
          </w:p>
        </w:tc>
      </w:tr>
    </w:tbl>
    <w:p>
      <w:pPr>
        <w:widowControl/>
        <w:spacing w:after="0"/>
      </w:pPr>
    </w:p>
    <w:p>
      <w:pPr>
        <w:pStyle w:val="Heading2"/>
        <w:keepNext/>
        <w:widowControl/>
      </w:pPr>
      <w:r>
        <w:t>Tests for an inclusion claim</w:t>
      </w:r>
    </w:p>
    <w:p>
      <w:pPr>
        <w:pStyle w:val="ListBullet"/>
        <w:widowControl/>
        <w:spacing w:after="40"/>
      </w:pPr>
      <w:r>
        <w:rPr>
          <w:color w:val="182026"/>
        </w:rPr>
        <w:t>Additionality: would the customer otherwise lack an appropriate formal product, or did the lender simply displace a cheaper option?</w:t>
      </w:r>
    </w:p>
    <w:p>
      <w:pPr>
        <w:pStyle w:val="ListBullet"/>
        <w:widowControl/>
        <w:spacing w:after="40"/>
      </w:pPr>
      <w:r>
        <w:rPr>
          <w:color w:val="182026"/>
        </w:rPr>
        <w:t>Affordability: could the customer repay while meeting essential expenses under a plausible shock?</w:t>
      </w:r>
    </w:p>
    <w:p>
      <w:pPr>
        <w:pStyle w:val="ListBullet"/>
        <w:widowControl/>
        <w:spacing w:after="40"/>
      </w:pPr>
      <w:r>
        <w:rPr>
          <w:color w:val="182026"/>
        </w:rPr>
        <w:t>Outcome: did the credit support the intended purchase or liquidity need without repeat distress, harmful refinancing or persistent debt?</w:t>
      </w:r>
    </w:p>
    <w:p>
      <w:pPr>
        <w:pStyle w:val="ListBullet"/>
        <w:widowControl/>
        <w:spacing w:after="40"/>
      </w:pPr>
      <w:r>
        <w:rPr>
          <w:color w:val="182026"/>
        </w:rPr>
        <w:t>Fairness: do access, price, service, forbearance and redress differ unjustifiably across protected or vulnerable groups?</w:t>
      </w:r>
    </w:p>
    <w:p>
      <w:pPr>
        <w:pStyle w:val="ListBullet"/>
        <w:widowControl/>
        <w:spacing w:after="40"/>
      </w:pPr>
      <w:r>
        <w:rPr>
          <w:color w:val="182026"/>
        </w:rPr>
        <w:t>Durability: does the customer's position improve after repayment, including access to better terms, savings behavior or lower-cost finance?</w:t>
      </w:r>
    </w:p>
    <w:p>
      <w:pPr>
        <w:widowControl/>
        <w:spacing w:after="40"/>
      </w:pPr>
    </w:p>
    <w:p>
      <w:pPr>
        <w:pStyle w:val="Heading1"/>
        <w:keepNext/>
        <w:widowControl/>
      </w:pPr>
      <w:r>
        <w:rPr>
          <w:color w:val="0C7C86"/>
        </w:rPr>
        <w:t xml:space="preserve">14  </w:t>
      </w:r>
      <w:r>
        <w:rPr>
          <w:color w:val="16324F"/>
        </w:rPr>
        <w:t>Trends and scenarios</w:t>
      </w:r>
    </w:p>
    <w:p>
      <w:pPr>
        <w:pStyle w:val="SectionStrap"/>
        <w:widowControl/>
      </w:pPr>
      <w:r>
        <w:t>Plan around drivers and triggers, not a single point forecast</w:t>
      </w:r>
    </w:p>
    <w:p>
      <w:pPr>
        <w:keepLines w:val="0"/>
        <w:widowControl/>
        <w:spacing w:after="100"/>
      </w:pPr>
      <w:r>
        <w:rPr>
          <w:color w:val="182026"/>
        </w:rPr>
        <w:t xml:space="preserve">The scenarios below are strategic constructions, not forecasts. They combine observed digital adoption, product-mix change, regulation, funding vulnerability and macro transmission. </w:t>
      </w:r>
      <w:r>
        <w:t xml:space="preserve"> </w:t>
      </w:r>
      <w:hyperlink r:id="rId20">
        <w:r>
          <w:rPr>
            <w:color w:val="1F5A7A"/>
            <w:b/>
            <w:sz w:val="16"/>
          </w:rPr>
          <w:t>[S04]</w:t>
        </w:r>
      </w:hyperlink>
      <w:r>
        <w:t xml:space="preserve"> </w:t>
      </w:r>
      <w:hyperlink r:id="rId19">
        <w:r>
          <w:rPr>
            <w:color w:val="1F5A7A"/>
            <w:b/>
            <w:sz w:val="16"/>
          </w:rPr>
          <w:t>[S11]</w:t>
        </w:r>
      </w:hyperlink>
      <w:r>
        <w:t xml:space="preserve"> </w:t>
      </w:r>
      <w:hyperlink r:id="rId35">
        <w:r>
          <w:rPr>
            <w:color w:val="1F5A7A"/>
            <w:b/>
            <w:sz w:val="16"/>
          </w:rPr>
          <w:t>[S12]</w:t>
        </w:r>
      </w:hyperlink>
      <w:r>
        <w:t xml:space="preserve"> </w:t>
      </w:r>
      <w:hyperlink r:id="rId18">
        <w:r>
          <w:rPr>
            <w:color w:val="1F5A7A"/>
            <w:b/>
            <w:sz w:val="16"/>
          </w:rPr>
          <w:t>[S22]</w:t>
        </w:r>
      </w:hyperlink>
      <w:r>
        <w:t xml:space="preserve"> </w:t>
      </w:r>
      <w:hyperlink r:id="rId24">
        <w:r>
          <w:rPr>
            <w:color w:val="1F5A7A"/>
            <w:b/>
            <w:sz w:val="16"/>
          </w:rPr>
          <w:t>[S23]</w:t>
        </w:r>
      </w:hyperlink>
    </w:p>
    <w:tbl>
      <w:tblPr>
        <w:tblW w:type="auto" w:w="0"/>
        <w:jc w:val="center"/>
        <w:tblLayout w:type="fixed"/>
        <w:tblLook w:firstColumn="1" w:firstRow="1" w:lastColumn="0" w:lastRow="0" w:noHBand="0" w:noVBand="1" w:val="04A0"/>
      </w:tblPr>
      <w:tblGrid>
        <w:gridCol w:w="1800"/>
        <w:gridCol w:w="3240"/>
        <w:gridCol w:w="3240"/>
        <w:gridCol w:w="2232"/>
      </w:tblGrid>
      <w:tr>
        <w:trPr>
          <w:trHeight w:hRule="atLeast"/>
          <w:tblHeader w:val="true"/>
          <w:cantSplit w:val="true"/>
        </w:trPr>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2027–2029 scenario</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What happens</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Home Credit exposure</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Leading triggers</w:t>
            </w:r>
          </w:p>
        </w:tc>
      </w:tr>
      <w:tr>
        <w:trPr>
          <w:cantSplit w:val="true"/>
          <w:trHeight w:hRule="atLeast"/>
        </w:trPr>
        <w:tc>
          <w:tcPr>
            <w:tcW w:type="dxa" w:w="18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Base — regulated digital growth</w:t>
            </w:r>
          </w:p>
        </w:tc>
        <w:tc>
          <w:tcPr>
            <w:tcW w:type="dxa" w:w="324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Household credit grows moderately; embedded and revolving journeys expand; compliance raises fixed cost; loss remains manageable.</w:t>
            </w:r>
          </w:p>
        </w:tc>
        <w:tc>
          <w:tcPr>
            <w:tcW w:type="dxa" w:w="324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Scale benefits favor firms that reuse platforms, partners and data while documenting affordability and AI controls.</w:t>
            </w:r>
          </w:p>
        </w:tc>
        <w:tc>
          <w:tcPr>
            <w:tcW w:type="dxa" w:w="223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Real wages, app activity, approval/take-up, vintage loss, compliance readiness</w:t>
            </w:r>
          </w:p>
        </w:tc>
      </w:tr>
      <w:tr>
        <w:trPr>
          <w:cantSplit w:val="true"/>
          <w:trHeight w:hRule="atLeast"/>
        </w:trPr>
        <w:tc>
          <w:tcPr>
            <w:tcW w:type="dxa" w:w="180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Upside — trusted ecosystem expansion</w:t>
            </w:r>
          </w:p>
        </w:tc>
        <w:tc>
          <w:tcPr>
            <w:tcW w:type="dxa" w:w="324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Partner integration and repeat customers reduce friction; vehicle/EV and purposeful finance expand; better data improves risk selection.</w:t>
            </w:r>
          </w:p>
        </w:tc>
        <w:tc>
          <w:tcPr>
            <w:tcW w:type="dxa" w:w="324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Home Credit can compound partner reach and repeat data if merchant economics and customer outcomes remain strong.</w:t>
            </w:r>
          </w:p>
        </w:tc>
        <w:tc>
          <w:tcPr>
            <w:tcW w:type="dxa" w:w="223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Partner pipeline, repeat contribution, fraud-adjusted conversion, EV/merchant volumes</w:t>
            </w:r>
          </w:p>
        </w:tc>
      </w:tr>
      <w:tr>
        <w:trPr>
          <w:cantSplit w:val="true"/>
          <w:trHeight w:hRule="atLeast"/>
        </w:trPr>
        <w:tc>
          <w:tcPr>
            <w:tcW w:type="dxa" w:w="18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Downside — household and funding shock</w:t>
            </w:r>
          </w:p>
        </w:tc>
        <w:tc>
          <w:tcPr>
            <w:tcW w:type="dxa" w:w="324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Employment/income stress, fraud and funding spreads rise together; regulators scrutinize price, affordability and collections.</w:t>
            </w:r>
          </w:p>
        </w:tc>
        <w:tc>
          <w:tcPr>
            <w:tcW w:type="dxa" w:w="324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Losses and funding cost reinforce each other; aggressive growth cohorts season into stress; partner demand weakens.</w:t>
            </w:r>
          </w:p>
        </w:tc>
        <w:tc>
          <w:tcPr>
            <w:tcW w:type="dxa" w:w="223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Early arrears, bureau shopping, hardship, funding spread, liquidity, complaints</w:t>
            </w:r>
          </w:p>
        </w:tc>
      </w:tr>
      <w:tr>
        <w:trPr>
          <w:cantSplit w:val="true"/>
          <w:trHeight w:hRule="atLeast"/>
        </w:trPr>
        <w:tc>
          <w:tcPr>
            <w:tcW w:type="dxa" w:w="180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Disruption — bank/platform compression</w:t>
            </w:r>
          </w:p>
        </w:tc>
        <w:tc>
          <w:tcPr>
            <w:tcW w:type="dxa" w:w="324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Banks and large platforms embed instant credit at lower funding cost; checkout access concentrates; price transparency rises.</w:t>
            </w:r>
          </w:p>
        </w:tc>
        <w:tc>
          <w:tcPr>
            <w:tcW w:type="dxa" w:w="324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Nonbank advantage narrows unless decision quality, niche access, service and partner execution offset funding disadvantage.</w:t>
            </w:r>
          </w:p>
        </w:tc>
        <w:tc>
          <w:tcPr>
            <w:tcW w:type="dxa" w:w="223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Bank approval expansion, platform exclusivity, CAC, merchant subsidy, price gaps</w:t>
            </w:r>
          </w:p>
        </w:tc>
      </w:tr>
    </w:tbl>
    <w:p>
      <w:pPr>
        <w:widowControl/>
        <w:spacing w:after="0"/>
      </w:pPr>
    </w:p>
    <w:p>
      <w:pPr>
        <w:pStyle w:val="Heading2"/>
        <w:keepNext/>
        <w:widowControl/>
      </w:pPr>
      <w:r>
        <w:t>Trends with the strongest evidence</w:t>
      </w:r>
    </w:p>
    <w:tbl>
      <w:tblPr>
        <w:tblW w:type="auto" w:w="0"/>
        <w:jc w:val="center"/>
        <w:tblLayout w:type="fixed"/>
        <w:tblLook w:firstColumn="1" w:firstRow="1" w:lastColumn="0" w:lastRow="0" w:noHBand="0" w:noVBand="1" w:val="04A0"/>
      </w:tblPr>
      <w:tblGrid>
        <w:gridCol w:w="1944"/>
        <w:gridCol w:w="4680"/>
        <w:gridCol w:w="3888"/>
      </w:tblGrid>
      <w:tr>
        <w:trPr>
          <w:trHeight w:hRule="atLeast"/>
          <w:tblHeader w:val="true"/>
          <w:cantSplit w:val="true"/>
        </w:trPr>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Trend</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Evidence</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Strategic question</w:t>
            </w:r>
          </w:p>
        </w:tc>
      </w:tr>
      <w:tr>
        <w:trPr>
          <w:cantSplit w:val="true"/>
          <w:trHeight w:hRule="atLeast"/>
        </w:trPr>
        <w:tc>
          <w:tcPr>
            <w:tcW w:type="dxa" w:w="194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Digital completion</w:t>
            </w:r>
          </w:p>
        </w:tc>
        <w:tc>
          <w:tcPr>
            <w:tcW w:type="dxa" w:w="46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80% of Czech-Slovak instalment purchases online; &gt;60% of online transactions fully digital in 2025.</w:t>
            </w:r>
            <w:r>
              <w:t xml:space="preserve"> </w:t>
            </w:r>
            <w:hyperlink r:id="rId20">
              <w:r>
                <w:rPr>
                  <w:color w:val="1F5A7A"/>
                  <w:b/>
                  <w:sz w:val="15"/>
                </w:rPr>
                <w:t>[S04]</w:t>
              </w:r>
            </w:hyperlink>
          </w:p>
        </w:tc>
        <w:tc>
          <w:tcPr>
            <w:tcW w:type="dxa" w:w="388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Can conversion rise without higher fraud or weaker affordability?</w:t>
            </w:r>
          </w:p>
        </w:tc>
      </w:tr>
      <w:tr>
        <w:trPr>
          <w:cantSplit w:val="true"/>
          <w:trHeight w:hRule="atLeast"/>
        </w:trPr>
        <w:tc>
          <w:tcPr>
            <w:tcW w:type="dxa" w:w="194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Product remix</w:t>
            </w:r>
          </w:p>
        </w:tc>
        <w:tc>
          <w:tcPr>
            <w:tcW w:type="dxa" w:w="468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Vietnam market research points toward cards, durables, vehicles, partnerships and EV finance, away from cash-loan concentration.</w:t>
            </w:r>
            <w:r>
              <w:t xml:space="preserve"> </w:t>
            </w:r>
            <w:hyperlink r:id="rId19">
              <w:r>
                <w:rPr>
                  <w:color w:val="1F5A7A"/>
                  <w:b/>
                  <w:sz w:val="15"/>
                </w:rPr>
                <w:t>[S11]</w:t>
              </w:r>
            </w:hyperlink>
          </w:p>
        </w:tc>
        <w:tc>
          <w:tcPr>
            <w:tcW w:type="dxa" w:w="388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Which use cases create better risk-adjusted lifetime value?</w:t>
            </w:r>
          </w:p>
        </w:tc>
      </w:tr>
      <w:tr>
        <w:trPr>
          <w:cantSplit w:val="true"/>
          <w:trHeight w:hRule="atLeast"/>
        </w:trPr>
        <w:tc>
          <w:tcPr>
            <w:tcW w:type="dxa" w:w="194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Inclusion via formal mobile finance</w:t>
            </w:r>
          </w:p>
        </w:tc>
        <w:tc>
          <w:tcPr>
            <w:tcW w:type="dxa" w:w="46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1.3bn adults remained unbanked globally in 2024; mobile ownership was 86%.</w:t>
            </w:r>
            <w:r>
              <w:t xml:space="preserve"> </w:t>
            </w:r>
            <w:hyperlink r:id="rId31">
              <w:r>
                <w:rPr>
                  <w:color w:val="1F5A7A"/>
                  <w:b/>
                  <w:sz w:val="15"/>
                </w:rPr>
                <w:t>[S20]</w:t>
              </w:r>
            </w:hyperlink>
            <w:r>
              <w:t xml:space="preserve"> </w:t>
            </w:r>
            <w:hyperlink r:id="rId32">
              <w:r>
                <w:rPr>
                  <w:color w:val="1F5A7A"/>
                  <w:b/>
                  <w:sz w:val="15"/>
                </w:rPr>
                <w:t>[S21]</w:t>
              </w:r>
            </w:hyperlink>
          </w:p>
        </w:tc>
        <w:tc>
          <w:tcPr>
            <w:tcW w:type="dxa" w:w="388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Which access gap is genuine in each local market?</w:t>
            </w:r>
          </w:p>
        </w:tc>
      </w:tr>
      <w:tr>
        <w:trPr>
          <w:cantSplit w:val="true"/>
          <w:trHeight w:hRule="atLeast"/>
        </w:trPr>
        <w:tc>
          <w:tcPr>
            <w:tcW w:type="dxa" w:w="194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Stronger conduct and AI controls</w:t>
            </w:r>
          </w:p>
        </w:tc>
        <w:tc>
          <w:tcPr>
            <w:tcW w:type="dxa" w:w="468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EU CCD measures apply from November 2026; high-risk AI rules for credit scoring are scheduled for December 2027.</w:t>
            </w:r>
            <w:r>
              <w:t xml:space="preserve"> </w:t>
            </w:r>
            <w:hyperlink r:id="rId24">
              <w:r>
                <w:rPr>
                  <w:color w:val="1F5A7A"/>
                  <w:b/>
                  <w:sz w:val="15"/>
                </w:rPr>
                <w:t>[S23]</w:t>
              </w:r>
            </w:hyperlink>
            <w:r>
              <w:t xml:space="preserve"> </w:t>
            </w:r>
            <w:hyperlink r:id="rId25">
              <w:r>
                <w:rPr>
                  <w:color w:val="1F5A7A"/>
                  <w:b/>
                  <w:sz w:val="15"/>
                </w:rPr>
                <w:t>[S24]</w:t>
              </w:r>
            </w:hyperlink>
            <w:r>
              <w:t xml:space="preserve"> </w:t>
            </w:r>
            <w:hyperlink r:id="rId26">
              <w:r>
                <w:rPr>
                  <w:color w:val="1F5A7A"/>
                  <w:b/>
                  <w:sz w:val="15"/>
                </w:rPr>
                <w:t>[S25]</w:t>
              </w:r>
            </w:hyperlink>
          </w:p>
        </w:tc>
        <w:tc>
          <w:tcPr>
            <w:tcW w:type="dxa" w:w="388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Can compliance evidence become a speed and trust advantage?</w:t>
            </w:r>
          </w:p>
        </w:tc>
      </w:tr>
      <w:tr>
        <w:trPr>
          <w:cantSplit w:val="true"/>
          <w:trHeight w:hRule="atLeast"/>
        </w:trPr>
        <w:tc>
          <w:tcPr>
            <w:tcW w:type="dxa" w:w="194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Data and ecosystem accountability</w:t>
            </w:r>
          </w:p>
        </w:tc>
        <w:tc>
          <w:tcPr>
            <w:tcW w:type="dxa" w:w="46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World Bank/CGAP highlights fragmented roles, alternative data and AI risks; Vietnam's data law is now effective.</w:t>
            </w:r>
            <w:r>
              <w:t xml:space="preserve"> </w:t>
            </w:r>
            <w:hyperlink r:id="rId17">
              <w:r>
                <w:rPr>
                  <w:color w:val="1F5A7A"/>
                  <w:b/>
                  <w:sz w:val="15"/>
                </w:rPr>
                <w:t>[S19]</w:t>
              </w:r>
            </w:hyperlink>
            <w:r>
              <w:t xml:space="preserve"> </w:t>
            </w:r>
            <w:hyperlink r:id="rId36">
              <w:r>
                <w:rPr>
                  <w:color w:val="1F5A7A"/>
                  <w:b/>
                  <w:sz w:val="15"/>
                </w:rPr>
                <w:t>[S28]</w:t>
              </w:r>
            </w:hyperlink>
            <w:r>
              <w:t xml:space="preserve"> </w:t>
            </w:r>
            <w:hyperlink r:id="rId37">
              <w:r>
                <w:rPr>
                  <w:color w:val="1F5A7A"/>
                  <w:b/>
                  <w:sz w:val="15"/>
                </w:rPr>
                <w:t>[S29]</w:t>
              </w:r>
            </w:hyperlink>
          </w:p>
        </w:tc>
        <w:tc>
          <w:tcPr>
            <w:tcW w:type="dxa" w:w="388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Are controller/processor roles, consent and vendor obligations operationally clear?</w:t>
            </w:r>
          </w:p>
        </w:tc>
      </w:tr>
    </w:tbl>
    <w:p>
      <w:pPr>
        <w:widowControl/>
        <w:spacing w:after="0"/>
      </w:pPr>
    </w:p>
    <w:p>
      <w:pPr>
        <w:pStyle w:val="Heading2"/>
        <w:keepNext/>
        <w:widowControl/>
      </w:pPr>
      <w:r>
        <w:t>No-regret moves across scenarios</w:t>
      </w:r>
    </w:p>
    <w:p>
      <w:pPr>
        <w:pStyle w:val="ListBullet"/>
        <w:widowControl/>
        <w:spacing w:after="40"/>
      </w:pPr>
      <w:r>
        <w:rPr>
          <w:color w:val="182026"/>
        </w:rPr>
        <w:t>Use one cohort profitability and customer-outcome data model across countries, products and channels.</w:t>
      </w:r>
    </w:p>
    <w:p>
      <w:pPr>
        <w:pStyle w:val="ListBullet"/>
        <w:widowControl/>
        <w:spacing w:after="40"/>
      </w:pPr>
      <w:r>
        <w:rPr>
          <w:color w:val="182026"/>
        </w:rPr>
        <w:t>Strengthen affordability and decision traceability before raising risk appetite or automating more decisions.</w:t>
      </w:r>
    </w:p>
    <w:p>
      <w:pPr>
        <w:pStyle w:val="ListBullet"/>
        <w:widowControl/>
        <w:spacing w:after="40"/>
      </w:pPr>
      <w:r>
        <w:rPr>
          <w:color w:val="182026"/>
        </w:rPr>
        <w:t>Diversify partner and funding concentration; test critical third-party and liquidity failure together.</w:t>
      </w:r>
    </w:p>
    <w:p>
      <w:pPr>
        <w:pStyle w:val="ListBullet"/>
        <w:widowControl/>
        <w:spacing w:after="40"/>
      </w:pPr>
      <w:r>
        <w:rPr>
          <w:color w:val="182026"/>
        </w:rPr>
        <w:t>Build early-warning triggers that connect macro, funnel, fraud, credit, complaints and funding signals.</w:t>
      </w:r>
    </w:p>
    <w:p>
      <w:pPr>
        <w:pStyle w:val="ListBullet"/>
        <w:widowControl/>
        <w:spacing w:after="40"/>
      </w:pPr>
      <w:r>
        <w:rPr>
          <w:color w:val="182026"/>
        </w:rPr>
        <w:t>Scale only partner/product cells with proven incremental demand, contribution after risk and acceptable customer outcomes.</w:t>
      </w:r>
    </w:p>
    <w:p>
      <w:pPr>
        <w:widowControl/>
        <w:spacing w:after="40"/>
      </w:pPr>
    </w:p>
    <w:p>
      <w:pPr>
        <w:pStyle w:val="Heading1"/>
        <w:keepNext/>
        <w:widowControl/>
      </w:pPr>
      <w:r>
        <w:rPr>
          <w:color w:val="0C7C86"/>
        </w:rPr>
        <w:t xml:space="preserve">15  </w:t>
      </w:r>
      <w:r>
        <w:rPr>
          <w:color w:val="16324F"/>
        </w:rPr>
        <w:t>Implications and research agenda</w:t>
      </w:r>
    </w:p>
    <w:p>
      <w:pPr>
        <w:pStyle w:val="SectionStrap"/>
        <w:widowControl/>
      </w:pPr>
      <w:r>
        <w:t>Convert broad industry research into a decision system</w:t>
      </w:r>
    </w:p>
    <w:p>
      <w:pPr>
        <w:pStyle w:val="Heading2"/>
        <w:keepNext/>
        <w:widowControl/>
      </w:pPr>
      <w:r>
        <w:t>Six priorities</w:t>
      </w:r>
    </w:p>
    <w:tbl>
      <w:tblPr>
        <w:tblW w:type="auto" w:w="0"/>
        <w:jc w:val="center"/>
        <w:tblLayout w:type="fixed"/>
        <w:tblLook w:firstColumn="1" w:firstRow="1" w:lastColumn="0" w:lastRow="0" w:noHBand="0" w:noVBand="1" w:val="04A0"/>
      </w:tblPr>
      <w:tblGrid>
        <w:gridCol w:w="504"/>
        <w:gridCol w:w="2232"/>
        <w:gridCol w:w="4680"/>
        <w:gridCol w:w="3096"/>
      </w:tblGrid>
      <w:tr>
        <w:trPr>
          <w:trHeight w:hRule="atLeast"/>
          <w:tblHeader w:val="true"/>
          <w:cantSplit w:val="true"/>
        </w:trPr>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Priority</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Action</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Deliverable</w:t>
            </w:r>
          </w:p>
        </w:tc>
      </w:tr>
      <w:tr>
        <w:trPr>
          <w:cantSplit w:val="true"/>
          <w:trHeight w:hRule="atLeast"/>
        </w:trPr>
        <w:tc>
          <w:tcPr>
            <w:tcW w:type="dxa" w:w="50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1</w:t>
            </w:r>
          </w:p>
        </w:tc>
        <w:tc>
          <w:tcPr>
            <w:tcW w:type="dxa" w:w="223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Create the common metric spine</w:t>
            </w:r>
          </w:p>
        </w:tc>
        <w:tc>
          <w:tcPr>
            <w:tcW w:type="dxa" w:w="46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Define stock/flow, cohort contribution, loss, customer outcome and regulatory metrics identically across products and countries.</w:t>
            </w:r>
          </w:p>
        </w:tc>
        <w:tc>
          <w:tcPr>
            <w:tcW w:type="dxa" w:w="309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 reconciled monthly fact book with definitions and data-quality owners.</w:t>
            </w:r>
          </w:p>
        </w:tc>
      </w:tr>
      <w:tr>
        <w:trPr>
          <w:cantSplit w:val="true"/>
          <w:trHeight w:hRule="atLeast"/>
        </w:trPr>
        <w:tc>
          <w:tcPr>
            <w:tcW w:type="dxa" w:w="50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2</w:t>
            </w:r>
          </w:p>
        </w:tc>
        <w:tc>
          <w:tcPr>
            <w:tcW w:type="dxa" w:w="223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Diagnose growth quality</w:t>
            </w:r>
          </w:p>
        </w:tc>
        <w:tc>
          <w:tcPr>
            <w:tcW w:type="dxa" w:w="468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Decompose 2025–2026 growth by acquisition channel, merchant, new/repeat status, risk, term, price and vintage.</w:t>
            </w:r>
          </w:p>
        </w:tc>
        <w:tc>
          <w:tcPr>
            <w:tcW w:type="dxa" w:w="309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 cohort heat map showing contribution, loss emergence and customer outcomes.</w:t>
            </w:r>
          </w:p>
        </w:tc>
      </w:tr>
      <w:tr>
        <w:trPr>
          <w:cantSplit w:val="true"/>
          <w:trHeight w:hRule="atLeast"/>
        </w:trPr>
        <w:tc>
          <w:tcPr>
            <w:tcW w:type="dxa" w:w="50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3</w:t>
            </w:r>
          </w:p>
        </w:tc>
        <w:tc>
          <w:tcPr>
            <w:tcW w:type="dxa" w:w="223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Industrialize affordability evidence</w:t>
            </w:r>
          </w:p>
        </w:tc>
        <w:tc>
          <w:tcPr>
            <w:tcW w:type="dxa" w:w="46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Separate affordability from risk score and preserve verified inputs, policy, model, overrides, notices and human review.</w:t>
            </w:r>
          </w:p>
        </w:tc>
        <w:tc>
          <w:tcPr>
            <w:tcW w:type="dxa" w:w="309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Decision evidence packs ready for EU CCD and later AI Act scrutiny.</w:t>
            </w:r>
          </w:p>
        </w:tc>
      </w:tr>
      <w:tr>
        <w:trPr>
          <w:cantSplit w:val="true"/>
          <w:trHeight w:hRule="atLeast"/>
        </w:trPr>
        <w:tc>
          <w:tcPr>
            <w:tcW w:type="dxa" w:w="50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4</w:t>
            </w:r>
          </w:p>
        </w:tc>
        <w:tc>
          <w:tcPr>
            <w:tcW w:type="dxa" w:w="223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Choose ecosystems selectively</w:t>
            </w:r>
          </w:p>
        </w:tc>
        <w:tc>
          <w:tcPr>
            <w:tcW w:type="dxa" w:w="468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Score partners on incremental demand, subsidy-adjusted economics, fraud, data rights, concentration and customer experience.</w:t>
            </w:r>
          </w:p>
        </w:tc>
        <w:tc>
          <w:tcPr>
            <w:tcW w:type="dxa" w:w="309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Partner hurdle rate, concentration limits and exit playbook.</w:t>
            </w:r>
          </w:p>
        </w:tc>
      </w:tr>
      <w:tr>
        <w:trPr>
          <w:cantSplit w:val="true"/>
          <w:trHeight w:hRule="atLeast"/>
        </w:trPr>
        <w:tc>
          <w:tcPr>
            <w:tcW w:type="dxa" w:w="50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5</w:t>
            </w:r>
          </w:p>
        </w:tc>
        <w:tc>
          <w:tcPr>
            <w:tcW w:type="dxa" w:w="223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Modernize collections around durable cure</w:t>
            </w:r>
          </w:p>
        </w:tc>
        <w:tc>
          <w:tcPr>
            <w:tcW w:type="dxa" w:w="46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Use early intervention and tailored forbearance; compare treatments on cure, redefault, cost and harm.</w:t>
            </w:r>
          </w:p>
        </w:tc>
        <w:tc>
          <w:tcPr>
            <w:tcW w:type="dxa" w:w="309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Treatment experiments and a customer-outcome collections dashboard.</w:t>
            </w:r>
          </w:p>
        </w:tc>
      </w:tr>
      <w:tr>
        <w:trPr>
          <w:cantSplit w:val="true"/>
          <w:trHeight w:hRule="atLeast"/>
        </w:trPr>
        <w:tc>
          <w:tcPr>
            <w:tcW w:type="dxa" w:w="50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6</w:t>
            </w:r>
          </w:p>
        </w:tc>
        <w:tc>
          <w:tcPr>
            <w:tcW w:type="dxa" w:w="223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Connect risk appetite to funding</w:t>
            </w:r>
          </w:p>
        </w:tc>
        <w:tc>
          <w:tcPr>
            <w:tcW w:type="dxa" w:w="468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Price marginal funding, liquidity and stress capital into each product/channel cell.</w:t>
            </w:r>
          </w:p>
        </w:tc>
        <w:tc>
          <w:tcPr>
            <w:tcW w:type="dxa" w:w="309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Risk-adjusted hurdle rates and country liquidity triggers.</w:t>
            </w:r>
          </w:p>
        </w:tc>
      </w:tr>
    </w:tbl>
    <w:p>
      <w:pPr>
        <w:widowControl/>
        <w:spacing w:after="0"/>
      </w:pPr>
    </w:p>
    <w:p>
      <w:pPr>
        <w:pStyle w:val="Heading2"/>
        <w:keepNext/>
        <w:widowControl/>
      </w:pPr>
      <w:r>
        <w:t>90-day work plan</w:t>
      </w:r>
    </w:p>
    <w:tbl>
      <w:tblPr>
        <w:tblW w:type="auto" w:w="0"/>
        <w:jc w:val="center"/>
        <w:tblLayout w:type="fixed"/>
        <w:tblLook w:firstColumn="1" w:firstRow="1" w:lastColumn="0" w:lastRow="0" w:noHBand="0" w:noVBand="1" w:val="04A0"/>
      </w:tblPr>
      <w:tblGrid>
        <w:gridCol w:w="1440"/>
        <w:gridCol w:w="2736"/>
        <w:gridCol w:w="4392"/>
        <w:gridCol w:w="1944"/>
      </w:tblGrid>
      <w:tr>
        <w:trPr>
          <w:trHeight w:hRule="atLeast"/>
          <w:tblHeader w:val="true"/>
          <w:cantSplit w:val="true"/>
        </w:trPr>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Window</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Focus</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Outputs</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6"/>
              </w:rPr>
              <w:t>Decision unlocked</w:t>
            </w:r>
          </w:p>
        </w:tc>
      </w:tr>
      <w:tr>
        <w:trPr>
          <w:cantSplit w:val="true"/>
          <w:trHeight w:hRule="atLeast"/>
        </w:trPr>
        <w:tc>
          <w:tcPr>
            <w:tcW w:type="dxa" w:w="144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Days 0–30</w:t>
            </w:r>
          </w:p>
        </w:tc>
        <w:tc>
          <w:tcPr>
            <w:tcW w:type="dxa" w:w="273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Definitions and evidence</w:t>
            </w:r>
          </w:p>
        </w:tc>
        <w:tc>
          <w:tcPr>
            <w:tcW w:type="dxa" w:w="439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Metric dictionary; product/entity/regime map; source and internal-data inventory; model/use-case inventory</w:t>
            </w:r>
          </w:p>
        </w:tc>
        <w:tc>
          <w:tcPr>
            <w:tcW w:type="dxa" w:w="194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Agreement on market, economics and compliance perimeter</w:t>
            </w:r>
          </w:p>
        </w:tc>
      </w:tr>
      <w:tr>
        <w:trPr>
          <w:cantSplit w:val="true"/>
          <w:trHeight w:hRule="atLeast"/>
        </w:trPr>
        <w:tc>
          <w:tcPr>
            <w:tcW w:type="dxa" w:w="144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Days 31–60</w:t>
            </w:r>
          </w:p>
        </w:tc>
        <w:tc>
          <w:tcPr>
            <w:tcW w:type="dxa" w:w="273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Cohort and partner diagnosis</w:t>
            </w:r>
          </w:p>
        </w:tc>
        <w:tc>
          <w:tcPr>
            <w:tcW w:type="dxa" w:w="439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Vintage contribution; funnel/fraud; repeat-customer economics; merchant/category performance; funding transfer price</w:t>
            </w:r>
          </w:p>
        </w:tc>
        <w:tc>
          <w:tcPr>
            <w:tcW w:type="dxa" w:w="194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Where growth creates or destroys value</w:t>
            </w:r>
          </w:p>
        </w:tc>
      </w:tr>
      <w:tr>
        <w:trPr>
          <w:cantSplit w:val="true"/>
          <w:trHeight w:hRule="atLeast"/>
        </w:trPr>
        <w:tc>
          <w:tcPr>
            <w:tcW w:type="dxa" w:w="144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Days 61–90</w:t>
            </w:r>
          </w:p>
        </w:tc>
        <w:tc>
          <w:tcPr>
            <w:tcW w:type="dxa" w:w="273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Experiments and controls</w:t>
            </w:r>
          </w:p>
        </w:tc>
        <w:tc>
          <w:tcPr>
            <w:tcW w:type="dxa" w:w="439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Affordability evidence pack; collections treatment tests; partner hurdle model; downside scenario and trigger dashboard</w:t>
            </w:r>
          </w:p>
        </w:tc>
        <w:tc>
          <w:tcPr>
            <w:tcW w:type="dxa" w:w="194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6"/>
              </w:rPr>
              <w:t>Which offers/channels to scale, repair or stop</w:t>
            </w:r>
          </w:p>
        </w:tc>
      </w:tr>
    </w:tbl>
    <w:p>
      <w:pPr>
        <w:widowControl/>
        <w:spacing w:after="0"/>
      </w:pPr>
    </w:p>
    <w:p>
      <w:pPr>
        <w:pStyle w:val="Heading2"/>
        <w:keepNext/>
        <w:widowControl/>
      </w:pPr>
      <w:r>
        <w:t>Decision tree for the business problem</w:t>
      </w:r>
    </w:p>
    <w:tbl>
      <w:tblPr>
        <w:tblW w:type="auto" w:w="0"/>
        <w:jc w:val="center"/>
        <w:tblLayout w:type="fixed"/>
        <w:tblLook w:firstColumn="1" w:firstRow="1" w:lastColumn="0" w:lastRow="0" w:noHBand="0" w:noVBand="1" w:val="04A0"/>
      </w:tblPr>
      <w:tblGrid>
        <w:gridCol w:w="2088"/>
        <w:gridCol w:w="5112"/>
        <w:gridCol w:w="3312"/>
      </w:tblGrid>
      <w:tr>
        <w:trPr>
          <w:trHeight w:hRule="atLeast"/>
          <w:tblHeader w:val="true"/>
          <w:cantSplit w:val="true"/>
        </w:trPr>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If the problem is…</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First diagnostic</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Do not conclude until…</w:t>
            </w:r>
          </w:p>
        </w:tc>
      </w:tr>
      <w:tr>
        <w:trPr>
          <w:cantSplit w:val="true"/>
          <w:trHeight w:hRule="atLeast"/>
        </w:trPr>
        <w:tc>
          <w:tcPr>
            <w:tcW w:type="dxa" w:w="208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Slowing applications</w:t>
            </w:r>
          </w:p>
        </w:tc>
        <w:tc>
          <w:tcPr>
            <w:tcW w:type="dxa" w:w="511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Traffic quality, merchant volume, app funnel and competitor offer capture</w:t>
            </w:r>
          </w:p>
        </w:tc>
        <w:tc>
          <w:tcPr>
            <w:tcW w:type="dxa" w:w="331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Demand loss is separated from eligibility, technical failure and price/take-up</w:t>
            </w:r>
          </w:p>
        </w:tc>
      </w:tr>
      <w:tr>
        <w:trPr>
          <w:cantSplit w:val="true"/>
          <w:trHeight w:hRule="atLeast"/>
        </w:trPr>
        <w:tc>
          <w:tcPr>
            <w:tcW w:type="dxa" w:w="208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Falling approvals</w:t>
            </w:r>
          </w:p>
        </w:tc>
        <w:tc>
          <w:tcPr>
            <w:tcW w:type="dxa" w:w="511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Affordability inputs, bureau shift, fraud rules, model calibration and policy overrides</w:t>
            </w:r>
          </w:p>
        </w:tc>
        <w:tc>
          <w:tcPr>
            <w:tcW w:type="dxa" w:w="331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Risk deterioration is separated from data/model/control change</w:t>
            </w:r>
          </w:p>
        </w:tc>
      </w:tr>
      <w:tr>
        <w:trPr>
          <w:cantSplit w:val="true"/>
          <w:trHeight w:hRule="atLeast"/>
        </w:trPr>
        <w:tc>
          <w:tcPr>
            <w:tcW w:type="dxa" w:w="208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Rising losses</w:t>
            </w:r>
          </w:p>
        </w:tc>
        <w:tc>
          <w:tcPr>
            <w:tcW w:type="dxa" w:w="511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Vintage/MOB, first-payment default, roll/cure and partner/category concentration</w:t>
            </w:r>
          </w:p>
        </w:tc>
        <w:tc>
          <w:tcPr>
            <w:tcW w:type="dxa" w:w="331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Seasoning, mix, fraud and collections effects are decomposed</w:t>
            </w:r>
          </w:p>
        </w:tc>
      </w:tr>
      <w:tr>
        <w:trPr>
          <w:cantSplit w:val="true"/>
          <w:trHeight w:hRule="atLeast"/>
        </w:trPr>
        <w:tc>
          <w:tcPr>
            <w:tcW w:type="dxa" w:w="208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Margin compression</w:t>
            </w:r>
          </w:p>
        </w:tc>
        <w:tc>
          <w:tcPr>
            <w:tcW w:type="dxa" w:w="511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Realized yield, funding transfer price, expected loss, CAC, merchant subsidy and operating cost</w:t>
            </w:r>
          </w:p>
        </w:tc>
        <w:tc>
          <w:tcPr>
            <w:tcW w:type="dxa" w:w="331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Volume growth is reconciled to contribution after risk and capital</w:t>
            </w:r>
          </w:p>
        </w:tc>
      </w:tr>
      <w:tr>
        <w:trPr>
          <w:cantSplit w:val="true"/>
          <w:trHeight w:hRule="atLeast"/>
        </w:trPr>
        <w:tc>
          <w:tcPr>
            <w:tcW w:type="dxa" w:w="208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Regulatory concern</w:t>
            </w:r>
          </w:p>
        </w:tc>
        <w:tc>
          <w:tcPr>
            <w:tcW w:type="dxa" w:w="511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Obligation-to-control map, decision reconstruction, customer notices and outcome metrics</w:t>
            </w:r>
          </w:p>
        </w:tc>
        <w:tc>
          <w:tcPr>
            <w:tcW w:type="dxa" w:w="331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Legal interpretation and operational evidence agree</w:t>
            </w:r>
          </w:p>
        </w:tc>
      </w:tr>
      <w:tr>
        <w:trPr>
          <w:cantSplit w:val="true"/>
          <w:trHeight w:hRule="atLeast"/>
        </w:trPr>
        <w:tc>
          <w:tcPr>
            <w:tcW w:type="dxa" w:w="208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Weak partner economics</w:t>
            </w:r>
          </w:p>
        </w:tc>
        <w:tc>
          <w:tcPr>
            <w:tcW w:type="dxa" w:w="511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Incremental conversion, fraud/loss, subsidy, repeat use, data rights and concentration</w:t>
            </w:r>
          </w:p>
        </w:tc>
        <w:tc>
          <w:tcPr>
            <w:tcW w:type="dxa" w:w="331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Partner value is measured against a credible no-partner counterfactual</w:t>
            </w:r>
          </w:p>
        </w:tc>
      </w:tr>
    </w:tbl>
    <w:p>
      <w:pPr>
        <w:widowControl/>
        <w:spacing w:after="0"/>
      </w:pPr>
    </w:p>
    <w:tbl>
      <w:tblPr>
        <w:tblW w:type="auto" w:w="0"/>
        <w:jc w:val="center"/>
        <w:tblLayout w:type="fixed"/>
        <w:tblLook w:firstColumn="1" w:firstRow="1" w:lastColumn="0" w:lastRow="0" w:noHBand="0" w:noVBand="1" w:val="04A0"/>
      </w:tblPr>
      <w:tblGrid>
        <w:gridCol w:w="1800"/>
        <w:gridCol w:w="8424"/>
      </w:tblGrid>
      <w:tr>
        <w:trPr>
          <w:cantSplit w:val="true"/>
        </w:trPr>
        <w:tc>
          <w:tcPr>
            <w:tcW w:type="dxa" w:w="1800"/>
            <w:shd w:fill="16324F"/>
            <w:tcMar>
              <w:top w:w="100" w:type="dxa"/>
              <w:start w:w="120" w:type="dxa"/>
              <w:bottom w:w="100" w:type="dxa"/>
              <w:end w:w="120" w:type="dxa"/>
            </w:tcMar>
            <w:tcBorders>
              <w:top w:val="single" w:sz="4" w:color="E5E9EC"/>
              <w:left w:val="single" w:sz="4" w:color="E5E9EC"/>
              <w:bottom w:val="single" w:sz="4" w:color="E5E9EC"/>
              <w:right w:val="single" w:sz="4" w:color="E5E9EC"/>
            </w:tcBorders>
          </w:tcPr>
          <w:p>
            <w:pPr>
              <w:jc w:val="center"/>
            </w:pPr>
            <w:r>
              <w:rPr>
                <w:b/>
                <w:color w:val="FFFFFF"/>
                <w:sz w:val="16"/>
              </w:rPr>
              <w:t>RECOMMENDATION</w:t>
            </w:r>
          </w:p>
        </w:tc>
        <w:tc>
          <w:tcPr>
            <w:tcW w:type="dxa" w:w="8424"/>
            <w:shd w:fill="F4F8FA"/>
            <w:tcMar>
              <w:top w:w="100" w:type="dxa"/>
              <w:start w:w="120" w:type="dxa"/>
              <w:bottom w:w="100" w:type="dxa"/>
              <w:end w:w="120" w:type="dxa"/>
            </w:tcMar>
            <w:tcBorders>
              <w:top w:val="single" w:sz="4" w:color="E5E9EC"/>
              <w:left w:val="single" w:sz="4" w:color="E5E9EC"/>
              <w:bottom w:val="single" w:sz="4" w:color="E5E9EC"/>
              <w:right w:val="single" w:sz="4" w:color="E5E9EC"/>
            </w:tcBorders>
          </w:tcPr>
          <w:p>
            <w:r>
              <w:rPr>
                <w:b/>
                <w:color w:val="182026"/>
                <w:sz w:val="19"/>
              </w:rPr>
              <w:t>Do not launch a generic 'industry benchmark' program. Build the comparison around the live decision—market entry, risk appetite, product redesign, partner renewal, funding plan or regulatory remediation—and use only measures that are definitionally comparable.</w:t>
            </w:r>
          </w:p>
        </w:tc>
      </w:tr>
    </w:tbl>
    <w:p>
      <w:pPr>
        <w:widowControl/>
        <w:spacing w:after="0"/>
      </w:pPr>
    </w:p>
    <w:p>
      <w:pPr>
        <w:widowControl/>
      </w:pPr>
      <w:r>
        <w:br w:type="page"/>
      </w:r>
    </w:p>
    <w:p>
      <w:pPr>
        <w:pStyle w:val="Heading1"/>
        <w:keepNext/>
        <w:widowControl/>
      </w:pPr>
      <w:r>
        <w:rPr>
          <w:color w:val="0C7C86"/>
        </w:rPr>
        <w:t xml:space="preserve">Appendix A  </w:t>
      </w:r>
      <w:r>
        <w:rPr>
          <w:color w:val="16324F"/>
        </w:rPr>
        <w:t>Research-question crosswalk</w:t>
      </w:r>
    </w:p>
    <w:p>
      <w:pPr>
        <w:pStyle w:val="SectionStrap"/>
        <w:widowControl/>
      </w:pPr>
      <w:r>
        <w:t>Where each part of the original question set is answered</w:t>
      </w:r>
    </w:p>
    <w:tbl>
      <w:tblPr>
        <w:tblW w:type="auto" w:w="0"/>
        <w:jc w:val="center"/>
        <w:tblLayout w:type="fixed"/>
        <w:tblLook w:firstColumn="1" w:firstRow="1" w:lastColumn="0" w:lastRow="0" w:noHBand="0" w:noVBand="1" w:val="04A0"/>
      </w:tblPr>
      <w:tblGrid>
        <w:gridCol w:w="1800"/>
        <w:gridCol w:w="4968"/>
        <w:gridCol w:w="1080"/>
        <w:gridCol w:w="2664"/>
      </w:tblGrid>
      <w:tr>
        <w:trPr>
          <w:trHeight w:hRule="atLeast"/>
          <w:tblHeader w:val="true"/>
          <w:cantSplit w:val="true"/>
        </w:trPr>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Theme</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Question answered</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Location</w:t>
            </w:r>
          </w:p>
        </w:tc>
        <w:tc>
          <w:tcPr>
            <w:tcW w:type="dxa" w:w="2541"/>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Status</w:t>
            </w:r>
          </w:p>
        </w:tc>
      </w:tr>
      <w:tr>
        <w:trPr>
          <w:cantSplit w:val="true"/>
          <w:trHeight w:hRule="atLeast"/>
        </w:trPr>
        <w:tc>
          <w:tcPr>
            <w:tcW w:type="dxa" w:w="18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Industry boundary</w:t>
            </w:r>
          </w:p>
        </w:tc>
        <w:tc>
          <w:tcPr>
            <w:tcW w:type="dxa" w:w="496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What industry is Home Credit in? Which products and substitutes belong?</w:t>
            </w:r>
          </w:p>
        </w:tc>
        <w:tc>
          <w:tcPr>
            <w:tcW w:type="dxa" w:w="10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§2</w:t>
            </w:r>
          </w:p>
        </w:tc>
        <w:tc>
          <w:tcPr>
            <w:tcW w:type="dxa" w:w="266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Answered; legal definitions vary by market.</w:t>
            </w:r>
          </w:p>
        </w:tc>
      </w:tr>
      <w:tr>
        <w:trPr>
          <w:cantSplit w:val="true"/>
          <w:trHeight w:hRule="atLeast"/>
        </w:trPr>
        <w:tc>
          <w:tcPr>
            <w:tcW w:type="dxa" w:w="180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Geography</w:t>
            </w:r>
          </w:p>
        </w:tc>
        <w:tc>
          <w:tcPr>
            <w:tcW w:type="dxa" w:w="496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Which countries and operating contexts are relevant now?</w:t>
            </w:r>
          </w:p>
        </w:tc>
        <w:tc>
          <w:tcPr>
            <w:tcW w:type="dxa" w:w="108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§2</w:t>
            </w:r>
          </w:p>
        </w:tc>
        <w:tc>
          <w:tcPr>
            <w:tcW w:type="dxa" w:w="266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Answered from current public market links.</w:t>
            </w:r>
          </w:p>
        </w:tc>
      </w:tr>
      <w:tr>
        <w:trPr>
          <w:cantSplit w:val="true"/>
          <w:trHeight w:hRule="atLeast"/>
        </w:trPr>
        <w:tc>
          <w:tcPr>
            <w:tcW w:type="dxa" w:w="18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Customer needs</w:t>
            </w:r>
          </w:p>
        </w:tc>
        <w:tc>
          <w:tcPr>
            <w:tcW w:type="dxa" w:w="496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What jobs, frictions and unmet needs drive borrowing?</w:t>
            </w:r>
          </w:p>
        </w:tc>
        <w:tc>
          <w:tcPr>
            <w:tcW w:type="dxa" w:w="10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§3</w:t>
            </w:r>
          </w:p>
        </w:tc>
        <w:tc>
          <w:tcPr>
            <w:tcW w:type="dxa" w:w="266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Answered with segment framework and global/local evidence.</w:t>
            </w:r>
          </w:p>
        </w:tc>
      </w:tr>
      <w:tr>
        <w:trPr>
          <w:cantSplit w:val="true"/>
          <w:trHeight w:hRule="atLeast"/>
        </w:trPr>
        <w:tc>
          <w:tcPr>
            <w:tcW w:type="dxa" w:w="180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Segments</w:t>
            </w:r>
          </w:p>
        </w:tc>
        <w:tc>
          <w:tcPr>
            <w:tcW w:type="dxa" w:w="496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Who is bankable, thin-file, near-prime, repeat, merchant-led or vulnerable?</w:t>
            </w:r>
          </w:p>
        </w:tc>
        <w:tc>
          <w:tcPr>
            <w:tcW w:type="dxa" w:w="108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§3</w:t>
            </w:r>
          </w:p>
        </w:tc>
        <w:tc>
          <w:tcPr>
            <w:tcW w:type="dxa" w:w="266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Framework supplied; sizing requires internal/customer research.</w:t>
            </w:r>
          </w:p>
        </w:tc>
      </w:tr>
      <w:tr>
        <w:trPr>
          <w:cantSplit w:val="true"/>
          <w:trHeight w:hRule="atLeast"/>
        </w:trPr>
        <w:tc>
          <w:tcPr>
            <w:tcW w:type="dxa" w:w="18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Market size</w:t>
            </w:r>
          </w:p>
        </w:tc>
        <w:tc>
          <w:tcPr>
            <w:tcW w:type="dxa" w:w="496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How large is the market by balances, originations and customers?</w:t>
            </w:r>
          </w:p>
        </w:tc>
        <w:tc>
          <w:tcPr>
            <w:tcW w:type="dxa" w:w="10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§4</w:t>
            </w:r>
          </w:p>
        </w:tc>
        <w:tc>
          <w:tcPr>
            <w:tcW w:type="dxa" w:w="266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Partially answered; public scopes are non-comparable.</w:t>
            </w:r>
          </w:p>
        </w:tc>
      </w:tr>
      <w:tr>
        <w:trPr>
          <w:cantSplit w:val="true"/>
          <w:trHeight w:hRule="atLeast"/>
        </w:trPr>
        <w:tc>
          <w:tcPr>
            <w:tcW w:type="dxa" w:w="180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Growth</w:t>
            </w:r>
          </w:p>
        </w:tc>
        <w:tc>
          <w:tcPr>
            <w:tcW w:type="dxa" w:w="496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How fast is demand growing and which products drive it?</w:t>
            </w:r>
          </w:p>
        </w:tc>
        <w:tc>
          <w:tcPr>
            <w:tcW w:type="dxa" w:w="108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§4</w:t>
            </w:r>
          </w:p>
        </w:tc>
        <w:tc>
          <w:tcPr>
            <w:tcW w:type="dxa" w:w="266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Answered with latest available indicators and caveats.</w:t>
            </w:r>
          </w:p>
        </w:tc>
      </w:tr>
      <w:tr>
        <w:trPr>
          <w:cantSplit w:val="true"/>
          <w:trHeight w:hRule="atLeast"/>
        </w:trPr>
        <w:tc>
          <w:tcPr>
            <w:tcW w:type="dxa" w:w="18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Market share</w:t>
            </w:r>
          </w:p>
        </w:tc>
        <w:tc>
          <w:tcPr>
            <w:tcW w:type="dxa" w:w="496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What share does Home Credit and each competitor hold?</w:t>
            </w:r>
          </w:p>
        </w:tc>
        <w:tc>
          <w:tcPr>
            <w:tcW w:type="dxa" w:w="10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§4, §6</w:t>
            </w:r>
          </w:p>
        </w:tc>
        <w:tc>
          <w:tcPr>
            <w:tcW w:type="dxa" w:w="266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Public-data gap; do not infer from incompatible stock/flow data.</w:t>
            </w:r>
          </w:p>
        </w:tc>
      </w:tr>
      <w:tr>
        <w:trPr>
          <w:cantSplit w:val="true"/>
          <w:trHeight w:hRule="atLeast"/>
        </w:trPr>
        <w:tc>
          <w:tcPr>
            <w:tcW w:type="dxa" w:w="180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Products</w:t>
            </w:r>
          </w:p>
        </w:tc>
        <w:tc>
          <w:tcPr>
            <w:tcW w:type="dxa" w:w="496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Which products, amounts, terms, fees and price bands are offered?</w:t>
            </w:r>
          </w:p>
        </w:tc>
        <w:tc>
          <w:tcPr>
            <w:tcW w:type="dxa" w:w="108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§5</w:t>
            </w:r>
          </w:p>
        </w:tc>
        <w:tc>
          <w:tcPr>
            <w:tcW w:type="dxa" w:w="266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Answered for current Czech/Slovak public offers; Vietnam mix directional.</w:t>
            </w:r>
          </w:p>
        </w:tc>
      </w:tr>
      <w:tr>
        <w:trPr>
          <w:cantSplit w:val="true"/>
          <w:trHeight w:hRule="atLeast"/>
        </w:trPr>
        <w:tc>
          <w:tcPr>
            <w:tcW w:type="dxa" w:w="18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Journey</w:t>
            </w:r>
          </w:p>
        </w:tc>
        <w:tc>
          <w:tcPr>
            <w:tcW w:type="dxa" w:w="496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Where are conversion, trust and control won or lost?</w:t>
            </w:r>
          </w:p>
        </w:tc>
        <w:tc>
          <w:tcPr>
            <w:tcW w:type="dxa" w:w="10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§5</w:t>
            </w:r>
          </w:p>
        </w:tc>
        <w:tc>
          <w:tcPr>
            <w:tcW w:type="dxa" w:w="266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Answered as a stage-and-control map.</w:t>
            </w:r>
          </w:p>
        </w:tc>
      </w:tr>
      <w:tr>
        <w:trPr>
          <w:cantSplit w:val="true"/>
          <w:trHeight w:hRule="atLeast"/>
        </w:trPr>
        <w:tc>
          <w:tcPr>
            <w:tcW w:type="dxa" w:w="180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Value chain</w:t>
            </w:r>
          </w:p>
        </w:tc>
        <w:tc>
          <w:tcPr>
            <w:tcW w:type="dxa" w:w="496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Who controls acquisition, decisioning, funding, service and collections?</w:t>
            </w:r>
          </w:p>
        </w:tc>
        <w:tc>
          <w:tcPr>
            <w:tcW w:type="dxa" w:w="108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§6</w:t>
            </w:r>
          </w:p>
        </w:tc>
        <w:tc>
          <w:tcPr>
            <w:tcW w:type="dxa" w:w="266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Answered with capability map.</w:t>
            </w:r>
          </w:p>
        </w:tc>
      </w:tr>
      <w:tr>
        <w:trPr>
          <w:cantSplit w:val="true"/>
          <w:trHeight w:hRule="atLeast"/>
        </w:trPr>
        <w:tc>
          <w:tcPr>
            <w:tcW w:type="dxa" w:w="18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Competition</w:t>
            </w:r>
          </w:p>
        </w:tc>
        <w:tc>
          <w:tcPr>
            <w:tcW w:type="dxa" w:w="496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Who are direct competitors and broader substitutes?</w:t>
            </w:r>
          </w:p>
        </w:tc>
        <w:tc>
          <w:tcPr>
            <w:tcW w:type="dxa" w:w="10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§6</w:t>
            </w:r>
          </w:p>
        </w:tc>
        <w:tc>
          <w:tcPr>
            <w:tcW w:type="dxa" w:w="266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Named public reference sets; precise shares unavailable.</w:t>
            </w:r>
          </w:p>
        </w:tc>
      </w:tr>
      <w:tr>
        <w:trPr>
          <w:cantSplit w:val="true"/>
          <w:trHeight w:hRule="atLeast"/>
        </w:trPr>
        <w:tc>
          <w:tcPr>
            <w:tcW w:type="dxa" w:w="180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Moats</w:t>
            </w:r>
          </w:p>
        </w:tc>
        <w:tc>
          <w:tcPr>
            <w:tcW w:type="dxa" w:w="496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What advantages can compound?</w:t>
            </w:r>
          </w:p>
        </w:tc>
        <w:tc>
          <w:tcPr>
            <w:tcW w:type="dxa" w:w="108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§6</w:t>
            </w:r>
          </w:p>
        </w:tc>
        <w:tc>
          <w:tcPr>
            <w:tcW w:type="dxa" w:w="266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Hypotheses and proof tests provided.</w:t>
            </w:r>
          </w:p>
        </w:tc>
      </w:tr>
      <w:tr>
        <w:trPr>
          <w:cantSplit w:val="true"/>
          <w:trHeight w:hRule="atLeast"/>
        </w:trPr>
        <w:tc>
          <w:tcPr>
            <w:tcW w:type="dxa" w:w="18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Business models</w:t>
            </w:r>
          </w:p>
        </w:tc>
        <w:tc>
          <w:tcPr>
            <w:tcW w:type="dxa" w:w="496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How do POS, cash, revolving, embedded and ancillary models earn?</w:t>
            </w:r>
          </w:p>
        </w:tc>
        <w:tc>
          <w:tcPr>
            <w:tcW w:type="dxa" w:w="10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§7</w:t>
            </w:r>
          </w:p>
        </w:tc>
        <w:tc>
          <w:tcPr>
            <w:tcW w:type="dxa" w:w="266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Answered conceptually; proprietary economics unavailable.</w:t>
            </w:r>
          </w:p>
        </w:tc>
      </w:tr>
      <w:tr>
        <w:trPr>
          <w:cantSplit w:val="true"/>
          <w:trHeight w:hRule="atLeast"/>
        </w:trPr>
        <w:tc>
          <w:tcPr>
            <w:tcW w:type="dxa" w:w="180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Unit economics</w:t>
            </w:r>
          </w:p>
        </w:tc>
        <w:tc>
          <w:tcPr>
            <w:tcW w:type="dxa" w:w="496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What drives contribution and lifetime value?</w:t>
            </w:r>
          </w:p>
        </w:tc>
        <w:tc>
          <w:tcPr>
            <w:tcW w:type="dxa" w:w="108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§7</w:t>
            </w:r>
          </w:p>
        </w:tc>
        <w:tc>
          <w:tcPr>
            <w:tcW w:type="dxa" w:w="266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Equation and KPI spine supplied; calculation needs internal data.</w:t>
            </w:r>
          </w:p>
        </w:tc>
      </w:tr>
      <w:tr>
        <w:trPr>
          <w:cantSplit w:val="true"/>
          <w:trHeight w:hRule="atLeast"/>
        </w:trPr>
        <w:tc>
          <w:tcPr>
            <w:tcW w:type="dxa" w:w="18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Profit pools</w:t>
            </w:r>
          </w:p>
        </w:tc>
        <w:tc>
          <w:tcPr>
            <w:tcW w:type="dxa" w:w="496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Where might attractive economics sit?</w:t>
            </w:r>
          </w:p>
        </w:tc>
        <w:tc>
          <w:tcPr>
            <w:tcW w:type="dxa" w:w="10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§7</w:t>
            </w:r>
          </w:p>
        </w:tc>
        <w:tc>
          <w:tcPr>
            <w:tcW w:type="dxa" w:w="266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Hypotheses supplied; not asserted as market fact.</w:t>
            </w:r>
          </w:p>
        </w:tc>
      </w:tr>
      <w:tr>
        <w:trPr>
          <w:cantSplit w:val="true"/>
          <w:trHeight w:hRule="atLeast"/>
        </w:trPr>
        <w:tc>
          <w:tcPr>
            <w:tcW w:type="dxa" w:w="180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Underwriting</w:t>
            </w:r>
          </w:p>
        </w:tc>
        <w:tc>
          <w:tcPr>
            <w:tcW w:type="dxa" w:w="496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How should eligibility, affordability, risk and offer decisions work?</w:t>
            </w:r>
          </w:p>
        </w:tc>
        <w:tc>
          <w:tcPr>
            <w:tcW w:type="dxa" w:w="108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§8</w:t>
            </w:r>
          </w:p>
        </w:tc>
        <w:tc>
          <w:tcPr>
            <w:tcW w:type="dxa" w:w="266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Answered with architecture and controls.</w:t>
            </w:r>
          </w:p>
        </w:tc>
      </w:tr>
      <w:tr>
        <w:trPr>
          <w:cantSplit w:val="true"/>
          <w:trHeight w:hRule="atLeast"/>
        </w:trPr>
        <w:tc>
          <w:tcPr>
            <w:tcW w:type="dxa" w:w="18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Data and AI</w:t>
            </w:r>
          </w:p>
        </w:tc>
        <w:tc>
          <w:tcPr>
            <w:tcW w:type="dxa" w:w="496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Which data/models create value and what risks do they add?</w:t>
            </w:r>
          </w:p>
        </w:tc>
        <w:tc>
          <w:tcPr>
            <w:tcW w:type="dxa" w:w="10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§8, §11</w:t>
            </w:r>
          </w:p>
        </w:tc>
        <w:tc>
          <w:tcPr>
            <w:tcW w:type="dxa" w:w="266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Answered with legal and governance requirements.</w:t>
            </w:r>
          </w:p>
        </w:tc>
      </w:tr>
      <w:tr>
        <w:trPr>
          <w:cantSplit w:val="true"/>
          <w:trHeight w:hRule="atLeast"/>
        </w:trPr>
        <w:tc>
          <w:tcPr>
            <w:tcW w:type="dxa" w:w="180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Credit performance</w:t>
            </w:r>
          </w:p>
        </w:tc>
        <w:tc>
          <w:tcPr>
            <w:tcW w:type="dxa" w:w="496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How should default, vintage loss and collections be assessed?</w:t>
            </w:r>
          </w:p>
        </w:tc>
        <w:tc>
          <w:tcPr>
            <w:tcW w:type="dxa" w:w="108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§9</w:t>
            </w:r>
          </w:p>
        </w:tc>
        <w:tc>
          <w:tcPr>
            <w:tcW w:type="dxa" w:w="266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Answered; comparable external portfolio benchmarks limited.</w:t>
            </w:r>
          </w:p>
        </w:tc>
      </w:tr>
      <w:tr>
        <w:trPr>
          <w:cantSplit w:val="true"/>
          <w:trHeight w:hRule="atLeast"/>
        </w:trPr>
        <w:tc>
          <w:tcPr>
            <w:tcW w:type="dxa" w:w="18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Collections</w:t>
            </w:r>
          </w:p>
        </w:tc>
        <w:tc>
          <w:tcPr>
            <w:tcW w:type="dxa" w:w="496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Which treatments improve cure without harm?</w:t>
            </w:r>
          </w:p>
        </w:tc>
        <w:tc>
          <w:tcPr>
            <w:tcW w:type="dxa" w:w="10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§9</w:t>
            </w:r>
          </w:p>
        </w:tc>
        <w:tc>
          <w:tcPr>
            <w:tcW w:type="dxa" w:w="266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Operating model and test design supplied.</w:t>
            </w:r>
          </w:p>
        </w:tc>
      </w:tr>
      <w:tr>
        <w:trPr>
          <w:cantSplit w:val="true"/>
          <w:trHeight w:hRule="atLeast"/>
        </w:trPr>
        <w:tc>
          <w:tcPr>
            <w:tcW w:type="dxa" w:w="180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Regulation</w:t>
            </w:r>
          </w:p>
        </w:tc>
        <w:tc>
          <w:tcPr>
            <w:tcW w:type="dxa" w:w="496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What rules affect products, price, decisions, data and resilience?</w:t>
            </w:r>
          </w:p>
        </w:tc>
        <w:tc>
          <w:tcPr>
            <w:tcW w:type="dxa" w:w="108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§10</w:t>
            </w:r>
          </w:p>
        </w:tc>
        <w:tc>
          <w:tcPr>
            <w:tcW w:type="dxa" w:w="266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Answered for core EU/Vietnam regimes; local counsel still required.</w:t>
            </w:r>
          </w:p>
        </w:tc>
      </w:tr>
      <w:tr>
        <w:trPr>
          <w:cantSplit w:val="true"/>
          <w:trHeight w:hRule="atLeast"/>
        </w:trPr>
        <w:tc>
          <w:tcPr>
            <w:tcW w:type="dxa" w:w="18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Technology</w:t>
            </w:r>
          </w:p>
        </w:tc>
        <w:tc>
          <w:tcPr>
            <w:tcW w:type="dxa" w:w="496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Where does automation create value and operational dependence?</w:t>
            </w:r>
          </w:p>
        </w:tc>
        <w:tc>
          <w:tcPr>
            <w:tcW w:type="dxa" w:w="10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§11</w:t>
            </w:r>
          </w:p>
        </w:tc>
        <w:tc>
          <w:tcPr>
            <w:tcW w:type="dxa" w:w="266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Answered with use-case and resilience maps.</w:t>
            </w:r>
          </w:p>
        </w:tc>
      </w:tr>
      <w:tr>
        <w:trPr>
          <w:cantSplit w:val="true"/>
          <w:trHeight w:hRule="atLeast"/>
        </w:trPr>
        <w:tc>
          <w:tcPr>
            <w:tcW w:type="dxa" w:w="180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Fraud/cyber</w:t>
            </w:r>
          </w:p>
        </w:tc>
        <w:tc>
          <w:tcPr>
            <w:tcW w:type="dxa" w:w="496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What threats and controls matter most?</w:t>
            </w:r>
          </w:p>
        </w:tc>
        <w:tc>
          <w:tcPr>
            <w:tcW w:type="dxa" w:w="108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§11</w:t>
            </w:r>
          </w:p>
        </w:tc>
        <w:tc>
          <w:tcPr>
            <w:tcW w:type="dxa" w:w="266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Answered at management-control level.</w:t>
            </w:r>
          </w:p>
        </w:tc>
      </w:tr>
      <w:tr>
        <w:trPr>
          <w:cantSplit w:val="true"/>
          <w:trHeight w:hRule="atLeast"/>
        </w:trPr>
        <w:tc>
          <w:tcPr>
            <w:tcW w:type="dxa" w:w="18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Funding</w:t>
            </w:r>
          </w:p>
        </w:tc>
        <w:tc>
          <w:tcPr>
            <w:tcW w:type="dxa" w:w="496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How do source, tenor, currency, liquidity and capital constrain growth?</w:t>
            </w:r>
          </w:p>
        </w:tc>
        <w:tc>
          <w:tcPr>
            <w:tcW w:type="dxa" w:w="10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§12</w:t>
            </w:r>
          </w:p>
        </w:tc>
        <w:tc>
          <w:tcPr>
            <w:tcW w:type="dxa" w:w="266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Answered conceptually with sector evidence; company mix unavailable.</w:t>
            </w:r>
          </w:p>
        </w:tc>
      </w:tr>
      <w:tr>
        <w:trPr>
          <w:cantSplit w:val="true"/>
          <w:trHeight w:hRule="atLeast"/>
        </w:trPr>
        <w:tc>
          <w:tcPr>
            <w:tcW w:type="dxa" w:w="180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Macro</w:t>
            </w:r>
          </w:p>
        </w:tc>
        <w:tc>
          <w:tcPr>
            <w:tcW w:type="dxa" w:w="496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Which economic shocks matter and how do they transmit?</w:t>
            </w:r>
          </w:p>
        </w:tc>
        <w:tc>
          <w:tcPr>
            <w:tcW w:type="dxa" w:w="108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§12</w:t>
            </w:r>
          </w:p>
        </w:tc>
        <w:tc>
          <w:tcPr>
            <w:tcW w:type="dxa" w:w="266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Answered through transmission table and indicators.</w:t>
            </w:r>
          </w:p>
        </w:tc>
      </w:tr>
      <w:tr>
        <w:trPr>
          <w:cantSplit w:val="true"/>
          <w:trHeight w:hRule="atLeast"/>
        </w:trPr>
        <w:tc>
          <w:tcPr>
            <w:tcW w:type="dxa" w:w="18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Responsible lending</w:t>
            </w:r>
          </w:p>
        </w:tc>
        <w:tc>
          <w:tcPr>
            <w:tcW w:type="dxa" w:w="496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How should inclusion, affordability, fairness and outcomes be measured?</w:t>
            </w:r>
          </w:p>
        </w:tc>
        <w:tc>
          <w:tcPr>
            <w:tcW w:type="dxa" w:w="10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§13</w:t>
            </w:r>
          </w:p>
        </w:tc>
        <w:tc>
          <w:tcPr>
            <w:tcW w:type="dxa" w:w="266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Answered with external evidence and scorecard.</w:t>
            </w:r>
          </w:p>
        </w:tc>
      </w:tr>
      <w:tr>
        <w:trPr>
          <w:cantSplit w:val="true"/>
          <w:trHeight w:hRule="atLeast"/>
        </w:trPr>
        <w:tc>
          <w:tcPr>
            <w:tcW w:type="dxa" w:w="180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Trends</w:t>
            </w:r>
          </w:p>
        </w:tc>
        <w:tc>
          <w:tcPr>
            <w:tcW w:type="dxa" w:w="496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Which structural shifts are most important?</w:t>
            </w:r>
          </w:p>
        </w:tc>
        <w:tc>
          <w:tcPr>
            <w:tcW w:type="dxa" w:w="108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§14</w:t>
            </w:r>
          </w:p>
        </w:tc>
        <w:tc>
          <w:tcPr>
            <w:tcW w:type="dxa" w:w="266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Answered with evidence-ranked themes.</w:t>
            </w:r>
          </w:p>
        </w:tc>
      </w:tr>
      <w:tr>
        <w:trPr>
          <w:cantSplit w:val="true"/>
          <w:trHeight w:hRule="atLeast"/>
        </w:trPr>
        <w:tc>
          <w:tcPr>
            <w:tcW w:type="dxa" w:w="180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Scenarios</w:t>
            </w:r>
          </w:p>
        </w:tc>
        <w:tc>
          <w:tcPr>
            <w:tcW w:type="dxa" w:w="496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What could change through 2027–2029?</w:t>
            </w:r>
          </w:p>
        </w:tc>
        <w:tc>
          <w:tcPr>
            <w:tcW w:type="dxa" w:w="108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§14</w:t>
            </w:r>
          </w:p>
        </w:tc>
        <w:tc>
          <w:tcPr>
            <w:tcW w:type="dxa" w:w="2664"/>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Four strategic scenarios; explicitly not forecasts.</w:t>
            </w:r>
          </w:p>
        </w:tc>
      </w:tr>
      <w:tr>
        <w:trPr>
          <w:cantSplit w:val="true"/>
          <w:trHeight w:hRule="atLeast"/>
        </w:trPr>
        <w:tc>
          <w:tcPr>
            <w:tcW w:type="dxa" w:w="180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Implications</w:t>
            </w:r>
          </w:p>
        </w:tc>
        <w:tc>
          <w:tcPr>
            <w:tcW w:type="dxa" w:w="496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What should Home Credit investigate or do next?</w:t>
            </w:r>
          </w:p>
        </w:tc>
        <w:tc>
          <w:tcPr>
            <w:tcW w:type="dxa" w:w="108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§15</w:t>
            </w:r>
          </w:p>
        </w:tc>
        <w:tc>
          <w:tcPr>
            <w:tcW w:type="dxa" w:w="2664"/>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Six priorities and 90-day research plan supplied.</w:t>
            </w:r>
          </w:p>
        </w:tc>
      </w:tr>
    </w:tbl>
    <w:p>
      <w:pPr>
        <w:widowControl/>
        <w:spacing w:after="0"/>
      </w:pPr>
    </w:p>
    <w:p>
      <w:pPr>
        <w:widowControl/>
      </w:pPr>
      <w:r>
        <w:br w:type="page"/>
      </w:r>
    </w:p>
    <w:p>
      <w:pPr>
        <w:pStyle w:val="Heading1"/>
        <w:keepNext/>
        <w:widowControl/>
      </w:pPr>
      <w:r>
        <w:rPr>
          <w:color w:val="0C7C86"/>
        </w:rPr>
        <w:t xml:space="preserve">Appendix B  </w:t>
      </w:r>
      <w:r>
        <w:rPr>
          <w:color w:val="16324F"/>
        </w:rPr>
        <w:t>Data required to complete the unanswered questions</w:t>
      </w:r>
    </w:p>
    <w:p>
      <w:pPr>
        <w:pStyle w:val="SectionStrap"/>
        <w:widowControl/>
      </w:pPr>
      <w:r>
        <w:t>The minimum internal and paid-data request</w:t>
      </w:r>
    </w:p>
    <w:tbl>
      <w:tblPr>
        <w:tblW w:type="auto" w:w="0"/>
        <w:jc w:val="center"/>
        <w:tblLayout w:type="fixed"/>
        <w:tblLook w:firstColumn="1" w:firstRow="1" w:lastColumn="0" w:lastRow="0" w:noHBand="0" w:noVBand="1" w:val="04A0"/>
      </w:tblPr>
      <w:tblGrid>
        <w:gridCol w:w="2016"/>
        <w:gridCol w:w="6048"/>
        <w:gridCol w:w="2736"/>
      </w:tblGrid>
      <w:tr>
        <w:trPr>
          <w:trHeight w:hRule="atLeast"/>
          <w:tblHeader w:val="true"/>
          <w:cantSplit w:val="true"/>
        </w:trPr>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Dataset</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Grain / fields</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Questions completed</w:t>
            </w:r>
          </w:p>
        </w:tc>
      </w:tr>
      <w:tr>
        <w:trPr>
          <w:cantSplit w:val="true"/>
          <w:trHeight w:hRule="atLeast"/>
        </w:trPr>
        <w:tc>
          <w:tcPr>
            <w:tcW w:type="dxa" w:w="201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Application funnel</w:t>
            </w:r>
          </w:p>
        </w:tc>
        <w:tc>
          <w:tcPr>
            <w:tcW w:type="dxa" w:w="604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Country, legal entity, date, product, channel, partner, new/repeat, eligibility, fraud, affordability, score, policy, offer, take-up, reason</w:t>
            </w:r>
          </w:p>
        </w:tc>
        <w:tc>
          <w:tcPr>
            <w:tcW w:type="dxa" w:w="273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Demand, approval, conversion, model and partner performance</w:t>
            </w:r>
          </w:p>
        </w:tc>
      </w:tr>
      <w:tr>
        <w:trPr>
          <w:cantSplit w:val="true"/>
          <w:trHeight w:hRule="atLeast"/>
        </w:trPr>
        <w:tc>
          <w:tcPr>
            <w:tcW w:type="dxa" w:w="201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Loan/account ledger</w:t>
            </w:r>
          </w:p>
        </w:tc>
        <w:tc>
          <w:tcPr>
            <w:tcW w:type="dxa" w:w="604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Account/customer, origination, amount, limit, APR, fees, term, schedule, payments, prepayment, balance, delinquency, restructure, write-off, recovery</w:t>
            </w:r>
          </w:p>
        </w:tc>
        <w:tc>
          <w:tcPr>
            <w:tcW w:type="dxa" w:w="273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Portfolio, pricing, lifetime value and credit performance</w:t>
            </w:r>
          </w:p>
        </w:tc>
      </w:tr>
      <w:tr>
        <w:trPr>
          <w:cantSplit w:val="true"/>
          <w:trHeight w:hRule="atLeast"/>
        </w:trPr>
        <w:tc>
          <w:tcPr>
            <w:tcW w:type="dxa" w:w="201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Cost and revenue</w:t>
            </w:r>
          </w:p>
        </w:tc>
        <w:tc>
          <w:tcPr>
            <w:tcW w:type="dxa" w:w="604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Interest/fees, insurance/merchant economics, CAC, subsidy, servicing, collections, fraud, funding transfer price, capital allocation</w:t>
            </w:r>
          </w:p>
        </w:tc>
        <w:tc>
          <w:tcPr>
            <w:tcW w:type="dxa" w:w="273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Unit economics, profit pools and hurdle rates</w:t>
            </w:r>
          </w:p>
        </w:tc>
      </w:tr>
      <w:tr>
        <w:trPr>
          <w:cantSplit w:val="true"/>
          <w:trHeight w:hRule="atLeast"/>
        </w:trPr>
        <w:tc>
          <w:tcPr>
            <w:tcW w:type="dxa" w:w="201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Customer outcomes</w:t>
            </w:r>
          </w:p>
        </w:tc>
        <w:tc>
          <w:tcPr>
            <w:tcW w:type="dxa" w:w="604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Income/expense verification, payment burden, hardship, complaints, redress, vulnerability, comprehension, repeat borrowing and refinancing</w:t>
            </w:r>
          </w:p>
        </w:tc>
        <w:tc>
          <w:tcPr>
            <w:tcW w:type="dxa" w:w="273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Affordability, fairness, inclusion and conduct</w:t>
            </w:r>
          </w:p>
        </w:tc>
      </w:tr>
      <w:tr>
        <w:trPr>
          <w:cantSplit w:val="true"/>
          <w:trHeight w:hRule="atLeast"/>
        </w:trPr>
        <w:tc>
          <w:tcPr>
            <w:tcW w:type="dxa" w:w="201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Model inventory</w:t>
            </w:r>
          </w:p>
        </w:tc>
        <w:tc>
          <w:tcPr>
            <w:tcW w:type="dxa" w:w="604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Use case, entity, owner, version, features, lineage, validation, performance, bias, overrides, reason codes, incidents, vendors</w:t>
            </w:r>
          </w:p>
        </w:tc>
        <w:tc>
          <w:tcPr>
            <w:tcW w:type="dxa" w:w="273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EU AI/CCD readiness and decision governance</w:t>
            </w:r>
          </w:p>
        </w:tc>
      </w:tr>
      <w:tr>
        <w:trPr>
          <w:cantSplit w:val="true"/>
          <w:trHeight w:hRule="atLeast"/>
        </w:trPr>
        <w:tc>
          <w:tcPr>
            <w:tcW w:type="dxa" w:w="201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Funding and liquidity</w:t>
            </w:r>
          </w:p>
        </w:tc>
        <w:tc>
          <w:tcPr>
            <w:tcW w:type="dxa" w:w="604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Instrument, currency, rate, repricing, maturity, commitment, collateral, counterparty, covenant, hedge, liquidity buffer</w:t>
            </w:r>
          </w:p>
        </w:tc>
        <w:tc>
          <w:tcPr>
            <w:tcW w:type="dxa" w:w="2736"/>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Funding concentration, pricing and stress</w:t>
            </w:r>
          </w:p>
        </w:tc>
      </w:tr>
      <w:tr>
        <w:trPr>
          <w:cantSplit w:val="true"/>
          <w:trHeight w:hRule="atLeast"/>
        </w:trPr>
        <w:tc>
          <w:tcPr>
            <w:tcW w:type="dxa" w:w="201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External market panel</w:t>
            </w:r>
          </w:p>
        </w:tc>
        <w:tc>
          <w:tcPr>
            <w:tcW w:type="dxa" w:w="604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Competitor offer capture, bureau aggregates, paid market balances/originations/share, merchant universe, macro by region/employer</w:t>
            </w:r>
          </w:p>
        </w:tc>
        <w:tc>
          <w:tcPr>
            <w:tcW w:type="dxa" w:w="2736"/>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TAM, market share, competitive price and scenario calibration</w:t>
            </w:r>
          </w:p>
        </w:tc>
      </w:tr>
    </w:tbl>
    <w:p>
      <w:pPr>
        <w:widowControl/>
        <w:spacing w:after="0"/>
      </w:pPr>
    </w:p>
    <w:p>
      <w:pPr>
        <w:pStyle w:val="Heading2"/>
        <w:keepNext/>
        <w:widowControl/>
      </w:pPr>
      <w:r>
        <w:t>Required comparability rules</w:t>
      </w:r>
    </w:p>
    <w:p>
      <w:pPr>
        <w:pStyle w:val="ListBullet"/>
        <w:widowControl/>
        <w:spacing w:after="40"/>
      </w:pPr>
      <w:r>
        <w:rPr>
          <w:color w:val="182026"/>
        </w:rPr>
        <w:t>Use one reporting currency and preserve local currency; document FX date and translation method.</w:t>
      </w:r>
    </w:p>
    <w:p>
      <w:pPr>
        <w:pStyle w:val="ListBullet"/>
        <w:widowControl/>
        <w:spacing w:after="40"/>
      </w:pPr>
      <w:r>
        <w:rPr>
          <w:color w:val="182026"/>
        </w:rPr>
        <w:t>Separate originations (flow), outstanding receivables (stock), customers, accounts and applications.</w:t>
      </w:r>
    </w:p>
    <w:p>
      <w:pPr>
        <w:pStyle w:val="ListBullet"/>
        <w:widowControl/>
        <w:spacing w:after="40"/>
      </w:pPr>
      <w:r>
        <w:rPr>
          <w:color w:val="182026"/>
        </w:rPr>
        <w:t>Use consistent default, forbearance, write-off, recovery and NPL definitions—or publish a bridge.</w:t>
      </w:r>
    </w:p>
    <w:p>
      <w:pPr>
        <w:pStyle w:val="ListBullet"/>
        <w:widowControl/>
        <w:spacing w:after="40"/>
      </w:pPr>
      <w:r>
        <w:rPr>
          <w:color w:val="182026"/>
        </w:rPr>
        <w:t>Report gross and net economics, including merchant subsidy, insurance, fraud, funding and capital.</w:t>
      </w:r>
    </w:p>
    <w:p>
      <w:pPr>
        <w:pStyle w:val="ListBullet"/>
        <w:widowControl/>
        <w:spacing w:after="40"/>
      </w:pPr>
      <w:r>
        <w:rPr>
          <w:color w:val="182026"/>
        </w:rPr>
        <w:t>Segment new versus repeat customers and fixed-term versus revolving exposure.</w:t>
      </w:r>
    </w:p>
    <w:p>
      <w:pPr>
        <w:pStyle w:val="ListBullet"/>
        <w:widowControl/>
        <w:spacing w:after="40"/>
      </w:pPr>
      <w:r>
        <w:rPr>
          <w:color w:val="182026"/>
        </w:rPr>
        <w:t>Version every policy, model, price and partner contract so cohort outcomes can be reconstructed.</w:t>
      </w:r>
    </w:p>
    <w:p>
      <w:pPr>
        <w:pStyle w:val="Heading2"/>
        <w:keepNext/>
        <w:widowControl/>
      </w:pPr>
      <w:r>
        <w:t>Minimum viable analyses</w:t>
      </w:r>
    </w:p>
    <w:tbl>
      <w:tblPr>
        <w:tblW w:type="auto" w:w="0"/>
        <w:jc w:val="center"/>
        <w:tblLayout w:type="fixed"/>
        <w:tblLook w:firstColumn="1" w:firstRow="1" w:lastColumn="0" w:lastRow="0" w:noHBand="0" w:noVBand="1" w:val="04A0"/>
      </w:tblPr>
      <w:tblGrid>
        <w:gridCol w:w="2088"/>
        <w:gridCol w:w="5472"/>
        <w:gridCol w:w="3240"/>
      </w:tblGrid>
      <w:tr>
        <w:trPr>
          <w:trHeight w:hRule="atLeast"/>
          <w:tblHeader w:val="true"/>
          <w:cantSplit w:val="true"/>
        </w:trPr>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Analysis</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Design</w:t>
            </w:r>
          </w:p>
        </w:tc>
        <w:tc>
          <w:tcPr>
            <w:tcW w:type="dxa" w:w="3389"/>
            <w:shd w:fill="16324F"/>
            <w:tcMar>
              <w:top w:w="70" w:type="dxa"/>
              <w:start w:w="90" w:type="dxa"/>
              <w:bottom w:w="70" w:type="dxa"/>
              <w:end w:w="90" w:type="dxa"/>
            </w:tcMar>
            <w:vAlign w:val="center"/>
            <w:tcBorders>
              <w:top w:val="single" w:sz="3" w:color="E5E9EC"/>
              <w:left w:val="single" w:sz="3" w:color="E5E9EC"/>
              <w:bottom w:val="single" w:sz="3" w:color="E5E9EC"/>
              <w:right w:val="single" w:sz="3" w:color="E5E9EC"/>
            </w:tcBorders>
          </w:tcPr>
          <w:p>
            <w:pPr>
              <w:spacing w:after="0"/>
            </w:pPr>
            <w:r>
              <w:rPr>
                <w:b/>
                <w:color w:val="FFFFFF"/>
                <w:sz w:val="15"/>
              </w:rPr>
              <w:t>Decision rule</w:t>
            </w:r>
          </w:p>
        </w:tc>
      </w:tr>
      <w:tr>
        <w:trPr>
          <w:cantSplit w:val="true"/>
          <w:trHeight w:hRule="atLeast"/>
        </w:trPr>
        <w:tc>
          <w:tcPr>
            <w:tcW w:type="dxa" w:w="208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Vintage contribution</w:t>
            </w:r>
          </w:p>
        </w:tc>
        <w:tc>
          <w:tcPr>
            <w:tcW w:type="dxa" w:w="547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Monthly cohort × product × channel × new/repeat; actual and forecast loss; marginal funding</w:t>
            </w:r>
          </w:p>
        </w:tc>
        <w:tc>
          <w:tcPr>
            <w:tcW w:type="dxa" w:w="324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Scale only cells clearing hurdle under base and downside</w:t>
            </w:r>
          </w:p>
        </w:tc>
      </w:tr>
      <w:tr>
        <w:trPr>
          <w:cantSplit w:val="true"/>
          <w:trHeight w:hRule="atLeast"/>
        </w:trPr>
        <w:tc>
          <w:tcPr>
            <w:tcW w:type="dxa" w:w="208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Partner incrementality</w:t>
            </w:r>
          </w:p>
        </w:tc>
        <w:tc>
          <w:tcPr>
            <w:tcW w:type="dxa" w:w="547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Matched control or phased rollout; total economics and customer outcomes</w:t>
            </w:r>
          </w:p>
        </w:tc>
        <w:tc>
          <w:tcPr>
            <w:tcW w:type="dxa" w:w="324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Renew/grow only where incremental contribution survives concentration stress</w:t>
            </w:r>
          </w:p>
        </w:tc>
      </w:tr>
      <w:tr>
        <w:trPr>
          <w:cantSplit w:val="true"/>
          <w:trHeight w:hRule="atLeast"/>
        </w:trPr>
        <w:tc>
          <w:tcPr>
            <w:tcW w:type="dxa" w:w="208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Affordability validation</w:t>
            </w:r>
          </w:p>
        </w:tc>
        <w:tc>
          <w:tcPr>
            <w:tcW w:type="dxa" w:w="547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Back-test verified income/expense assumptions against early arrears and hardship</w:t>
            </w:r>
          </w:p>
        </w:tc>
        <w:tc>
          <w:tcPr>
            <w:tcW w:type="dxa" w:w="324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Tighten or redesign where affordable-at-origination evidence does not predict sustainable payment</w:t>
            </w:r>
          </w:p>
        </w:tc>
      </w:tr>
      <w:tr>
        <w:trPr>
          <w:cantSplit w:val="true"/>
          <w:trHeight w:hRule="atLeast"/>
        </w:trPr>
        <w:tc>
          <w:tcPr>
            <w:tcW w:type="dxa" w:w="2088"/>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Collections treatment</w:t>
            </w:r>
          </w:p>
        </w:tc>
        <w:tc>
          <w:tcPr>
            <w:tcW w:type="dxa" w:w="5472"/>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Randomized or quasi-experimental treatments with vulnerability exclusions</w:t>
            </w:r>
          </w:p>
        </w:tc>
        <w:tc>
          <w:tcPr>
            <w:tcW w:type="dxa" w:w="3240"/>
            <w:shd w:fill="F4F8FA"/>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Adopt treatments improving durable cure after cost without worse harm</w:t>
            </w:r>
          </w:p>
        </w:tc>
      </w:tr>
      <w:tr>
        <w:trPr>
          <w:cantSplit w:val="true"/>
          <w:trHeight w:hRule="atLeast"/>
        </w:trPr>
        <w:tc>
          <w:tcPr>
            <w:tcW w:type="dxa" w:w="2088"/>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Model change</w:t>
            </w:r>
          </w:p>
        </w:tc>
        <w:tc>
          <w:tcPr>
            <w:tcW w:type="dxa" w:w="5472"/>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Champion/challenger, out-of-time and subgroup tests; reason-code review</w:t>
            </w:r>
          </w:p>
        </w:tc>
        <w:tc>
          <w:tcPr>
            <w:tcW w:type="dxa" w:w="3240"/>
            <w:tcMar>
              <w:top w:w="70" w:type="dxa"/>
              <w:start w:w="90" w:type="dxa"/>
              <w:bottom w:w="70" w:type="dxa"/>
              <w:end w:w="90" w:type="dxa"/>
            </w:tcMar>
            <w:vAlign w:val="top"/>
            <w:tcBorders>
              <w:top w:val="single" w:sz="3" w:color="E5E9EC"/>
              <w:left w:val="single" w:sz="3" w:color="E5E9EC"/>
              <w:bottom w:val="single" w:sz="3" w:color="E5E9EC"/>
              <w:right w:val="single" w:sz="3" w:color="E5E9EC"/>
            </w:tcBorders>
          </w:tcPr>
          <w:p>
            <w:pPr>
              <w:spacing w:after="0"/>
            </w:pPr>
            <w:r>
              <w:rPr>
                <w:color w:val="182026"/>
                <w:sz w:val="15"/>
              </w:rPr>
              <w:t>Deploy only with documented incremental value and controlled disparity</w:t>
            </w:r>
          </w:p>
        </w:tc>
      </w:tr>
    </w:tbl>
    <w:p>
      <w:pPr>
        <w:widowControl/>
        <w:spacing w:after="0"/>
      </w:pPr>
    </w:p>
    <w:p>
      <w:pPr>
        <w:widowControl/>
      </w:pPr>
      <w:r>
        <w:br w:type="page"/>
      </w:r>
    </w:p>
    <w:p>
      <w:pPr>
        <w:pStyle w:val="Heading1"/>
        <w:keepNext/>
        <w:widowControl/>
      </w:pPr>
      <w:r>
        <w:rPr>
          <w:color w:val="0C7C86"/>
        </w:rPr>
        <w:t xml:space="preserve">Appendix C  </w:t>
      </w:r>
      <w:r>
        <w:rPr>
          <w:color w:val="16324F"/>
        </w:rPr>
        <w:t>Source register</w:t>
      </w:r>
    </w:p>
    <w:p>
      <w:pPr>
        <w:pStyle w:val="SectionStrap"/>
        <w:widowControl/>
      </w:pPr>
      <w:r>
        <w:t>Direct URLs for every factual claim</w:t>
      </w:r>
    </w:p>
    <w:p>
      <w:pPr>
        <w:keepLines w:val="0"/>
        <w:widowControl/>
        <w:spacing w:after="100"/>
      </w:pPr>
      <w:r>
        <w:rPr>
          <w:color w:val="182026"/>
        </w:rPr>
        <w:t>All sources were accessed or rechecked for this report by 15 September 2026. URLs below are the direct pages or files used. Company releases are not treated as independent verification; market-research demos and trade press are used with explicit limitations.</w:t>
      </w:r>
    </w:p>
    <w:p>
      <w:pPr>
        <w:pStyle w:val="SourceEntry"/>
        <w:widowControl/>
      </w:pPr>
      <w:r>
        <w:rPr>
          <w:b/>
          <w:color w:val="16324F"/>
        </w:rPr>
        <w:t>S01  Home Credit International — Contacts and market websites</w:t>
        <w:br/>
      </w:r>
      <w:r>
        <w:rPr>
          <w:color w:val="65727C"/>
        </w:rPr>
        <w:t>Home Credit International • current page</w:t>
        <w:br/>
      </w:r>
      <w:hyperlink r:id="rId11">
        <w:r>
          <w:rPr>
            <w:color w:val="1F5A7A"/>
            <w:u w:val="single"/>
            <w:sz w:val="16"/>
          </w:rPr>
          <w:t>https://www.homecredit.net/contacts.aspx/</w:t>
        </w:r>
      </w:hyperlink>
      <w:r>
        <w:br/>
        <w:t>Supports: Current publicly listed operating-market websites: Czech Republic, Slovak Republic and Vietnam.</w:t>
      </w:r>
    </w:p>
    <w:p>
      <w:pPr>
        <w:pStyle w:val="SourceEntry"/>
        <w:widowControl/>
      </w:pPr>
      <w:r>
        <w:rPr>
          <w:b/>
          <w:color w:val="16324F"/>
        </w:rPr>
        <w:t>S02  About us</w:t>
        <w:br/>
      </w:r>
      <w:r>
        <w:rPr>
          <w:color w:val="65727C"/>
        </w:rPr>
        <w:t>Home Credit International • current page</w:t>
        <w:br/>
      </w:r>
      <w:hyperlink r:id="rId15">
        <w:r>
          <w:rPr>
            <w:color w:val="1F5A7A"/>
            <w:u w:val="single"/>
            <w:sz w:val="16"/>
          </w:rPr>
          <w:t>https://www.homecredit.net/about-us.aspx/</w:t>
        </w:r>
      </w:hyperlink>
      <w:r>
        <w:br/>
        <w:t>Supports: Home Credit's stated model, customer focus, product capabilities, partner ecosystems and technology orientation.</w:t>
      </w:r>
    </w:p>
    <w:p>
      <w:pPr>
        <w:pStyle w:val="SourceEntry"/>
        <w:widowControl/>
      </w:pPr>
      <w:r>
        <w:rPr>
          <w:b/>
          <w:color w:val="16324F"/>
        </w:rPr>
        <w:t>S03  Home Credit company profile</w:t>
        <w:br/>
      </w:r>
      <w:r>
        <w:rPr>
          <w:color w:val="65727C"/>
        </w:rPr>
        <w:t>PPF Group • current page</w:t>
        <w:br/>
      </w:r>
      <w:hyperlink r:id="rId16">
        <w:r>
          <w:rPr>
            <w:color w:val="1F5A7A"/>
            <w:u w:val="single"/>
            <w:sz w:val="16"/>
          </w:rPr>
          <w:t>https://www.ppf.eu/en/our-companies/home-credit</w:t>
        </w:r>
      </w:hyperlink>
      <w:r>
        <w:br/>
        <w:t>Supports: Home Credit product families, omnichannel distribution, analytics capabilities and parent-company description.</w:t>
      </w:r>
    </w:p>
    <w:p>
      <w:pPr>
        <w:pStyle w:val="SourceEntry"/>
        <w:widowControl/>
      </w:pPr>
      <w:r>
        <w:rPr>
          <w:b/>
          <w:color w:val="16324F"/>
        </w:rPr>
        <w:t>S04  Home Credit in the Czech Republic and Slovakia increased its loan portfolio in 2025</w:t>
        <w:br/>
      </w:r>
      <w:r>
        <w:rPr>
          <w:color w:val="65727C"/>
        </w:rPr>
        <w:t>Home Credit Czech Republic • 2026</w:t>
        <w:br/>
      </w:r>
      <w:hyperlink r:id="rId20">
        <w:r>
          <w:rPr>
            <w:color w:val="1F5A7A"/>
            <w:u w:val="single"/>
            <w:sz w:val="16"/>
          </w:rPr>
          <w:t>https://www.homecredit.cz/tiskove-zpravy/home-credit-v-cesku-a-na-slovensku-v-roce-2025-zvysil-uverove-portfolio-o-4-2-miliardy-korun</w:t>
        </w:r>
      </w:hyperlink>
      <w:r>
        <w:br/>
        <w:t>Supports: 2025 Czech and combined Czech-Slovak originations, portfolio, customers, app adoption, digital completion and regulatory status.</w:t>
      </w:r>
    </w:p>
    <w:p>
      <w:pPr>
        <w:pStyle w:val="SourceEntry"/>
        <w:widowControl/>
      </w:pPr>
      <w:r>
        <w:rPr>
          <w:b/>
          <w:color w:val="16324F"/>
        </w:rPr>
        <w:t>S05  Home Credit in Slovakia and the Czech Republic increased its loan portfolio in 2025</w:t>
        <w:br/>
      </w:r>
      <w:r>
        <w:rPr>
          <w:color w:val="65727C"/>
        </w:rPr>
        <w:t>Home Credit Slovakia • 2026</w:t>
        <w:br/>
      </w:r>
      <w:hyperlink r:id="rId21">
        <w:r>
          <w:rPr>
            <w:color w:val="1F5A7A"/>
            <w:u w:val="single"/>
            <w:sz w:val="16"/>
          </w:rPr>
          <w:t>https://www.homecredit.sk/tlacove-spravy/home-credit-na-slovensku-a-v-cesku-zvysil-v-roku-2025-uverove-portfolio-o-vyse-172-milionov-eur</w:t>
        </w:r>
      </w:hyperlink>
      <w:r>
        <w:br/>
        <w:t>Supports: 2025 Slovak originations, portfolio, customers, app adoption and Slovak regulatory status.</w:t>
      </w:r>
    </w:p>
    <w:p>
      <w:pPr>
        <w:pStyle w:val="SourceEntry"/>
        <w:widowControl/>
      </w:pPr>
      <w:r>
        <w:rPr>
          <w:b/>
          <w:color w:val="16324F"/>
        </w:rPr>
        <w:t>S06  Classic loan product page</w:t>
        <w:br/>
      </w:r>
      <w:r>
        <w:rPr>
          <w:color w:val="65727C"/>
        </w:rPr>
        <w:t>Home Credit Czech Republic • accessed 2026-09-15</w:t>
        <w:br/>
      </w:r>
      <w:hyperlink r:id="rId28">
        <w:r>
          <w:rPr>
            <w:color w:val="1F5A7A"/>
            <w:u w:val="single"/>
            <w:sz w:val="16"/>
          </w:rPr>
          <w:t>https://www.homecredit.cz/klasicka-pujcka</w:t>
        </w:r>
      </w:hyperlink>
      <w:r>
        <w:br/>
        <w:t>Supports: Current advertised Czech loan size, term, interest-rate, APR and fee ranges.</w:t>
      </w:r>
    </w:p>
    <w:p>
      <w:pPr>
        <w:pStyle w:val="SourceEntry"/>
        <w:widowControl/>
      </w:pPr>
      <w:r>
        <w:rPr>
          <w:b/>
          <w:color w:val="16324F"/>
        </w:rPr>
        <w:t>S07  Classic loan product page</w:t>
        <w:br/>
      </w:r>
      <w:r>
        <w:rPr>
          <w:color w:val="65727C"/>
        </w:rPr>
        <w:t>Home Credit Slovakia • accessed 2026-09-15</w:t>
        <w:br/>
      </w:r>
      <w:hyperlink r:id="rId29">
        <w:r>
          <w:rPr>
            <w:color w:val="1F5A7A"/>
            <w:u w:val="single"/>
            <w:sz w:val="16"/>
          </w:rPr>
          <w:t>https://www.homecredit.sk/klasicka-pozicka</w:t>
        </w:r>
      </w:hyperlink>
      <w:r>
        <w:br/>
        <w:t>Supports: Current advertised Slovak loan size, term, interest-rate, APR and fee ranges.</w:t>
      </w:r>
    </w:p>
    <w:p>
      <w:pPr>
        <w:pStyle w:val="SourceEntry"/>
        <w:widowControl/>
      </w:pPr>
      <w:r>
        <w:rPr>
          <w:b/>
          <w:color w:val="16324F"/>
        </w:rPr>
        <w:t>S08  Home Credit Vietnam publishes Sustainability Report 2025</w:t>
        <w:br/>
      </w:r>
      <w:r>
        <w:rPr>
          <w:color w:val="65727C"/>
        </w:rPr>
        <w:t>Home Credit Vietnam • 2026</w:t>
        <w:br/>
      </w:r>
      <w:hyperlink r:id="rId30">
        <w:r>
          <w:rPr>
            <w:color w:val="1F5A7A"/>
            <w:u w:val="single"/>
            <w:sz w:val="16"/>
          </w:rPr>
          <w:t>https://www.homecredit.vn/sustainability/home-credit-viet-nam-cong-bo-bao-cao-phat-trien-ben-vung-2025</w:t>
        </w:r>
      </w:hyperlink>
      <w:r>
        <w:br/>
        <w:t>Supports: Home Credit Vietnam's sustainability disclosures and responsible-finance program.</w:t>
      </w:r>
    </w:p>
    <w:p>
      <w:pPr>
        <w:pStyle w:val="SourceEntry"/>
        <w:widowControl/>
      </w:pPr>
      <w:r>
        <w:rPr>
          <w:b/>
          <w:color w:val="16324F"/>
        </w:rPr>
        <w:t>S09  Home Credit Vietnam releases 2025 Sustainability Report</w:t>
        <w:br/>
      </w:r>
      <w:r>
        <w:rPr>
          <w:color w:val="65727C"/>
        </w:rPr>
        <w:t>Vietnam Business Council for Sustainable Development • 2026</w:t>
        <w:br/>
      </w:r>
      <w:hyperlink r:id="rId22">
        <w:r>
          <w:rPr>
            <w:color w:val="1F5A7A"/>
            <w:u w:val="single"/>
            <w:sz w:val="16"/>
          </w:rPr>
          <w:t>https://vbcsd.vn/en/detail.asp?id=5055</w:t>
        </w:r>
      </w:hyperlink>
      <w:r>
        <w:br/>
        <w:t>Supports: Restatement of Home Credit Vietnam's disclosed customer inclusion, financial-literacy, EV-finance, AI and NPL metrics.</w:t>
      </w:r>
    </w:p>
    <w:p>
      <w:pPr>
        <w:pStyle w:val="SourceEntry"/>
        <w:widowControl/>
      </w:pPr>
      <w:r>
        <w:rPr>
          <w:b/>
          <w:color w:val="16324F"/>
        </w:rPr>
        <w:t>S10  FE Credit loses momentum as VietCredit surges in Vietnam's consumer finance market</w:t>
        <w:br/>
      </w:r>
      <w:r>
        <w:rPr>
          <w:color w:val="65727C"/>
        </w:rPr>
        <w:t>Tuoi Tre News • 2026-09-06</w:t>
        <w:br/>
      </w:r>
      <w:hyperlink r:id="rId23">
        <w:r>
          <w:rPr>
            <w:color w:val="1F5A7A"/>
            <w:u w:val="single"/>
            <w:sz w:val="16"/>
          </w:rPr>
          <w:t>https://news.tuoitre.vn/fe-credit-loses-momentum-as-vietcredit-surges-in-vietnams-consumer-finance-market-103260906163522642.htm</w:t>
        </w:r>
      </w:hyperlink>
      <w:r>
        <w:br/>
        <w:t>Supports: H1 2026 profit comparison for six Vietnamese finance companies and provisioning divergence.</w:t>
      </w:r>
    </w:p>
    <w:p>
      <w:pPr>
        <w:pStyle w:val="SourceEntry"/>
        <w:widowControl/>
      </w:pPr>
      <w:r>
        <w:rPr>
          <w:b/>
          <w:color w:val="16324F"/>
        </w:rPr>
        <w:t>S11  Vietnam Consumer Finance Market 1H2025 — demo report</w:t>
        <w:br/>
      </w:r>
      <w:r>
        <w:rPr>
          <w:color w:val="65727C"/>
        </w:rPr>
        <w:t>FiinGroup • 2025</w:t>
        <w:br/>
      </w:r>
      <w:hyperlink r:id="rId19">
        <w:r>
          <w:rPr>
            <w:color w:val="1F5A7A"/>
            <w:u w:val="single"/>
            <w:sz w:val="16"/>
          </w:rPr>
          <w:t>https://fiingroup.vn/upload/docs/FiinGroup_Consumer%20Finance%20Market%201H2025_DEMO.pdf</w:t>
        </w:r>
      </w:hyperlink>
      <w:r>
        <w:br/>
        <w:t>Supports: Vietnam market definition, named finance-company set, product-mix direction, competitive recovery and emerging partnership/EV themes; exact market figures are redacted in the demo.</w:t>
      </w:r>
    </w:p>
    <w:p>
      <w:pPr>
        <w:pStyle w:val="SourceEntry"/>
        <w:widowControl/>
      </w:pPr>
      <w:r>
        <w:rPr>
          <w:b/>
          <w:color w:val="16324F"/>
        </w:rPr>
        <w:t>S12  Vietnam Consumer Finance Market Report 2025</w:t>
        <w:br/>
      </w:r>
      <w:r>
        <w:rPr>
          <w:color w:val="65727C"/>
        </w:rPr>
        <w:t>FiinResearch • 2025</w:t>
        <w:br/>
      </w:r>
      <w:hyperlink r:id="rId35">
        <w:r>
          <w:rPr>
            <w:color w:val="1F5A7A"/>
            <w:u w:val="single"/>
            <w:sz w:val="16"/>
          </w:rPr>
          <w:t>https://fiinresearch.vn/Store/ReportDetails?id=221412</w:t>
        </w:r>
      </w:hyperlink>
      <w:r>
        <w:br/>
        <w:t>Supports: Market-recovery narrative, digital innovation, domestic-consumption drivers and trade/employment risk; detailed datasets require purchase.</w:t>
      </w:r>
    </w:p>
    <w:p>
      <w:pPr>
        <w:pStyle w:val="SourceEntry"/>
        <w:widowControl/>
      </w:pPr>
      <w:r>
        <w:rPr>
          <w:b/>
          <w:color w:val="16324F"/>
        </w:rPr>
        <w:t>S13  Quarterly aggregated balance sheet of financial corporations engaged in lending</w:t>
        <w:br/>
      </w:r>
      <w:r>
        <w:rPr>
          <w:color w:val="65727C"/>
        </w:rPr>
        <w:t>Czech National Bank • 2026-06-30</w:t>
        <w:br/>
      </w:r>
      <w:hyperlink r:id="rId12">
        <w:r>
          <w:rPr>
            <w:color w:val="1F5A7A"/>
            <w:u w:val="single"/>
            <w:sz w:val="16"/>
          </w:rPr>
          <w:t>https://www.cnb.cz/en/statistics/money_and_banking_stat/harm_stat_data/commentary-on-the-quarterly-aggregated-balance-sheet-of-financial-corporations-engaged-in-lending/</w:t>
        </w:r>
      </w:hyperlink>
      <w:r>
        <w:br/>
        <w:t>Supports: Czech broad nonbank-lending assets, loans and household-loan balances at June 2026; scope includes leasing, factoring and other lenders.</w:t>
      </w:r>
    </w:p>
    <w:p>
      <w:pPr>
        <w:pStyle w:val="SourceEntry"/>
        <w:widowControl/>
      </w:pPr>
      <w:r>
        <w:rPr>
          <w:b/>
          <w:color w:val="16324F"/>
        </w:rPr>
        <w:t>S14  Czech Leasing and Finance Association homepage — current market statistics</w:t>
        <w:br/>
      </w:r>
      <w:r>
        <w:rPr>
          <w:color w:val="65727C"/>
        </w:rPr>
        <w:t>Czech Leasing and Finance Association • accessed 2026-09-15</w:t>
        <w:br/>
      </w:r>
      <w:hyperlink r:id="rId34">
        <w:r>
          <w:rPr>
            <w:color w:val="1F5A7A"/>
            <w:u w:val="single"/>
            <w:sz w:val="16"/>
          </w:rPr>
          <w:t>https://www.clfa.cz/</w:t>
        </w:r>
      </w:hyperlink>
      <w:r>
        <w:br/>
        <w:t>Supports: H1 2026 member consumer-finance volumes and product-mix direction.</w:t>
      </w:r>
    </w:p>
    <w:p>
      <w:pPr>
        <w:pStyle w:val="SourceEntry"/>
        <w:widowControl/>
      </w:pPr>
      <w:r>
        <w:rPr>
          <w:b/>
          <w:color w:val="16324F"/>
        </w:rPr>
        <w:t>S15  Report on Financial Market Developments in 2025</w:t>
        <w:br/>
      </w:r>
      <w:r>
        <w:rPr>
          <w:color w:val="65727C"/>
        </w:rPr>
        <w:t>Ministry of Finance of the Czech Republic • 2026-08-18</w:t>
        <w:br/>
      </w:r>
      <w:hyperlink r:id="rId33">
        <w:r>
          <w:rPr>
            <w:color w:val="1F5A7A"/>
            <w:u w:val="single"/>
            <w:sz w:val="16"/>
          </w:rPr>
          <w:t>https://mf.gov.cz/assets/attachments/2026-08-18_Report-on-Financial-Market-Developments-in-2025.pdf</w:t>
        </w:r>
      </w:hyperlink>
      <w:r>
        <w:br/>
        <w:t>Supports: Czech macroeconomy, household debt, consumer-purpose loans, rates and broad nonbank-financing metrics.</w:t>
      </w:r>
    </w:p>
    <w:p>
      <w:pPr>
        <w:pStyle w:val="SourceEntry"/>
        <w:widowControl/>
      </w:pPr>
      <w:r>
        <w:rPr>
          <w:b/>
          <w:color w:val="16324F"/>
        </w:rPr>
        <w:t>S16  Statistical Bulletin Q1 2026 — financial corporations engaged in lending</w:t>
        <w:br/>
      </w:r>
      <w:r>
        <w:rPr>
          <w:color w:val="65727C"/>
        </w:rPr>
        <w:t>National Bank of Slovakia • 2026</w:t>
        <w:br/>
      </w:r>
      <w:hyperlink r:id="rId13">
        <w:r>
          <w:rPr>
            <w:color w:val="1F5A7A"/>
            <w:u w:val="single"/>
            <w:sz w:val="16"/>
          </w:rPr>
          <w:t>https://nbs.sk/dokument/28ae42af-67df-43c6-8eee-dde10109ce35/stiahnut/?force=true</w:t>
        </w:r>
      </w:hyperlink>
      <w:r>
        <w:br/>
        <w:t>Supports: Slovak consumer-credit-company asset growth and client mix, plus funding structure for the broader financial-corporations-engaged-in-lending sector.</w:t>
      </w:r>
    </w:p>
    <w:p>
      <w:pPr>
        <w:pStyle w:val="SourceEntry"/>
        <w:widowControl/>
      </w:pPr>
      <w:r>
        <w:rPr>
          <w:b/>
          <w:color w:val="16324F"/>
        </w:rPr>
        <w:t>S17  List of reporting companies for 2026</w:t>
        <w:br/>
      </w:r>
      <w:r>
        <w:rPr>
          <w:color w:val="65727C"/>
        </w:rPr>
        <w:t>National Bank of Slovakia • 2026</w:t>
        <w:br/>
      </w:r>
      <w:hyperlink r:id="rId38">
        <w:r>
          <w:rPr>
            <w:color w:val="1F5A7A"/>
            <w:u w:val="single"/>
            <w:sz w:val="16"/>
          </w:rPr>
          <w:t>https://nbs.sk/dokument/72dc0bf3-1d4c-455f-8446-6da828dbc5e8/stiahnut/?force=true</w:t>
        </w:r>
      </w:hyperlink>
      <w:r>
        <w:br/>
        <w:t>Supports: Named Slovak reporting companies classified as consumer-credit companies.</w:t>
      </w:r>
    </w:p>
    <w:p>
      <w:pPr>
        <w:pStyle w:val="SourceEntry"/>
        <w:widowControl/>
      </w:pPr>
      <w:r>
        <w:rPr>
          <w:b/>
          <w:color w:val="16324F"/>
        </w:rPr>
        <w:t>S18  Circular 43/2016/TT-NHNN on consumer lending by finance companies</w:t>
        <w:br/>
      </w:r>
      <w:r>
        <w:rPr>
          <w:color w:val="65727C"/>
        </w:rPr>
        <w:t>State Bank of Vietnam / English legal-text copy • 2016</w:t>
        <w:br/>
      </w:r>
      <w:hyperlink r:id="rId14">
        <w:r>
          <w:rPr>
            <w:color w:val="1F5A7A"/>
            <w:u w:val="single"/>
            <w:sz w:val="16"/>
          </w:rPr>
          <w:t>https://static.luatvietnam.vn/lawdataen/2016/56331_43-2016-tt-nhnn.doc</w:t>
        </w:r>
      </w:hyperlink>
      <w:r>
        <w:br/>
        <w:t>Supports: Vietnamese legal framework for consumer lending by finance companies.</w:t>
      </w:r>
    </w:p>
    <w:p>
      <w:pPr>
        <w:pStyle w:val="SourceEntry"/>
        <w:widowControl/>
      </w:pPr>
      <w:r>
        <w:rPr>
          <w:b/>
          <w:color w:val="16324F"/>
        </w:rPr>
        <w:t>S19  Responsible Digital Credit: Frontier Solutions for Authorities and Providers</w:t>
        <w:br/>
      </w:r>
      <w:r>
        <w:rPr>
          <w:color w:val="65727C"/>
        </w:rPr>
        <w:t>World Bank and CGAP • 2025-07</w:t>
        <w:br/>
      </w:r>
      <w:hyperlink r:id="rId17">
        <w:r>
          <w:rPr>
            <w:color w:val="1F5A7A"/>
            <w:u w:val="single"/>
            <w:sz w:val="16"/>
          </w:rPr>
          <w:t>https://documents1.worldbank.org/curated/en/099072425135514500/pdf/P181316-72eed651-b7c2-4137-a1f0-a00c3e1efede.pdf</w:t>
        </w:r>
      </w:hyperlink>
      <w:r>
        <w:br/>
        <w:t>Supports: Digital-credit benefits and harms, alternative data, AI, ecosystem fragmentation, responsible collections and lifecycle controls.</w:t>
      </w:r>
    </w:p>
    <w:p>
      <w:pPr>
        <w:pStyle w:val="SourceEntry"/>
        <w:widowControl/>
      </w:pPr>
      <w:r>
        <w:rPr>
          <w:b/>
          <w:color w:val="16324F"/>
        </w:rPr>
        <w:t>S20  Global Findex Database 2025</w:t>
        <w:br/>
      </w:r>
      <w:r>
        <w:rPr>
          <w:color w:val="65727C"/>
        </w:rPr>
        <w:t>World Bank • 2025</w:t>
        <w:br/>
      </w:r>
      <w:hyperlink r:id="rId31">
        <w:r>
          <w:rPr>
            <w:color w:val="1F5A7A"/>
            <w:u w:val="single"/>
            <w:sz w:val="16"/>
          </w:rPr>
          <w:t>https://www.worldbank.org/en/publication/globalfindex</w:t>
        </w:r>
      </w:hyperlink>
      <w:r>
        <w:br/>
        <w:t>Supports: Authoritative demand-side financial-inclusion dataset and methodology.</w:t>
      </w:r>
    </w:p>
    <w:p>
      <w:pPr>
        <w:pStyle w:val="SourceEntry"/>
        <w:widowControl/>
      </w:pPr>
      <w:r>
        <w:rPr>
          <w:b/>
          <w:color w:val="16324F"/>
        </w:rPr>
        <w:t>S21  Digital technology is unlocking financial inclusion</w:t>
        <w:br/>
      </w:r>
      <w:r>
        <w:rPr>
          <w:color w:val="65727C"/>
        </w:rPr>
        <w:t>World Bank Blogs • 2025</w:t>
        <w:br/>
      </w:r>
      <w:hyperlink r:id="rId32">
        <w:r>
          <w:rPr>
            <w:color w:val="1F5A7A"/>
            <w:u w:val="single"/>
            <w:sz w:val="16"/>
          </w:rPr>
          <w:t>https://blogs.worldbank.org/en/developmenttalk/digital-technology-is-unlocking-financial-inclusion</w:t>
        </w:r>
      </w:hyperlink>
      <w:r>
        <w:br/>
        <w:t>Supports: 2024 global account ownership, unbanked-adult, mobile-ownership, formal-saving and digital-payment indicators from Global Findex 2025.</w:t>
      </w:r>
    </w:p>
    <w:p>
      <w:pPr>
        <w:pStyle w:val="SourceEntry"/>
        <w:widowControl/>
      </w:pPr>
      <w:r>
        <w:rPr>
          <w:b/>
          <w:color w:val="16324F"/>
        </w:rPr>
        <w:t>S22  Regulating and supervising the financing of non-financial firms and households by non-banks</w:t>
        <w:br/>
      </w:r>
      <w:r>
        <w:rPr>
          <w:color w:val="65727C"/>
        </w:rPr>
        <w:t>Bank for International Settlements — Financial Stability Institute • 2024</w:t>
        <w:br/>
      </w:r>
      <w:hyperlink r:id="rId18">
        <w:r>
          <w:rPr>
            <w:color w:val="1F5A7A"/>
            <w:u w:val="single"/>
            <w:sz w:val="16"/>
          </w:rPr>
          <w:t>https://www.bis.org/fsi/publ/insights56.htm</w:t>
        </w:r>
      </w:hyperlink>
      <w:r>
        <w:br/>
        <w:t>Supports: Nonbank retail-lender taxonomy; credit, liquidity, leverage and interconnectedness risks; regulatory and data gaps.</w:t>
      </w:r>
    </w:p>
    <w:p>
      <w:pPr>
        <w:pStyle w:val="SourceEntry"/>
        <w:widowControl/>
      </w:pPr>
      <w:r>
        <w:rPr>
          <w:b/>
          <w:color w:val="16324F"/>
        </w:rPr>
        <w:t>S23  Directive (EU) 2023/2225 on credit agreements for consumers</w:t>
        <w:br/>
      </w:r>
      <w:r>
        <w:rPr>
          <w:color w:val="65727C"/>
        </w:rPr>
        <w:t>EUR-Lex • 2023; national measures apply from 2026-11-20</w:t>
        <w:br/>
      </w:r>
      <w:hyperlink r:id="rId24">
        <w:r>
          <w:rPr>
            <w:color w:val="1F5A7A"/>
            <w:u w:val="single"/>
            <w:sz w:val="16"/>
          </w:rPr>
          <w:t>https://eur-lex.europa.eu/eli/dir/2023/2225/oj/eng</w:t>
        </w:r>
      </w:hyperlink>
      <w:r>
        <w:br/>
        <w:t>Supports: Expanded EU consumer-credit scope, creditworthiness requirements, automated-decision rights, price-control measures and forbearance.</w:t>
      </w:r>
    </w:p>
    <w:p>
      <w:pPr>
        <w:pStyle w:val="SourceEntry"/>
        <w:widowControl/>
      </w:pPr>
      <w:r>
        <w:rPr>
          <w:b/>
          <w:color w:val="16324F"/>
        </w:rPr>
        <w:t>S24  Regulation (EU) 2024/1689 — consolidated AI Act</w:t>
        <w:br/>
      </w:r>
      <w:r>
        <w:rPr>
          <w:color w:val="65727C"/>
        </w:rPr>
        <w:t>EUR-Lex • consolidated 2026-07-27</w:t>
        <w:br/>
      </w:r>
      <w:hyperlink r:id="rId25">
        <w:r>
          <w:rPr>
            <w:color w:val="1F5A7A"/>
            <w:u w:val="single"/>
            <w:sz w:val="16"/>
          </w:rPr>
          <w:t>https://eur-lex.europa.eu/legal-content/EN/TXT/HTML/?uri=CELEX:02024R1689-20260727</w:t>
        </w:r>
      </w:hyperlink>
      <w:r>
        <w:br/>
        <w:t>Supports: Creditworthiness and credit-scoring AI as Annex III high-risk use, excluding fraud detection, and high-risk control requirements.</w:t>
      </w:r>
    </w:p>
    <w:p>
      <w:pPr>
        <w:pStyle w:val="SourceEntry"/>
        <w:widowControl/>
      </w:pPr>
      <w:r>
        <w:rPr>
          <w:b/>
          <w:color w:val="16324F"/>
        </w:rPr>
        <w:t>S25  Regulation (EU) 2026/1744 amending AI Act application dates</w:t>
        <w:br/>
      </w:r>
      <w:r>
        <w:rPr>
          <w:color w:val="65727C"/>
        </w:rPr>
        <w:t>EUR-Lex • 2026</w:t>
        <w:br/>
      </w:r>
      <w:hyperlink r:id="rId26">
        <w:r>
          <w:rPr>
            <w:color w:val="1F5A7A"/>
            <w:u w:val="single"/>
            <w:sz w:val="16"/>
          </w:rPr>
          <w:t>https://eur-lex.europa.eu/legal-content/EN/TXT/HTML/?uri=CELEX:32026R1744</w:t>
        </w:r>
      </w:hyperlink>
      <w:r>
        <w:br/>
        <w:t>Supports: Postponement of Annex III high-risk AI obligations to 2027-12-02 and embedded-product obligations to 2028-08-02.</w:t>
      </w:r>
    </w:p>
    <w:p>
      <w:pPr>
        <w:pStyle w:val="SourceEntry"/>
        <w:widowControl/>
      </w:pPr>
      <w:r>
        <w:rPr>
          <w:b/>
          <w:color w:val="16324F"/>
        </w:rPr>
        <w:t>S26  Targeted consultation on draft high-risk AI classification guidelines</w:t>
        <w:br/>
      </w:r>
      <w:r>
        <w:rPr>
          <w:color w:val="65727C"/>
        </w:rPr>
        <w:t>European Commission — Digital Strategy • 2026</w:t>
        <w:br/>
      </w:r>
      <w:hyperlink r:id="rId40">
        <w:r>
          <w:rPr>
            <w:color w:val="1F5A7A"/>
            <w:u w:val="single"/>
            <w:sz w:val="16"/>
          </w:rPr>
          <w:t>https://digital-strategy.ec.europa.eu/consultations/targeted-consultation-draft-guidelines-classification-high-risk-artificial-intelligence-systems</w:t>
        </w:r>
      </w:hyperlink>
      <w:r>
        <w:br/>
        <w:t>Supports: Commission timetable and guidance process for high-risk AI classification.</w:t>
      </w:r>
    </w:p>
    <w:p>
      <w:pPr>
        <w:pStyle w:val="SourceEntry"/>
        <w:widowControl/>
      </w:pPr>
      <w:r>
        <w:rPr>
          <w:b/>
          <w:color w:val="16324F"/>
        </w:rPr>
        <w:t>S27  Regulation (EU) 2022/2554 — Digital Operational Resilience Act</w:t>
        <w:br/>
      </w:r>
      <w:r>
        <w:rPr>
          <w:color w:val="65727C"/>
        </w:rPr>
        <w:t>EUR-Lex • applies from 2025-01-17</w:t>
        <w:br/>
      </w:r>
      <w:hyperlink r:id="rId41">
        <w:r>
          <w:rPr>
            <w:color w:val="1F5A7A"/>
            <w:u w:val="single"/>
            <w:sz w:val="16"/>
          </w:rPr>
          <w:t>https://eur-lex.europa.eu/legal-content/EN/TXT/PDF/?os=i&amp;ref=app&amp;uri=CELEX:32022R2554</w:t>
        </w:r>
      </w:hyperlink>
      <w:r>
        <w:br/>
        <w:t>Supports: DORA scope and requirements for ICT risk management, incident reporting, resilience testing and third-party risk.</w:t>
      </w:r>
    </w:p>
    <w:p>
      <w:pPr>
        <w:pStyle w:val="SourceEntry"/>
        <w:widowControl/>
      </w:pPr>
      <w:r>
        <w:rPr>
          <w:b/>
          <w:color w:val="16324F"/>
        </w:rPr>
        <w:t>S28  Law No. 91/2025/QH15 on Personal Data Protection</w:t>
        <w:br/>
      </w:r>
      <w:r>
        <w:rPr>
          <w:color w:val="65727C"/>
        </w:rPr>
        <w:t>National Assembly of Vietnam / English legal-text copy • 2025; effective 2026-01-01</w:t>
        <w:br/>
      </w:r>
      <w:hyperlink r:id="rId36">
        <w:r>
          <w:rPr>
            <w:color w:val="1F5A7A"/>
            <w:u w:val="single"/>
            <w:sz w:val="16"/>
          </w:rPr>
          <w:t>https://static3.luatvietnam.vn/uploaded/vietlawfile/2025/7/91_2025_qh15_incom_110725173542.pdf</w:t>
        </w:r>
      </w:hyperlink>
      <w:r>
        <w:br/>
        <w:t>Supports: Vietnam's personal-data-protection law and effective date.</w:t>
      </w:r>
    </w:p>
    <w:p>
      <w:pPr>
        <w:pStyle w:val="SourceEntry"/>
        <w:widowControl/>
      </w:pPr>
      <w:r>
        <w:rPr>
          <w:b/>
          <w:color w:val="16324F"/>
        </w:rPr>
        <w:t>S29  Vietnam's New Personal Data Protection Law: A Closer Look</w:t>
        <w:br/>
      </w:r>
      <w:r>
        <w:rPr>
          <w:color w:val="65727C"/>
        </w:rPr>
        <w:t>Tilleke &amp; Gibbins • 2025</w:t>
        <w:br/>
      </w:r>
      <w:hyperlink r:id="rId37">
        <w:r>
          <w:rPr>
            <w:color w:val="1F5A7A"/>
            <w:u w:val="single"/>
            <w:sz w:val="16"/>
          </w:rPr>
          <w:t>https://www.tilleke.com/insights/vietnams-new-personal-data-protection-law-a-closer-look/</w:t>
        </w:r>
      </w:hyperlink>
      <w:r>
        <w:br/>
        <w:t>Supports: Legal analysis of Vietnamese data-law scope, impact assessments, cross-border transfers, incident notification and financial-data safeguards.</w:t>
      </w:r>
    </w:p>
    <w:p>
      <w:pPr>
        <w:pStyle w:val="SourceEntry"/>
        <w:widowControl/>
      </w:pPr>
      <w:r>
        <w:rPr>
          <w:b/>
          <w:color w:val="16324F"/>
        </w:rPr>
        <w:t>S30  Consumer Trends Report 2024/25</w:t>
        <w:br/>
      </w:r>
      <w:r>
        <w:rPr>
          <w:color w:val="65727C"/>
        </w:rPr>
        <w:t>European Banking Authority • 2025</w:t>
        <w:br/>
      </w:r>
      <w:hyperlink r:id="rId42">
        <w:r>
          <w:rPr>
            <w:color w:val="1F5A7A"/>
            <w:u w:val="single"/>
            <w:sz w:val="16"/>
          </w:rPr>
          <w:t>https://www.eba.europa.eu/sites/default/files/2025-03/514b651f-091b-42d3-b738-1fae79264044/Consumer%20Trends%20Report%202024-2025.pdf</w:t>
        </w:r>
      </w:hyperlink>
      <w:r>
        <w:br/>
        <w:t>Supports: European consumer-credit trends and risks involving payment fraud, indebtedness, fast/small credit and BNPL.</w:t>
      </w:r>
    </w:p>
    <w:p>
      <w:pPr>
        <w:pStyle w:val="SourceEntry"/>
        <w:widowControl/>
      </w:pPr>
      <w:r>
        <w:rPr>
          <w:b/>
          <w:color w:val="16324F"/>
        </w:rPr>
        <w:t>S31  Report on creditworthiness-assessment practices of non-bank lenders</w:t>
        <w:br/>
      </w:r>
      <w:r>
        <w:rPr>
          <w:color w:val="65727C"/>
        </w:rPr>
        <w:t>European Banking Authority • 2024</w:t>
        <w:br/>
      </w:r>
      <w:hyperlink r:id="rId39">
        <w:r>
          <w:rPr>
            <w:color w:val="1F5A7A"/>
            <w:u w:val="single"/>
            <w:sz w:val="16"/>
          </w:rPr>
          <w:t>https://eba.europa.eu/sites/default/files/2024-08/42604728-69b1-46f1-9c46-c91fa4564f08/Report%20on%20the%20fact%20finding%20exercise%20on%20creditworthiness%20assessment%20practices%20of%20non-bank%20lenders.pdf</w:t>
        </w:r>
      </w:hyperlink>
      <w:r>
        <w:br/>
        <w:t>Supports: Multi-country evidence on approval rates, information verification, credit-register use, governance and automated underwriting practices.</w:t>
      </w:r>
    </w:p>
    <w:p>
      <w:pPr>
        <w:pStyle w:val="SourceEntry"/>
        <w:widowControl/>
      </w:pPr>
      <w:r>
        <w:rPr>
          <w:b/>
          <w:color w:val="16324F"/>
        </w:rPr>
        <w:t>S32  Responsible Lending Index 2025</w:t>
        <w:br/>
      </w:r>
      <w:r>
        <w:rPr>
          <w:color w:val="65727C"/>
        </w:rPr>
        <w:t>People in Need (Člověk v tísni) • 2025</w:t>
        <w:br/>
      </w:r>
      <w:hyperlink r:id="rId27">
        <w:r>
          <w:rPr>
            <w:color w:val="1F5A7A"/>
            <w:u w:val="single"/>
            <w:sz w:val="16"/>
          </w:rPr>
          <w:t>https://www.clovekvtisni.cz/index-odpovedneho-uverovani-ukazuje-krome-rozdilnych-cen-i-mezery-v-dodrzovani-zakona-13071gp</w:t>
        </w:r>
      </w:hyperlink>
      <w:r>
        <w:br/>
        <w:t>Supports: Independent Czech assessment of pricing, transparency, creditworthiness checks, sanctions and revolving-credit risks.</w:t>
      </w:r>
    </w:p>
    <w:p>
      <w:pPr>
        <w:widowControl/>
        <w:spacing w:after="100"/>
      </w:pPr>
    </w:p>
    <w:tbl>
      <w:tblPr>
        <w:tblW w:type="auto" w:w="0"/>
        <w:jc w:val="center"/>
        <w:tblLayout w:type="fixed"/>
        <w:tblLook w:firstColumn="1" w:firstRow="1" w:lastColumn="0" w:lastRow="0" w:noHBand="0" w:noVBand="1" w:val="04A0"/>
      </w:tblPr>
      <w:tblGrid>
        <w:gridCol w:w="1800"/>
        <w:gridCol w:w="8424"/>
      </w:tblGrid>
      <w:tr>
        <w:trPr>
          <w:cantSplit w:val="true"/>
        </w:trPr>
        <w:tc>
          <w:tcPr>
            <w:tcW w:type="dxa" w:w="1800"/>
            <w:shd w:fill="65727C"/>
            <w:tcMar>
              <w:top w:w="100" w:type="dxa"/>
              <w:start w:w="120" w:type="dxa"/>
              <w:bottom w:w="100" w:type="dxa"/>
              <w:end w:w="120" w:type="dxa"/>
            </w:tcMar>
            <w:tcBorders>
              <w:top w:val="single" w:sz="4" w:color="E5E9EC"/>
              <w:left w:val="single" w:sz="4" w:color="E5E9EC"/>
              <w:bottom w:val="single" w:sz="4" w:color="E5E9EC"/>
              <w:right w:val="single" w:sz="4" w:color="E5E9EC"/>
            </w:tcBorders>
          </w:tcPr>
          <w:p>
            <w:pPr>
              <w:jc w:val="center"/>
            </w:pPr>
            <w:r>
              <w:rPr>
                <w:b/>
                <w:color w:val="FFFFFF"/>
                <w:sz w:val="16"/>
              </w:rPr>
              <w:t>END NOTE</w:t>
            </w:r>
          </w:p>
        </w:tc>
        <w:tc>
          <w:tcPr>
            <w:tcW w:type="dxa" w:w="8424"/>
            <w:shd w:fill="F4F8FA"/>
            <w:tcMar>
              <w:top w:w="100" w:type="dxa"/>
              <w:start w:w="120" w:type="dxa"/>
              <w:bottom w:w="100" w:type="dxa"/>
              <w:end w:w="120" w:type="dxa"/>
            </w:tcMar>
            <w:tcBorders>
              <w:top w:val="single" w:sz="4" w:color="E5E9EC"/>
              <w:left w:val="single" w:sz="4" w:color="E5E9EC"/>
              <w:bottom w:val="single" w:sz="4" w:color="E5E9EC"/>
              <w:right w:val="single" w:sz="4" w:color="E5E9EC"/>
            </w:tcBorders>
          </w:tcPr>
          <w:p>
            <w:r>
              <w:rPr>
                <w:b/>
                <w:color w:val="182026"/>
                <w:sz w:val="19"/>
              </w:rPr>
              <w:t>This report is a strategic research synthesis, not legal, investment or credit advice. Local legal interpretations and all market-share or profitability decisions should be validated against current entity-level data.</w:t>
            </w:r>
          </w:p>
        </w:tc>
      </w:tr>
    </w:tbl>
    <w:p>
      <w:pPr>
        <w:widowControl/>
        <w:spacing w:after="0"/>
      </w:pPr>
    </w:p>
    <w:sectPr w:rsidR="00FC693F" w:rsidRPr="0006063C" w:rsidSect="00034616">
      <w:headerReference w:type="default" r:id="rId9"/>
      <w:footerReference w:type="default" r:id="rId10"/>
      <w:pgSz w:w="12240" w:h="15840"/>
      <w:pgMar w:top="979"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5727C"/>
        <w:sz w:val="15"/>
      </w:rPr>
      <w:t xml:space="preserve">Research current to 15 September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5727C"/>
        <w:sz w:val="15"/>
      </w:rPr>
      <w:t>HOME CREDIT  /  INDUSTRY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00"/>
    </w:pPr>
    <w:rPr>
      <w:rFonts w:ascii="Arial" w:hAnsi="Arial" w:eastAsia="Arial"/>
      <w:color w:val="1820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1F5A7A"/>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0C7C8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8202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eastAsia="Arial"/>
      <w:b/>
      <w:i/>
      <w:iCs/>
      <w:color w:val="1F5A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403" w:hanging="230"/>
      <w:contextualSpacing/>
    </w:pPr>
    <w:rPr>
      <w:rFonts w:ascii="Arial" w:hAnsi="Arial" w:eastAsia="Arial"/>
      <w:sz w:val="19"/>
    </w:rPr>
  </w:style>
  <w:style w:type="paragraph" w:styleId="ListBullet2">
    <w:name w:val="List Bullet 2"/>
    <w:basedOn w:val="Normal"/>
    <w:uiPriority w:val="99"/>
    <w:unhideWhenUsed/>
    <w:rsid w:val="00326F90"/>
    <w:pPr>
      <w:numPr>
        <w:numId w:val="2"/>
      </w:numPr>
      <w:spacing w:after="40"/>
      <w:ind w:left="749" w:hanging="230"/>
      <w:contextualSpacing/>
    </w:pPr>
    <w:rPr>
      <w:rFonts w:ascii="Arial" w:hAnsi="Arial" w:eastAsia="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403" w:hanging="230"/>
      <w:contextualSpacing/>
    </w:pPr>
    <w:rPr>
      <w:rFonts w:ascii="Arial" w:hAnsi="Arial" w:eastAsia="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Strap">
    <w:name w:val="Section Strap"/>
    <w:pPr>
      <w:keepNext/>
      <w:spacing w:after="160"/>
    </w:pPr>
    <w:rPr>
      <w:rFonts w:ascii="Arial" w:hAnsi="Arial"/>
      <w:i/>
      <w:color w:val="65727C"/>
      <w:sz w:val="19"/>
    </w:rPr>
  </w:style>
  <w:style w:type="paragraph" w:customStyle="1" w:styleId="SourceEntry">
    <w:name w:val="Source Entry"/>
    <w:pPr>
      <w:keepLines/>
      <w:spacing w:after="100"/>
    </w:pPr>
    <w:rPr>
      <w:rFonts w:ascii="Arial" w:hAnsi="Arial"/>
      <w:color w:val="18202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homecredit.net/contacts.aspx/" TargetMode="External"/><Relationship Id="rId12" Type="http://schemas.openxmlformats.org/officeDocument/2006/relationships/hyperlink" Target="https://www.cnb.cz/en/statistics/money_and_banking_stat/harm_stat_data/commentary-on-the-quarterly-aggregated-balance-sheet-of-financial-corporations-engaged-in-lending/" TargetMode="External"/><Relationship Id="rId13" Type="http://schemas.openxmlformats.org/officeDocument/2006/relationships/hyperlink" Target="https://nbs.sk/dokument/28ae42af-67df-43c6-8eee-dde10109ce35/stiahnut/?force=true" TargetMode="External"/><Relationship Id="rId14" Type="http://schemas.openxmlformats.org/officeDocument/2006/relationships/hyperlink" Target="https://static.luatvietnam.vn/lawdataen/2016/56331_43-2016-tt-nhnn.doc" TargetMode="External"/><Relationship Id="rId15" Type="http://schemas.openxmlformats.org/officeDocument/2006/relationships/hyperlink" Target="https://www.homecredit.net/about-us.aspx/" TargetMode="External"/><Relationship Id="rId16" Type="http://schemas.openxmlformats.org/officeDocument/2006/relationships/hyperlink" Target="https://www.ppf.eu/en/our-companies/home-credit" TargetMode="External"/><Relationship Id="rId17" Type="http://schemas.openxmlformats.org/officeDocument/2006/relationships/hyperlink" Target="https://documents1.worldbank.org/curated/en/099072425135514500/pdf/P181316-72eed651-b7c2-4137-a1f0-a00c3e1efede.pdf" TargetMode="External"/><Relationship Id="rId18" Type="http://schemas.openxmlformats.org/officeDocument/2006/relationships/hyperlink" Target="https://www.bis.org/fsi/publ/insights56.htm" TargetMode="External"/><Relationship Id="rId19" Type="http://schemas.openxmlformats.org/officeDocument/2006/relationships/hyperlink" Target="https://fiingroup.vn/upload/docs/FiinGroup_Consumer%20Finance%20Market%201H2025_DEMO.pdf" TargetMode="External"/><Relationship Id="rId20" Type="http://schemas.openxmlformats.org/officeDocument/2006/relationships/hyperlink" Target="https://www.homecredit.cz/tiskove-zpravy/home-credit-v-cesku-a-na-slovensku-v-roce-2025-zvysil-uverove-portfolio-o-4-2-miliardy-korun" TargetMode="External"/><Relationship Id="rId21" Type="http://schemas.openxmlformats.org/officeDocument/2006/relationships/hyperlink" Target="https://www.homecredit.sk/tlacove-spravy/home-credit-na-slovensku-a-v-cesku-zvysil-v-roku-2025-uverove-portfolio-o-vyse-172-milionov-eur" TargetMode="External"/><Relationship Id="rId22" Type="http://schemas.openxmlformats.org/officeDocument/2006/relationships/hyperlink" Target="https://vbcsd.vn/en/detail.asp?id=5055" TargetMode="External"/><Relationship Id="rId23" Type="http://schemas.openxmlformats.org/officeDocument/2006/relationships/hyperlink" Target="https://news.tuoitre.vn/fe-credit-loses-momentum-as-vietcredit-surges-in-vietnams-consumer-finance-market-103260906163522642.htm" TargetMode="External"/><Relationship Id="rId24" Type="http://schemas.openxmlformats.org/officeDocument/2006/relationships/hyperlink" Target="https://eur-lex.europa.eu/eli/dir/2023/2225/oj/eng" TargetMode="External"/><Relationship Id="rId25" Type="http://schemas.openxmlformats.org/officeDocument/2006/relationships/hyperlink" Target="https://eur-lex.europa.eu/legal-content/EN/TXT/HTML/?uri=CELEX:02024R1689-20260727" TargetMode="External"/><Relationship Id="rId26" Type="http://schemas.openxmlformats.org/officeDocument/2006/relationships/hyperlink" Target="https://eur-lex.europa.eu/legal-content/EN/TXT/HTML/?uri=CELEX:32026R1744" TargetMode="External"/><Relationship Id="rId27" Type="http://schemas.openxmlformats.org/officeDocument/2006/relationships/hyperlink" Target="https://www.clovekvtisni.cz/index-odpovedneho-uverovani-ukazuje-krome-rozdilnych-cen-i-mezery-v-dodrzovani-zakona-13071gp" TargetMode="External"/><Relationship Id="rId28" Type="http://schemas.openxmlformats.org/officeDocument/2006/relationships/hyperlink" Target="https://www.homecredit.cz/klasicka-pujcka" TargetMode="External"/><Relationship Id="rId29" Type="http://schemas.openxmlformats.org/officeDocument/2006/relationships/hyperlink" Target="https://www.homecredit.sk/klasicka-pozicka" TargetMode="External"/><Relationship Id="rId30" Type="http://schemas.openxmlformats.org/officeDocument/2006/relationships/hyperlink" Target="https://www.homecredit.vn/sustainability/home-credit-viet-nam-cong-bo-bao-cao-phat-trien-ben-vung-2025" TargetMode="External"/><Relationship Id="rId31" Type="http://schemas.openxmlformats.org/officeDocument/2006/relationships/hyperlink" Target="https://www.worldbank.org/en/publication/globalfindex" TargetMode="External"/><Relationship Id="rId32" Type="http://schemas.openxmlformats.org/officeDocument/2006/relationships/hyperlink" Target="https://blogs.worldbank.org/en/developmenttalk/digital-technology-is-unlocking-financial-inclusion" TargetMode="External"/><Relationship Id="rId33" Type="http://schemas.openxmlformats.org/officeDocument/2006/relationships/hyperlink" Target="https://mf.gov.cz/assets/attachments/2026-08-18_Report-on-Financial-Market-Developments-in-2025.pdf" TargetMode="External"/><Relationship Id="rId34" Type="http://schemas.openxmlformats.org/officeDocument/2006/relationships/hyperlink" Target="https://www.clfa.cz/" TargetMode="External"/><Relationship Id="rId35" Type="http://schemas.openxmlformats.org/officeDocument/2006/relationships/hyperlink" Target="https://fiinresearch.vn/Store/ReportDetails?id=221412" TargetMode="External"/><Relationship Id="rId36" Type="http://schemas.openxmlformats.org/officeDocument/2006/relationships/hyperlink" Target="https://static3.luatvietnam.vn/uploaded/vietlawfile/2025/7/91_2025_qh15_incom_110725173542.pdf" TargetMode="External"/><Relationship Id="rId37" Type="http://schemas.openxmlformats.org/officeDocument/2006/relationships/hyperlink" Target="https://www.tilleke.com/insights/vietnams-new-personal-data-protection-law-a-closer-look/" TargetMode="External"/><Relationship Id="rId38" Type="http://schemas.openxmlformats.org/officeDocument/2006/relationships/hyperlink" Target="https://nbs.sk/dokument/72dc0bf3-1d4c-455f-8446-6da828dbc5e8/stiahnut/?force=true" TargetMode="External"/><Relationship Id="rId39" Type="http://schemas.openxmlformats.org/officeDocument/2006/relationships/hyperlink" Target="https://eba.europa.eu/sites/default/files/2024-08/42604728-69b1-46f1-9c46-c91fa4564f08/Report%20on%20the%20fact%20finding%20exercise%20on%20creditworthiness%20assessment%20practices%20of%20non-bank%20lenders.pdf" TargetMode="External"/><Relationship Id="rId40" Type="http://schemas.openxmlformats.org/officeDocument/2006/relationships/hyperlink" Target="https://digital-strategy.ec.europa.eu/consultations/targeted-consultation-draft-guidelines-classification-high-risk-artificial-intelligence-systems" TargetMode="External"/><Relationship Id="rId41" Type="http://schemas.openxmlformats.org/officeDocument/2006/relationships/hyperlink" Target="https://eur-lex.europa.eu/legal-content/EN/TXT/PDF/?os=i&amp;ref=app&amp;uri=CELEX:32022R2554" TargetMode="External"/><Relationship Id="rId42" Type="http://schemas.openxmlformats.org/officeDocument/2006/relationships/hyperlink" Target="https://www.eba.europa.eu/sites/default/files/2025-03/514b651f-091b-42d3-b738-1fae79264044/Consumer%20Trends%20Report%202024-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Credit Industry Research Report</dc:title>
  <dc:subject>Nonbank consumer finance in the Czech Republic, Slovakia and Vietnam</dc:subject>
  <dc:creator>OpenAI</dc:creator>
  <cp:keywords>Home Credit, consumer finance, nonbank lending, BNPL, credit underwriting, Czech Republic, Slovakia, Vietnam</cp:keywords>
  <dc:description>generated by python-docx</dc:description>
  <cp:lastModifiedBy/>
  <cp:revision>1</cp:revision>
  <dcterms:created xsi:type="dcterms:W3CDTF">2013-12-23T23:15:00Z</dcterms:created>
  <dcterms:modified xsi:type="dcterms:W3CDTF">2013-12-23T23:15:00Z</dcterms:modified>
  <cp:category/>
</cp:coreProperties>
</file>