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center"/>
      </w:pPr>
      <w:r>
        <w:rPr>
          <w:rFonts w:ascii="Times New Roman" w:hAnsi="Times New Roman"/>
          <w:b/>
          <w:sz w:val="36"/>
        </w:rPr>
        <w:t>VerifyRAG: Evidence-Grounded UVM Assistance with Hybrid Lexical Retrieval</w:t>
      </w:r>
    </w:p>
    <w:p>
      <w:pPr>
        <w:spacing w:after="20"/>
        <w:jc w:val="center"/>
      </w:pPr>
      <w:r>
        <w:rPr>
          <w:rFonts w:ascii="Times New Roman" w:hAnsi="Times New Roman"/>
          <w:sz w:val="21"/>
        </w:rPr>
        <w:t>Gao Zihan</w:t>
      </w:r>
    </w:p>
    <w:p>
      <w:pPr>
        <w:spacing w:after="20"/>
        <w:jc w:val="center"/>
      </w:pPr>
      <w:r>
        <w:rPr>
          <w:rFonts w:ascii="Times New Roman" w:hAnsi="Times New Roman"/>
          <w:i/>
          <w:color w:val="464646"/>
          <w:sz w:val="18"/>
        </w:rPr>
        <w:t>PE6201 Individual End-of-Course Project | 30 September 2026</w:t>
      </w:r>
    </w:p>
    <w:p>
      <w:pPr>
        <w:spacing w:after="100"/>
        <w:jc w:val="center"/>
      </w:pPr>
      <w:r>
        <w:rPr>
          <w:rFonts w:ascii="Times New Roman" w:hAnsi="Times New Roman"/>
          <w:sz w:val="17"/>
        </w:rPr>
        <w:t xml:space="preserve">Repository: </w:t>
      </w:r>
      <w:hyperlink r:id="rId9">
        <w:r>
          <w:rPr>
            <w:rFonts w:ascii="Times New Roman" w:hAnsi="Times New Roman"/>
            <w:color w:val="0563C1"/>
            <w:u w:val="single"/>
            <w:sz w:val="17"/>
          </w:rPr>
          <w:t>github.com/jeffuestcuog-hub/VerifyRAG</w:t>
        </w:r>
      </w:hyperlink>
      <w:r>
        <w:rPr>
          <w:rFonts w:ascii="Times New Roman" w:hAnsi="Times New Roman"/>
          <w:sz w:val="17"/>
        </w:rPr>
        <w:t xml:space="preserve"> | Demo: </w:t>
      </w:r>
      <w:hyperlink r:id="rId10">
        <w:r>
          <w:rPr>
            <w:rFonts w:ascii="Times New Roman" w:hAnsi="Times New Roman"/>
            <w:color w:val="0563C1"/>
            <w:u w:val="single"/>
            <w:sz w:val="17"/>
          </w:rPr>
          <w:t>youtu.be/_HlLxGaPP88</w:t>
        </w:r>
      </w:hyperlink>
    </w:p>
    <w:p>
      <w:pPr>
        <w:spacing w:after="40"/>
        <w:ind w:left="403" w:right="403"/>
        <w:jc w:val="both"/>
      </w:pPr>
      <w:r>
        <w:rPr>
          <w:rFonts w:ascii="Times New Roman" w:hAnsi="Times New Roman"/>
          <w:b/>
          <w:i/>
          <w:sz w:val="18"/>
        </w:rPr>
        <w:t xml:space="preserve">Abstract - </w:t>
      </w:r>
      <w:r>
        <w:rPr>
          <w:rFonts w:ascii="Times New Roman" w:hAnsi="Times New Roman"/>
          <w:i/>
          <w:sz w:val="18"/>
        </w:rPr>
        <w:t>VerifyRAG is a compact retrieval-augmented assistant for verification engineers who need source-backed answers about UVM/SystemVerilog APIs. I built it around a pinned public UVM release, local lexical retrieval, and claim-level citation checks. In the 28 September 2026 Colab rerun, all 31 tests passed. The hosted hybrid path answered five of six supported development questions and refused both unsupported questions, but an AI-assisted source comparison found only four of six answers complete. The system is reproducible and useful for evidence navigation; the 80% answer-quality target remains unproven. The main lesson is that a valid citation establishes provenance, not completeness.</w:t>
      </w:r>
    </w:p>
    <w:p>
      <w:pPr>
        <w:spacing w:after="100"/>
        <w:ind w:left="403" w:right="403"/>
        <w:jc w:val="both"/>
      </w:pPr>
      <w:r>
        <w:rPr>
          <w:rFonts w:ascii="Times New Roman" w:hAnsi="Times New Roman"/>
          <w:b/>
          <w:i/>
          <w:sz w:val="18"/>
        </w:rPr>
        <w:t xml:space="preserve">Index Terms - </w:t>
      </w:r>
      <w:r>
        <w:rPr>
          <w:rFonts w:ascii="Times New Roman" w:hAnsi="Times New Roman"/>
          <w:i/>
          <w:sz w:val="18"/>
        </w:rPr>
        <w:t>UVM, SystemVerilog, retrieval-augmented generation, BM25, grounded generation, evaluation.</w:t>
      </w:r>
    </w:p>
    <w:p>
      <w:pPr>
        <w:sectPr>
          <w:footerReference w:type="default" r:id="rId20"/>
          <w:pgSz w:w="11906" w:h="16838"/>
          <w:pgMar w:top="893" w:right="979" w:bottom="893" w:left="979" w:header="360" w:footer="403" w:gutter="0"/>
          <w:cols w:space="360" w:num="1"/>
          <w:docGrid w:linePitch="360"/>
        </w:sectPr>
      </w:pPr>
    </w:p>
    <w:p>
      <w:pPr>
        <w:keepNext/>
        <w:spacing w:before="100" w:after="40"/>
        <w:jc w:val="center"/>
      </w:pPr>
      <w:r>
        <w:rPr>
          <w:rFonts w:ascii="Times New Roman" w:hAnsi="Times New Roman"/>
          <w:b/>
          <w:sz w:val="19"/>
        </w:rPr>
        <w:t>I. PROBLEM AND SIGNIFICANCE (15%)</w:t>
      </w:r>
    </w:p>
    <w:p>
      <w:pPr>
        <w:spacing w:line="240" w:lineRule="auto" w:before="0" w:after="50"/>
        <w:ind w:firstLine="202"/>
        <w:jc w:val="both"/>
      </w:pPr>
      <w:r>
        <w:rPr>
          <w:rFonts w:ascii="Times New Roman" w:hAnsi="Times New Roman"/>
          <w:sz w:val="19"/>
        </w:rPr>
        <w:t>A verification engineer often needs an exact API behaviour while writing a sequence or debugging a testbench. A plausible answer from the wrong UVM release can waste a debug cycle or weaken a check. The official UVM implementation and reference material are authoritative, but the engineer still has to find the relevant class, method, version, and surrounding constraints [1]-[3].</w:t>
      </w:r>
    </w:p>
    <w:p>
      <w:pPr>
        <w:spacing w:line="240" w:lineRule="auto" w:before="0" w:after="50"/>
        <w:ind w:firstLine="202"/>
        <w:jc w:val="both"/>
      </w:pPr>
      <w:r>
        <w:rPr>
          <w:rFonts w:ascii="Times New Roman" w:hAnsi="Times New Roman"/>
          <w:sz w:val="19"/>
        </w:rPr>
        <w:t>Commercial vendors now offer broader AI support for chip design and verification [4]-[6]. My project has a narrower purpose: retrieve evidence from one fixed public source set, quote it exactly, and make the result easy to inspect. VerifyRAG does not cover private RTL, simulator-specific behaviour, or all of SystemVerilog. I also did not run a user study, so I do not claim measured time savings or return on investment.</w:t>
      </w:r>
      <w:r>
        <w:rPr>
          <w:rFonts w:ascii="Times New Roman" w:hAnsi="Times New Roman"/>
          <w:sz w:val="19"/>
        </w:rPr>
        <w:t xml:space="preserve"> Compared with the current workflow of opening several manuals and source files, the intended change is a shorter path from a question to a versioned passage that an engineer can inspect. I treat this as a design hypothesis rather than a measured productivity gain; validating it would require timed tasks with practising verification engineers.</w:t>
      </w:r>
    </w:p>
    <w:p>
      <w:pPr>
        <w:keepNext/>
        <w:spacing w:before="100" w:after="40"/>
        <w:jc w:val="center"/>
      </w:pPr>
      <w:r>
        <w:rPr>
          <w:rFonts w:ascii="Times New Roman" w:hAnsi="Times New Roman"/>
          <w:b/>
          <w:sz w:val="19"/>
        </w:rPr>
        <w:t>II. BUSINESS AND TECHNICAL TRADE-OFFS (25%)</w:t>
      </w:r>
    </w:p>
    <w:p>
      <w:pPr>
        <w:spacing w:line="240" w:lineRule="auto" w:before="0" w:after="50"/>
        <w:ind w:firstLine="202"/>
        <w:jc w:val="both"/>
      </w:pPr>
      <w:r>
        <w:rPr>
          <w:rFonts w:ascii="Times New Roman" w:hAnsi="Times New Roman"/>
          <w:sz w:val="19"/>
        </w:rPr>
        <w:t>My proposal assumed embeddings and a vector database. After I built the corpus, I changed the design. The 349 chunks contain distinctive identifiers such as uvm_config_db, so in-memory BM25 and sparse TF-IDF were accurate enough to test, cheap to run, and straightforward to inspect. Reciprocal-rank fusion combines both rankings. The trade-off is weaker recall when a question paraphrases the source without using its identifiers.</w:t>
      </w:r>
    </w:p>
    <w:p>
      <w:pPr>
        <w:spacing w:line="240" w:lineRule="auto" w:before="0" w:after="50"/>
        <w:ind w:firstLine="202"/>
        <w:jc w:val="both"/>
      </w:pPr>
      <w:r>
        <w:rPr>
          <w:rFonts w:ascii="Times New Roman" w:hAnsi="Times New Roman"/>
          <w:sz w:val="19"/>
        </w:rPr>
        <w:t>I rejected a plain model as the main path because it cannot guarantee which UVM release supports an answer. Fine-tuning would require labelled examples and would make attribution harder. An agent loop would add latency and failure modes to a one-step lookup. I therefore kept retrieval, validation, and evaluation in local Python, and rented GPT-4o-mini through OpenRouter only for optional answer generation [7]-[9].</w:t>
      </w:r>
    </w:p>
    <w:p>
      <w:pPr>
        <w:spacing w:line="240" w:lineRule="auto" w:before="0" w:after="50"/>
        <w:ind w:firstLine="202"/>
        <w:jc w:val="both"/>
      </w:pPr>
      <w:r>
        <w:rPr>
          <w:rFonts w:ascii="Times New Roman" w:hAnsi="Times New Roman"/>
          <w:sz w:val="19"/>
        </w:rPr>
        <w:t>Offline preview has no token charge and keeps the question local. Hosted generation sends the question and public excerpts to the provider, so private RTL and logs are outside scope. The fresh 25-call run used 54,692 tokens and cost USD 0.00908730. That figure is useful for comparison, but it excludes engineering time, hosting, maintenance, and expert review.</w:t>
      </w:r>
    </w:p>
    <w:p>
      <w:pPr>
        <w:keepNext/>
        <w:spacing w:before="100" w:after="40"/>
        <w:jc w:val="center"/>
      </w:pPr>
      <w:r>
        <w:rPr>
          <w:rFonts w:ascii="Times New Roman" w:hAnsi="Times New Roman"/>
          <w:b/>
          <w:sz w:val="19"/>
        </w:rPr>
        <w:t>III. IMPLEMENTATION (35%)</w:t>
      </w:r>
    </w:p>
    <w:p>
      <w:pPr>
        <w:spacing w:line="240" w:lineRule="auto" w:before="0" w:after="50"/>
        <w:ind w:firstLine="202"/>
        <w:jc w:val="both"/>
      </w:pPr>
      <w:r>
        <w:rPr>
          <w:rFonts w:ascii="Times New Roman" w:hAnsi="Times New Roman"/>
          <w:sz w:val="19"/>
        </w:rPr>
        <w:t>The corpus pins 24 Accellera files from UVM 2020.3.1 commit 78c06547a2a0a29b3dc9dcafae62b75b2ff61544 [2]. The manifest records checksums, file names, and line links. Each query retrieves five chunks. Offline mode displays the top two excerpts; hosted mode asks for structured claims.</w:t>
      </w:r>
    </w:p>
    <w:p>
      <w:pPr>
        <w:spacing w:line="240" w:lineRule="auto" w:before="0" w:after="50"/>
        <w:ind w:firstLine="202"/>
        <w:jc w:val="both"/>
      </w:pPr>
      <w:r>
        <w:rPr>
          <w:rFonts w:ascii="Times New Roman" w:hAnsi="Times New Roman"/>
          <w:sz w:val="19"/>
        </w:rPr>
        <w:t>A generated claim is kept only when it cites a retrieved chunk and its quotation matches an exact source span. Named UVM identifiers must occur in that chunk, and a class-qualified method must match the class scope. An invalid claim is dropped; insufficient remaining support produces an abstention. These checks make provenance testable, but they do not prove that the interpretation is complete.</w:t>
      </w:r>
      <w:r>
        <w:rPr>
          <w:rFonts w:ascii="Times New Roman" w:hAnsi="Times New Roman"/>
          <w:sz w:val="19"/>
        </w:rPr>
        <w:t xml:space="preserve"> The most difficult tuning issue was false rejection rather than retrieval: model quotations sometimes dropped the leading comment markers used in the source file. I added source-aligned quote recovery that removes only those prefixes while preserving punctuation and case, then added class-scope checks so a method from one UVM class cannot support a claim about another.</w:t>
      </w:r>
    </w:p>
    <w:p>
      <w:pPr>
        <w:keepNext/>
        <w:spacing w:before="100" w:after="40"/>
        <w:jc w:val="center"/>
      </w:pPr>
      <w:r>
        <w:rPr>
          <w:rFonts w:ascii="Times New Roman" w:hAnsi="Times New Roman"/>
          <w:b/>
          <w:sz w:val="19"/>
        </w:rPr>
        <w:t>IV. EVALUATION AND EVIDENCE</w:t>
      </w:r>
    </w:p>
    <w:p>
      <w:pPr>
        <w:spacing w:line="240" w:lineRule="auto" w:before="0" w:after="50"/>
        <w:ind w:firstLine="202"/>
        <w:jc w:val="both"/>
      </w:pPr>
      <w:r>
        <w:rPr>
          <w:rFonts w:ascii="Times New Roman" w:hAnsi="Times New Roman"/>
          <w:sz w:val="19"/>
        </w:rPr>
        <w:t>In the fresh Colab run, all 31 tests passed. On six supported development questions, BM25 achieved 5/6 Hit@1, 6/6 Hit@5, and 0.9167 MRR@5. TF-IDF and hybrid each achieved 4/6 Hit@1, 6/6 Hit@5, and 0.8333 MRR@5. Hit@5 only shows that a labelled passage was retrieved; it is not answer correctness.</w:t>
      </w:r>
    </w:p>
    <w:p>
      <w:pPr>
        <w:keepNext/>
        <w:spacing w:before="60" w:after="20"/>
        <w:jc w:val="center"/>
      </w:pPr>
      <w:r>
        <w:rPr>
          <w:rFonts w:ascii="Times New Roman" w:hAnsi="Times New Roman"/>
          <w:b/>
          <w:sz w:val="16"/>
        </w:rPr>
        <w:t>TABLE I</w:t>
        <w:br/>
        <w:t>DEVELOPMENT RUN: STATUS AND SOURCE REVIEW</w:t>
      </w:r>
    </w:p>
    <w:tbl>
      <w:tblPr>
        <w:tblW w:type="auto" w:w="0"/>
        <w:jc w:val="center"/>
        <w:tblLayout w:type="fixed"/>
        <w:tblLook w:firstColumn="1" w:firstRow="1" w:lastColumn="0" w:lastRow="0" w:noHBand="0" w:noVBand="1" w:val="04A0"/>
      </w:tblPr>
      <w:tblGrid>
        <w:gridCol w:w="2487"/>
        <w:gridCol w:w="2487"/>
        <w:gridCol w:w="2487"/>
        <w:gridCol w:w="2487"/>
      </w:tblGrid>
      <w:tr>
        <w:trPr>
          <w:tblHeader w:val="true"/>
        </w:trPr>
        <w:tc>
          <w:tcPr>
            <w:tcW w:type="dxa" w:w="1325"/>
            <w:vAlign w:val="center"/>
            <w:tcMar>
              <w:top w:w="40" w:type="dxa"/>
              <w:start w:w="55" w:type="dxa"/>
              <w:bottom w:w="40" w:type="dxa"/>
              <w:end w:w="55" w:type="dxa"/>
            </w:tcMar>
            <w:shd w:fill="D9E2F3"/>
          </w:tcPr>
          <w:p>
            <w:pPr>
              <w:spacing w:after="0"/>
              <w:jc w:val="center"/>
            </w:pPr>
            <w:r>
              <w:rPr>
                <w:rFonts w:ascii="Times New Roman" w:hAnsi="Times New Roman"/>
                <w:b/>
                <w:sz w:val="14"/>
              </w:rPr>
              <w:t>Path</w:t>
            </w:r>
          </w:p>
        </w:tc>
        <w:tc>
          <w:tcPr>
            <w:tcW w:type="dxa" w:w="1123"/>
            <w:vAlign w:val="center"/>
            <w:tcMar>
              <w:top w:w="40" w:type="dxa"/>
              <w:start w:w="55" w:type="dxa"/>
              <w:bottom w:w="40" w:type="dxa"/>
              <w:end w:w="55" w:type="dxa"/>
            </w:tcMar>
            <w:shd w:fill="D9E2F3"/>
          </w:tcPr>
          <w:p>
            <w:pPr>
              <w:spacing w:after="0"/>
              <w:jc w:val="center"/>
            </w:pPr>
            <w:r>
              <w:rPr>
                <w:rFonts w:ascii="Times New Roman" w:hAnsi="Times New Roman"/>
                <w:b/>
                <w:sz w:val="14"/>
              </w:rPr>
              <w:t>Supported</w:t>
              <w:br/>
              <w:t>answered</w:t>
            </w:r>
          </w:p>
        </w:tc>
        <w:tc>
          <w:tcPr>
            <w:tcW w:type="dxa" w:w="1181"/>
            <w:vAlign w:val="center"/>
            <w:tcMar>
              <w:top w:w="40" w:type="dxa"/>
              <w:start w:w="55" w:type="dxa"/>
              <w:bottom w:w="40" w:type="dxa"/>
              <w:end w:w="55" w:type="dxa"/>
            </w:tcMar>
            <w:shd w:fill="D9E2F3"/>
          </w:tcPr>
          <w:p>
            <w:pPr>
              <w:spacing w:after="0"/>
              <w:jc w:val="center"/>
            </w:pPr>
            <w:r>
              <w:rPr>
                <w:rFonts w:ascii="Times New Roman" w:hAnsi="Times New Roman"/>
                <w:b/>
                <w:sz w:val="14"/>
              </w:rPr>
              <w:t>Unsupported</w:t>
              <w:br/>
              <w:t>refused</w:t>
            </w:r>
          </w:p>
        </w:tc>
        <w:tc>
          <w:tcPr>
            <w:tcW w:type="dxa" w:w="1181"/>
            <w:vAlign w:val="center"/>
            <w:tcMar>
              <w:top w:w="40" w:type="dxa"/>
              <w:start w:w="55" w:type="dxa"/>
              <w:bottom w:w="40" w:type="dxa"/>
              <w:end w:w="55" w:type="dxa"/>
            </w:tcMar>
            <w:shd w:fill="D9E2F3"/>
          </w:tcPr>
          <w:p>
            <w:pPr>
              <w:spacing w:after="0"/>
              <w:jc w:val="center"/>
            </w:pPr>
            <w:r>
              <w:rPr>
                <w:rFonts w:ascii="Times New Roman" w:hAnsi="Times New Roman"/>
                <w:b/>
                <w:sz w:val="14"/>
              </w:rPr>
              <w:t>Complete</w:t>
              <w:br/>
              <w:t>and usable</w:t>
            </w:r>
          </w:p>
        </w:tc>
      </w:tr>
      <w:tr>
        <w:tc>
          <w:tcPr>
            <w:tcW w:type="dxa" w:w="1325"/>
            <w:vAlign w:val="center"/>
            <w:tcMar>
              <w:top w:w="40" w:type="dxa"/>
              <w:start w:w="55" w:type="dxa"/>
              <w:bottom w:w="40" w:type="dxa"/>
              <w:end w:w="55" w:type="dxa"/>
            </w:tcMar>
          </w:tcPr>
          <w:p>
            <w:pPr>
              <w:spacing w:after="0"/>
              <w:jc w:val="left"/>
            </w:pPr>
            <w:r>
              <w:rPr>
                <w:rFonts w:ascii="Times New Roman" w:hAnsi="Times New Roman"/>
                <w:sz w:val="15"/>
              </w:rPr>
              <w:t>Plain LLM</w:t>
            </w:r>
          </w:p>
        </w:tc>
        <w:tc>
          <w:tcPr>
            <w:tcW w:type="dxa" w:w="1123"/>
            <w:vAlign w:val="center"/>
            <w:tcMar>
              <w:top w:w="40" w:type="dxa"/>
              <w:start w:w="55" w:type="dxa"/>
              <w:bottom w:w="40" w:type="dxa"/>
              <w:end w:w="55" w:type="dxa"/>
            </w:tcMar>
          </w:tcPr>
          <w:p>
            <w:pPr>
              <w:spacing w:after="0"/>
              <w:jc w:val="center"/>
            </w:pPr>
            <w:r>
              <w:rPr>
                <w:rFonts w:ascii="Times New Roman" w:hAnsi="Times New Roman"/>
                <w:sz w:val="15"/>
              </w:rPr>
              <w:t>6/6</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0/2</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2/6</w:t>
            </w:r>
          </w:p>
        </w:tc>
      </w:tr>
      <w:tr>
        <w:tc>
          <w:tcPr>
            <w:tcW w:type="dxa" w:w="1325"/>
            <w:vAlign w:val="center"/>
            <w:tcMar>
              <w:top w:w="40" w:type="dxa"/>
              <w:start w:w="55" w:type="dxa"/>
              <w:bottom w:w="40" w:type="dxa"/>
              <w:end w:w="55" w:type="dxa"/>
            </w:tcMar>
          </w:tcPr>
          <w:p>
            <w:pPr>
              <w:spacing w:after="0"/>
              <w:jc w:val="left"/>
            </w:pPr>
            <w:r>
              <w:rPr>
                <w:rFonts w:ascii="Times New Roman" w:hAnsi="Times New Roman"/>
                <w:sz w:val="15"/>
              </w:rPr>
              <w:t>BM25 + LLM</w:t>
            </w:r>
          </w:p>
        </w:tc>
        <w:tc>
          <w:tcPr>
            <w:tcW w:type="dxa" w:w="1123"/>
            <w:vAlign w:val="center"/>
            <w:tcMar>
              <w:top w:w="40" w:type="dxa"/>
              <w:start w:w="55" w:type="dxa"/>
              <w:bottom w:w="40" w:type="dxa"/>
              <w:end w:w="55" w:type="dxa"/>
            </w:tcMar>
          </w:tcPr>
          <w:p>
            <w:pPr>
              <w:spacing w:after="0"/>
              <w:jc w:val="center"/>
            </w:pPr>
            <w:r>
              <w:rPr>
                <w:rFonts w:ascii="Times New Roman" w:hAnsi="Times New Roman"/>
                <w:sz w:val="15"/>
              </w:rPr>
              <w:t>4/6</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2/2</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3/6</w:t>
            </w:r>
          </w:p>
        </w:tc>
      </w:tr>
      <w:tr>
        <w:tc>
          <w:tcPr>
            <w:tcW w:type="dxa" w:w="1325"/>
            <w:vAlign w:val="center"/>
            <w:tcMar>
              <w:top w:w="40" w:type="dxa"/>
              <w:start w:w="55" w:type="dxa"/>
              <w:bottom w:w="40" w:type="dxa"/>
              <w:end w:w="55" w:type="dxa"/>
            </w:tcMar>
          </w:tcPr>
          <w:p>
            <w:pPr>
              <w:spacing w:after="0"/>
              <w:jc w:val="left"/>
            </w:pPr>
            <w:r>
              <w:rPr>
                <w:rFonts w:ascii="Times New Roman" w:hAnsi="Times New Roman"/>
                <w:sz w:val="15"/>
              </w:rPr>
              <w:t>Hybrid + LLM</w:t>
            </w:r>
          </w:p>
        </w:tc>
        <w:tc>
          <w:tcPr>
            <w:tcW w:type="dxa" w:w="1123"/>
            <w:vAlign w:val="center"/>
            <w:tcMar>
              <w:top w:w="40" w:type="dxa"/>
              <w:start w:w="55" w:type="dxa"/>
              <w:bottom w:w="40" w:type="dxa"/>
              <w:end w:w="55" w:type="dxa"/>
            </w:tcMar>
          </w:tcPr>
          <w:p>
            <w:pPr>
              <w:spacing w:after="0"/>
              <w:jc w:val="center"/>
            </w:pPr>
            <w:r>
              <w:rPr>
                <w:rFonts w:ascii="Times New Roman" w:hAnsi="Times New Roman"/>
                <w:sz w:val="15"/>
              </w:rPr>
              <w:t>5/6</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2/2</w:t>
            </w:r>
          </w:p>
        </w:tc>
        <w:tc>
          <w:tcPr>
            <w:tcW w:type="dxa" w:w="1181"/>
            <w:vAlign w:val="center"/>
            <w:tcMar>
              <w:top w:w="40" w:type="dxa"/>
              <w:start w:w="55" w:type="dxa"/>
              <w:bottom w:w="40" w:type="dxa"/>
              <w:end w:w="55" w:type="dxa"/>
            </w:tcMar>
          </w:tcPr>
          <w:p>
            <w:pPr>
              <w:spacing w:after="0"/>
              <w:jc w:val="center"/>
            </w:pPr>
            <w:r>
              <w:rPr>
                <w:rFonts w:ascii="Times New Roman" w:hAnsi="Times New Roman"/>
                <w:sz w:val="15"/>
              </w:rPr>
              <w:t>4/6</w:t>
            </w:r>
          </w:p>
        </w:tc>
      </w:tr>
    </w:tbl>
    <w:p>
      <w:pPr>
        <w:spacing w:before="20" w:after="60"/>
        <w:jc w:val="both"/>
      </w:pPr>
      <w:r>
        <w:rPr>
          <w:rFonts w:ascii="Times New Roman" w:hAnsi="Times New Roman"/>
          <w:i/>
          <w:sz w:val="15"/>
        </w:rPr>
        <w:t>Note: answered/refused is an automated status. Complete-and-usable is an AI-assisted source comparison, not independent human validation.</w:t>
      </w:r>
    </w:p>
    <w:p>
      <w:pPr>
        <w:spacing w:line="240" w:lineRule="auto" w:before="0" w:after="50"/>
        <w:ind w:firstLine="202"/>
        <w:jc w:val="both"/>
      </w:pPr>
      <w:r>
        <w:rPr>
          <w:rFonts w:ascii="Times New Roman" w:hAnsi="Times New Roman"/>
          <w:sz w:val="19"/>
        </w:rPr>
        <w:t>The frozen 20-case confirmation run retrieved a labelled passage within the top five for all 14 supported cases, but the original boundary logic refused only 4/6 unsupported cases, or 66.7%. Later code passed all six exposed cases; I treat that as regression evidence because the cases were no longer blind.</w:t>
      </w:r>
    </w:p>
    <w:p>
      <w:pPr>
        <w:spacing w:line="240" w:lineRule="auto" w:before="0" w:after="50"/>
        <w:ind w:firstLine="202"/>
        <w:jc w:val="both"/>
      </w:pPr>
      <w:r>
        <w:rPr>
          <w:rFonts w:ascii="Times New Roman" w:hAnsi="Times New Roman"/>
          <w:sz w:val="19"/>
        </w:rPr>
        <w:t>The paid comparison made 24 development calls without an API error. The hybrid path produced an answered status for 5/6 supported questions and refused 2/2 unsupported questions. The AI-assisted source comparison accepted only 4/6 hybrid answers as complete. One answer omitted the no-delay constraint between start_item and finish_item. The separate smoke answer cited the right passage but explained only that tracing is off by default and omitted how to enable it. The 80% answer-quality target was therefore not demonstrated.</w:t>
      </w:r>
    </w:p>
    <w:p>
      <w:pPr>
        <w:keepNext/>
        <w:spacing w:before="100" w:after="40"/>
        <w:jc w:val="center"/>
      </w:pPr>
      <w:r>
        <w:rPr>
          <w:rFonts w:ascii="Times New Roman" w:hAnsi="Times New Roman"/>
          <w:b/>
          <w:sz w:val="19"/>
        </w:rPr>
        <w:t>V. DEMONSTRATION, RISKS, AND LIMITS (25%)</w:t>
      </w:r>
    </w:p>
    <w:p>
      <w:pPr>
        <w:spacing w:line="240" w:lineRule="auto" w:before="0" w:after="50"/>
        <w:ind w:firstLine="202"/>
        <w:jc w:val="both"/>
      </w:pPr>
      <w:r>
        <w:rPr>
          <w:rFonts w:ascii="Times New Roman" w:hAnsi="Times New Roman"/>
          <w:sz w:val="19"/>
        </w:rPr>
        <w:t>The recorded demonstration shows a supported query with commit-linked evidence, a private-context request, an instruction-override attempt, the retrieval metrics, and the incomplete smoke answer. I kept the failure visible because it shows the project's most important limitation: a citation can be valid while the answer is still incomplete.</w:t>
      </w:r>
    </w:p>
    <w:p>
      <w:pPr>
        <w:spacing w:line="240" w:lineRule="auto" w:before="0" w:after="50"/>
        <w:ind w:firstLine="202"/>
        <w:jc w:val="both"/>
      </w:pPr>
      <w:r>
        <w:rPr>
          <w:rFonts w:ascii="Times New Roman" w:hAnsi="Times New Roman"/>
          <w:sz w:val="19"/>
        </w:rPr>
        <w:t>The remaining risks are stale sources, lexical misses, provider disclosure, false refusals, and over-reliance. VerifyRAG cannot compile a testbench, inspect an unseen DUT, diagnose a proprietary simulator, or approve sign-off. Before a pilot, I would use a larger frozen benchmark and blinded review by verification engineers.</w:t>
      </w:r>
      <w:r>
        <w:rPr>
          <w:rFonts w:ascii="Times New Roman" w:hAnsi="Times New Roman"/>
          <w:sz w:val="19"/>
        </w:rPr>
        <w:t xml:space="preserve"> For the next iteration, I would add paraphrase-heavy questions, a dense-retrieval baseline, and blinded scoring of correctness, completeness, and citation support. I would also record latency and manual lookup time on the same tasks. Those measurements would show whether the hosted step improves engineering work enough to justify its disclosure and maintenance costs.</w:t>
      </w:r>
    </w:p>
    <w:p>
      <w:pPr>
        <w:keepNext/>
        <w:spacing w:before="100" w:after="40"/>
        <w:jc w:val="center"/>
      </w:pPr>
      <w:r>
        <w:rPr>
          <w:rFonts w:ascii="Times New Roman" w:hAnsi="Times New Roman"/>
          <w:b/>
          <w:sz w:val="19"/>
        </w:rPr>
        <w:t>VI. CONCLUSION AND AI ASSISTANCE</w:t>
      </w:r>
    </w:p>
    <w:p>
      <w:pPr>
        <w:spacing w:line="240" w:lineRule="auto" w:before="0" w:after="50"/>
        <w:ind w:firstLine="202"/>
        <w:jc w:val="both"/>
      </w:pPr>
      <w:r>
        <w:rPr>
          <w:rFonts w:ascii="Times New Roman" w:hAnsi="Times New Roman"/>
          <w:sz w:val="19"/>
        </w:rPr>
        <w:t>VerifyRAG works as a reproducible evidence navigator, not as a validated expert replacement. The strongest result is reliable retrieval and inspectable provenance; the weakest is answer completeness. That distinction sets the next engineering task: improve evidence coverage and evaluate with independent domain reviewers.</w:t>
      </w:r>
    </w:p>
    <w:p>
      <w:pPr>
        <w:spacing w:line="240" w:lineRule="auto" w:before="0" w:after="50"/>
        <w:ind w:firstLine="202"/>
        <w:jc w:val="both"/>
      </w:pPr>
      <w:r>
        <w:rPr>
          <w:rFonts w:ascii="Times New Roman" w:hAnsi="Times New Roman"/>
          <w:sz w:val="19"/>
        </w:rPr>
        <w:t>I used generative AI only as an auxiliary efficiency tool: it helped with public-resource retrieval during research, basic syntax checks during coding, batch execution and record-keeping during test runs, and format polishing during editing. All core work, including engine architecture, core logic, the evaluation label system, test-case design, source-evidence validation and report content, was completed independently by me. I checked the final Colab run, retained failed and incomplete cases, and kept automated status separate from correctness claims. The detailed record is provided in docs/AI_USE.md in the repository.</w:t>
      </w:r>
    </w:p>
    <w:p>
      <w:pPr>
        <w:keepNext/>
        <w:spacing w:before="100" w:after="40"/>
        <w:jc w:val="center"/>
      </w:pPr>
      <w:r>
        <w:rPr>
          <w:rFonts w:ascii="Times New Roman" w:hAnsi="Times New Roman"/>
          <w:b/>
          <w:sz w:val="19"/>
        </w:rPr>
        <w:t>REFERENCES</w:t>
      </w:r>
    </w:p>
    <w:p>
      <w:pPr>
        <w:spacing w:after="30" w:line="240" w:lineRule="auto"/>
        <w:ind w:left="216" w:hanging="216"/>
        <w:jc w:val="left"/>
      </w:pPr>
      <w:r>
        <w:rPr>
          <w:rFonts w:ascii="Times New Roman" w:hAnsi="Times New Roman"/>
          <w:sz w:val="16"/>
        </w:rPr>
        <w:t xml:space="preserve">[1] Accellera Systems Initiative, "Download UVM (Standard Universal Verification Methodology)," [Online]. Available: </w:t>
      </w:r>
      <w:hyperlink r:id="rId11">
        <w:r>
          <w:rPr>
            <w:rFonts w:ascii="Times New Roman" w:hAnsi="Times New Roman"/>
            <w:color w:val="0563C1"/>
            <w:u w:val="single"/>
            <w:sz w:val="16"/>
          </w:rPr>
          <w:t>https://www.accellera.org/downloads/standards/uvm</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[2] Accellera Systems Initiative, "Accellera Universal Verification Methodology (UVM, IEEE 1800.2-2020), release 2020.3.1," [Online]. Available: </w:t>
      </w:r>
      <w:hyperlink r:id="rId12">
        <w:r>
          <w:rPr>
            <w:rFonts w:ascii="Times New Roman" w:hAnsi="Times New Roman"/>
            <w:color w:val="0563C1"/>
            <w:u w:val="single"/>
            <w:sz w:val="16"/>
          </w:rPr>
          <w:t>https://github.com/accellera-official/uvm-core/tree/2020.3.1</w:t>
        </w:r>
      </w:hyperlink>
      <w:r>
        <w:rPr>
          <w:rFonts w:ascii="Times New Roman" w:hAnsi="Times New Roman"/>
          <w:sz w:val="16"/>
        </w:rPr>
        <w:t>. GitHub repository. [Accessed: Sep. 30, 2026].</w:t>
      </w:r>
    </w:p>
    <w:p>
      <w:pPr>
        <w:spacing w:after="30" w:line="240" w:lineRule="auto"/>
        <w:ind w:left="216" w:hanging="216"/>
        <w:jc w:val="left"/>
      </w:pPr>
      <w:r>
        <w:rPr>
          <w:rFonts w:ascii="Times New Roman" w:hAnsi="Times New Roman"/>
          <w:sz w:val="16"/>
        </w:rPr>
        <w:t xml:space="preserve">[3] Verification Academy, "UVM 1.2 Class Reference," [Online]. Available: </w:t>
      </w:r>
      <w:hyperlink r:id="rId13">
        <w:r>
          <w:rPr>
            <w:rFonts w:ascii="Times New Roman" w:hAnsi="Times New Roman"/>
            <w:color w:val="0563C1"/>
            <w:u w:val="single"/>
            <w:sz w:val="16"/>
          </w:rPr>
          <w:t>https://verificationacademy.com/verification-methodology-reference/uvm/docs_1.2/html/index.html</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[4] Synopsys, "AI Copilots Boost Chip Design Productivity by 2-5x," [Online]. Available: </w:t>
      </w:r>
      <w:hyperlink r:id="rId14">
        <w:r>
          <w:rPr>
            <w:rFonts w:ascii="Times New Roman" w:hAnsi="Times New Roman"/>
            <w:color w:val="0563C1"/>
            <w:u w:val="single"/>
            <w:sz w:val="16"/>
          </w:rPr>
          <w:t>https://www.synopsys.com/blogs/chip-design/synopsys-ai-copilots-chip-design.html</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[5] Siemens, "Questa One Agentic Toolkit," [Online]. Available: </w:t>
      </w:r>
      <w:hyperlink r:id="rId15">
        <w:r>
          <w:rPr>
            <w:rFonts w:ascii="Times New Roman" w:hAnsi="Times New Roman"/>
            <w:color w:val="0563C1"/>
            <w:u w:val="single"/>
            <w:sz w:val="16"/>
          </w:rPr>
          <w:t>https://www.siemens.com/en-gb/products/ic/questa-one/agentic-toolkit/</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[6] Cadence, "Verisium AI-Driven Verification Platform," [Online]. Available: </w:t>
      </w:r>
      <w:hyperlink r:id="rId16">
        <w:r>
          <w:rPr>
            <w:rFonts w:ascii="Times New Roman" w:hAnsi="Times New Roman"/>
            <w:color w:val="0563C1"/>
            <w:u w:val="single"/>
            <w:sz w:val="16"/>
          </w:rPr>
          <w:t>https://www.cadence.com/en_US/home/tools/system-design-and-verification/ai-driven-verification.html</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[7] OpenRouter, "GPT-4o-mini - API Pricing and Benchmarks," [Online]. Available: </w:t>
      </w:r>
      <w:hyperlink r:id="rId17">
        <w:r>
          <w:rPr>
            <w:rFonts w:ascii="Times New Roman" w:hAnsi="Times New Roman"/>
            <w:color w:val="0563C1"/>
            <w:u w:val="single"/>
            <w:sz w:val="16"/>
          </w:rPr>
          <w:t>https://openrouter.ai/openai/gpt-4o-mini</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[8] OpenRouter, "Structured Outputs - Type-Safe JSON Responses from AI Models," [Online]. Available: </w:t>
      </w:r>
      <w:hyperlink r:id="rId18">
        <w:r>
          <w:rPr>
            <w:rFonts w:ascii="Times New Roman" w:hAnsi="Times New Roman"/>
            <w:color w:val="0563C1"/>
            <w:u w:val="single"/>
            <w:sz w:val="16"/>
          </w:rPr>
          <w:t>https://openrouter.ai/docs/guides/features/structured-outputs</w:t>
        </w:r>
      </w:hyperlink>
      <w:r>
        <w:rPr>
          <w:rFonts w:ascii="Times New Roman" w:hAnsi="Times New Roman"/>
          <w:sz w:val="16"/>
        </w:rPr>
        <w:t>. [Accessed: Sep. 30, 2026].</w:t>
      </w:r>
    </w:p>
    <w:p>
      <w:pPr>
        <w:spacing w:after="30" w:line="240" w:lineRule="auto"/>
        <w:ind w:left="216" w:hanging="216"/>
        <w:jc w:val="left"/>
      </w:pPr>
      <w:r>
        <w:rPr>
          <w:rFonts w:ascii="Times New Roman" w:hAnsi="Times New Roman"/>
          <w:sz w:val="16"/>
        </w:rPr>
        <w:t xml:space="preserve">[9] OpenRouter, "Usage Accounting - Track AI Model Token Usage," [Online]. Available: </w:t>
      </w:r>
      <w:hyperlink r:id="rId19">
        <w:r>
          <w:rPr>
            <w:rFonts w:ascii="Times New Roman" w:hAnsi="Times New Roman"/>
            <w:color w:val="0563C1"/>
            <w:u w:val="single"/>
            <w:sz w:val="16"/>
          </w:rPr>
          <w:t>https://openrouter.ai/docs/cookbook/administration/usage-accounting</w:t>
        </w:r>
      </w:hyperlink>
      <w:r>
        <w:rPr>
          <w:rFonts w:ascii="Times New Roman" w:hAnsi="Times New Roman"/>
          <w:sz w:val="16"/>
        </w:rPr>
        <w:t>. [Accessed: Sep. 30, 2026].</w:t>
      </w:r>
    </w:p>
    <w:p>
      <w:pPr>
        <w:spacing w:before="0" w:after="0" w:line="20" w:lineRule="exact"/>
        <w:sectPr>
          <w:footerReference w:type="default" r:id="rId21"/>
          <w:type w:val="continuous"/>
          <w:pgSz w:w="11906" w:h="16838"/>
          <w:pgMar w:top="893" w:right="979" w:bottom="893" w:left="979" w:header="360" w:footer="403" w:gutter="0"/>
          <w:cols w:space="320" w:num="2"/>
          <w:docGrid w:linePitch="360"/>
        </w:sectPr>
      </w:pPr>
    </w:p>
    <w:sectPr w:rsidR="00FC693F" w:rsidRPr="0006063C" w:rsidSect="00034616">
      <w:footerReference w:type="default" r:id="rId22"/>
      <w:type w:val="continuous"/>
      <w:pgSz w:w="11906" w:h="16838"/>
      <w:pgMar w:top="893" w:right="979" w:bottom="893" w:left="979" w:header="360" w:footer="403"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effuestcuog-hub/VerifyRAG" TargetMode="External"/><Relationship Id="rId10" Type="http://schemas.openxmlformats.org/officeDocument/2006/relationships/hyperlink" Target="https://youtu.be/_HlLxGaPP88" TargetMode="External"/><Relationship Id="rId11" Type="http://schemas.openxmlformats.org/officeDocument/2006/relationships/hyperlink" Target="https://www.accellera.org/downloads/standards/uvm" TargetMode="External"/><Relationship Id="rId12" Type="http://schemas.openxmlformats.org/officeDocument/2006/relationships/hyperlink" Target="https://github.com/accellera-official/uvm-core/tree/2020.3.1" TargetMode="External"/><Relationship Id="rId13" Type="http://schemas.openxmlformats.org/officeDocument/2006/relationships/hyperlink" Target="https://verificationacademy.com/verification-methodology-reference/uvm/docs_1.2/html/index.html" TargetMode="External"/><Relationship Id="rId14" Type="http://schemas.openxmlformats.org/officeDocument/2006/relationships/hyperlink" Target="https://www.synopsys.com/blogs/chip-design/synopsys-ai-copilots-chip-design.html" TargetMode="External"/><Relationship Id="rId15" Type="http://schemas.openxmlformats.org/officeDocument/2006/relationships/hyperlink" Target="https://www.siemens.com/en-gb/products/ic/questa-one/agentic-toolkit/" TargetMode="External"/><Relationship Id="rId16" Type="http://schemas.openxmlformats.org/officeDocument/2006/relationships/hyperlink" Target="https://www.cadence.com/en_US/home/tools/system-design-and-verification/ai-driven-verification.html" TargetMode="External"/><Relationship Id="rId17" Type="http://schemas.openxmlformats.org/officeDocument/2006/relationships/hyperlink" Target="https://openrouter.ai/openai/gpt-4o-mini" TargetMode="External"/><Relationship Id="rId18" Type="http://schemas.openxmlformats.org/officeDocument/2006/relationships/hyperlink" Target="https://openrouter.ai/docs/guides/features/structured-outputs" TargetMode="External"/><Relationship Id="rId19" Type="http://schemas.openxmlformats.org/officeDocument/2006/relationships/hyperlink" Target="https://openrouter.ai/docs/cookbook/administration/usage-accounting"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VerifyRAG Evidence-Grounded UVM Assistance with Hybrid Lexical Retrieval</dc:title>
  <dc:subject>PE6201 Individual End-of-Course Project Trade-off Analysis</dc:subject>
  <dc:creator>Gao Zihan</dc:creator>
  <cp:keywords>VerifyRAG, UVM, SystemVerilog, RAG, BM25, evaluation</cp:keywords>
  <dc:description>Final IEEE-style report prepared for PE6201 submission.</dc:description>
  <cp:lastModifiedBy/>
  <cp:revision>1</cp:revision>
  <dcterms:created xsi:type="dcterms:W3CDTF">2013-12-23T23:15:00Z</dcterms:created>
  <dcterms:modified xsi:type="dcterms:W3CDTF">2013-12-23T23:15:00Z</dcterms:modified>
  <cp:category/>
</cp:coreProperties>
</file>