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NodeRag Export Style Fixture</w:t>
      </w:r>
    </w:p>
    <w:p>
      <w:r>
        <w:t>This non-private fixture tests headings, paragraphs, a table, page handling, and Unicode extraction. Expected text includes café, Ελληνικά, 中文, and the emoji sequence 👨‍👩‍👧‍👦.</w:t>
      </w:r>
    </w:p>
    <w:p>
      <w:pPr>
        <w:pStyle w:val="Heading1"/>
      </w:pPr>
      <w:r>
        <w:t>Inspection summary</w:t>
      </w:r>
    </w:p>
    <w:p>
      <w:r>
        <w:t>The north entrance requires twelve brackets and eight weather seals. The inspection remains scheduled for 2026-09-15. Text order should remain stable when the document is converted to canonical Markdown.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Steel brackets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$4.50</w:t>
            </w:r>
          </w:p>
        </w:tc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$54.00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Weather seals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$7.25</w:t>
            </w:r>
          </w:p>
        </w:tc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$58.00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Inspection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$85.00</w:t>
            </w:r>
          </w:p>
        </w:tc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$85.00</w:t>
            </w:r>
          </w:p>
        </w:tc>
      </w:tr>
    </w:tbl>
    <w:p>
      <w:pPr>
        <w:pStyle w:val="Heading1"/>
      </w:pPr>
      <w:r>
        <w:t>Export characteristics</w:t>
      </w:r>
    </w:p>
    <w:p>
      <w:r>
        <w:t>This synthetic export-style fixture deliberately has no rendered page map. The extractor must label its page basis as none rather than pretending that OOXML contains authoritative pages.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NodeRag Export Style Fixture</dc:title>
  <dc:subject>NodeRag M01 extraction fixture; expected page basis none</dc:subject>
  <dc:creator>NodeRag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