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NodeRag Project Requirements</w:t>
      </w:r>
    </w:p>
    <w:p>
      <w:r>
        <w:rPr>
          <w:i/>
        </w:rPr>
        <w:t>Approved project decisions for evaluation and retrieval testing</w:t>
      </w:r>
    </w:p>
    <w:p>
      <w:pPr>
        <w:pStyle w:val="Heading1"/>
      </w:pPr>
      <w:r>
        <w:t>Deployment and ingestion</w:t>
      </w:r>
    </w:p>
    <w:p>
      <w:r>
        <w:t>NodeRag is a self-contained retrieval augmented generation database for Synology DSM 7.2 or later. Development and milestone certification run in WSL and Docker through Milestone 14. The exact release candidate is tested on DSM only after the Docker milestones are complete.</w:t>
      </w:r>
    </w:p>
    <w:p>
      <w:r>
        <w:t>The package contains PostgreSQL 17 with pgvector and uses Qwen3-Embedding-0.6B on the device CPU. Document text, embeddings, queries, and search results remain local. Only selected images may be sent to the configured Ollama vision host.</w:t>
      </w:r>
    </w:p>
    <w:p>
      <w:pPr>
        <w:pStyle w:val="Heading2"/>
      </w:pPr>
      <w:r>
        <w:t>Supported source formats</w:t>
      </w:r>
    </w:p>
    <w:p>
      <w:pPr>
        <w:pStyle w:val="ListBullet"/>
        <w:spacing w:after="80"/>
      </w:pPr>
      <w:r>
        <w:t>PDF, DOCX, XLSX, Markdown, and plain text are supported release formats.</w:t>
      </w:r>
    </w:p>
    <w:p>
      <w:pPr>
        <w:pStyle w:val="ListBullet"/>
        <w:spacing w:after="80"/>
      </w:pPr>
      <w:r>
        <w:t>Every original and normalized artifact is identified by a SHA-256 digest.</w:t>
      </w:r>
    </w:p>
    <w:p>
      <w:pPr>
        <w:pStyle w:val="ListBullet"/>
        <w:spacing w:after="80"/>
      </w:pPr>
      <w:r>
        <w:t>ING-417 identifies the rule that a failed image analysis must not stop text ingestion.</w:t>
      </w:r>
    </w:p>
    <w:p>
      <w:pPr>
        <w:pStyle w:val="ListBullet"/>
        <w:spacing w:after="80"/>
      </w:pPr>
      <w:r>
        <w:t>Afrikaans source phrase: plaaslike kennis bly op die NAS.</w:t>
      </w:r>
    </w:p>
    <w:p>
      <w:pPr>
        <w:pStyle w:val="ListBullet"/>
        <w:spacing w:after="80"/>
      </w:pPr>
      <w:r>
        <w:t>Japanese source phrase: ローカル検索は文書の境界を守ります。</w:t>
      </w:r>
    </w:p>
    <w:p>
      <w:r>
        <w:br w:type="page"/>
      </w:r>
    </w:p>
    <w:p>
      <w:pPr>
        <w:pStyle w:val="Heading1"/>
      </w:pPr>
      <w:r>
        <w:t>Retrieval quality and locators</w:t>
      </w:r>
    </w:p>
    <w:p>
      <w:r>
        <w:t>Vector search is the initial release default. Hybrid becomes the default only when it improves overall Recall at 10 by at least two percentage points without more than doubling p95 latency. Keyword search remains available for exact identifiers, names, error codes, and quoted phrases.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2880"/>
            <w:vAlign w:val="center"/>
            <w:shd w:fill="1F4E78"/>
          </w:tcPr>
          <w:p>
            <w:pPr>
              <w:spacing w:after="40"/>
            </w:pPr>
            <w:r>
              <w:rPr>
                <w:rFonts w:ascii="Arial" w:hAnsi="Arial"/>
                <w:b/>
                <w:color w:val="FFFFFF"/>
                <w:sz w:val="19"/>
              </w:rPr>
              <w:t>Measure</w:t>
            </w:r>
          </w:p>
        </w:tc>
        <w:tc>
          <w:tcPr>
            <w:tcW w:type="dxa" w:w="2592"/>
            <w:vAlign w:val="center"/>
            <w:shd w:fill="1F4E78"/>
          </w:tcPr>
          <w:p>
            <w:pPr>
              <w:spacing w:after="40"/>
            </w:pPr>
            <w:r>
              <w:rPr>
                <w:rFonts w:ascii="Arial" w:hAnsi="Arial"/>
                <w:b/>
                <w:color w:val="FFFFFF"/>
                <w:sz w:val="19"/>
              </w:rPr>
              <w:t>Release threshold</w:t>
            </w:r>
          </w:p>
        </w:tc>
        <w:tc>
          <w:tcPr>
            <w:tcW w:type="dxa" w:w="4320"/>
            <w:vAlign w:val="center"/>
            <w:shd w:fill="1F4E78"/>
          </w:tcPr>
          <w:p>
            <w:pPr>
              <w:spacing w:after="40"/>
            </w:pPr>
            <w:r>
              <w:rPr>
                <w:rFonts w:ascii="Arial" w:hAnsi="Arial"/>
                <w:b/>
                <w:color w:val="FFFFFF"/>
                <w:sz w:val="19"/>
              </w:rPr>
              <w:t>Scope</w:t>
            </w:r>
          </w:p>
        </w:tc>
      </w:tr>
      <w:tr>
        <w:tc>
          <w:tcPr>
            <w:tcW w:type="dxa" w:w="2880"/>
            <w:vAlign w:val="center"/>
          </w:tcPr>
          <w:p>
            <w:pPr>
              <w:spacing w:after="40"/>
            </w:pPr>
            <w:r>
              <w:rPr>
                <w:rFonts w:ascii="Arial" w:hAnsi="Arial"/>
                <w:sz w:val="19"/>
              </w:rPr>
              <w:t>Overall Recall at 10</w:t>
            </w:r>
          </w:p>
        </w:tc>
        <w:tc>
          <w:tcPr>
            <w:tcW w:type="dxa" w:w="2592"/>
            <w:vAlign w:val="center"/>
          </w:tcPr>
          <w:p>
            <w:pPr>
              <w:spacing w:after="40"/>
            </w:pPr>
            <w:r>
              <w:rPr>
                <w:rFonts w:ascii="Arial" w:hAnsi="Arial"/>
                <w:sz w:val="19"/>
              </w:rPr>
              <w:t>At least 0.85</w:t>
            </w:r>
          </w:p>
        </w:tc>
        <w:tc>
          <w:tcPr>
            <w:tcW w:type="dxa" w:w="4320"/>
            <w:vAlign w:val="center"/>
          </w:tcPr>
          <w:p>
            <w:pPr>
              <w:spacing w:after="40"/>
            </w:pPr>
            <w:r>
              <w:rPr>
                <w:rFonts w:ascii="Arial" w:hAnsi="Arial"/>
                <w:sz w:val="19"/>
              </w:rPr>
              <w:t>Answerable golden cases</w:t>
            </w:r>
          </w:p>
        </w:tc>
      </w:tr>
      <w:tr>
        <w:tc>
          <w:tcPr>
            <w:tcW w:type="dxa" w:w="2880"/>
            <w:vAlign w:val="center"/>
            <w:shd w:fill="EEF3F8"/>
          </w:tcPr>
          <w:p>
            <w:pPr>
              <w:spacing w:after="40"/>
            </w:pPr>
            <w:r>
              <w:rPr>
                <w:rFonts w:ascii="Arial" w:hAnsi="Arial"/>
                <w:sz w:val="19"/>
              </w:rPr>
              <w:t>Format Recall at 10</w:t>
            </w:r>
          </w:p>
        </w:tc>
        <w:tc>
          <w:tcPr>
            <w:tcW w:type="dxa" w:w="2592"/>
            <w:vAlign w:val="center"/>
            <w:shd w:fill="EEF3F8"/>
          </w:tcPr>
          <w:p>
            <w:pPr>
              <w:spacing w:after="40"/>
            </w:pPr>
            <w:r>
              <w:rPr>
                <w:rFonts w:ascii="Arial" w:hAnsi="Arial"/>
                <w:sz w:val="19"/>
              </w:rPr>
              <w:t>At least 0.80</w:t>
            </w:r>
          </w:p>
        </w:tc>
        <w:tc>
          <w:tcPr>
            <w:tcW w:type="dxa" w:w="4320"/>
            <w:vAlign w:val="center"/>
            <w:shd w:fill="EEF3F8"/>
          </w:tcPr>
          <w:p>
            <w:pPr>
              <w:spacing w:after="40"/>
            </w:pPr>
            <w:r>
              <w:rPr>
                <w:rFonts w:ascii="Arial" w:hAnsi="Arial"/>
                <w:sz w:val="19"/>
              </w:rPr>
              <w:t>Each supported format</w:t>
            </w:r>
          </w:p>
        </w:tc>
      </w:tr>
      <w:tr>
        <w:tc>
          <w:tcPr>
            <w:tcW w:type="dxa" w:w="2880"/>
            <w:vAlign w:val="center"/>
          </w:tcPr>
          <w:p>
            <w:pPr>
              <w:spacing w:after="40"/>
            </w:pPr>
            <w:r>
              <w:rPr>
                <w:rFonts w:ascii="Arial" w:hAnsi="Arial"/>
                <w:sz w:val="19"/>
              </w:rPr>
              <w:t>Zero result rate</w:t>
            </w:r>
          </w:p>
        </w:tc>
        <w:tc>
          <w:tcPr>
            <w:tcW w:type="dxa" w:w="2592"/>
            <w:vAlign w:val="center"/>
          </w:tcPr>
          <w:p>
            <w:pPr>
              <w:spacing w:after="40"/>
            </w:pPr>
            <w:r>
              <w:rPr>
                <w:rFonts w:ascii="Arial" w:hAnsi="Arial"/>
                <w:sz w:val="19"/>
              </w:rPr>
              <w:t>No more than 5 percent</w:t>
            </w:r>
          </w:p>
        </w:tc>
        <w:tc>
          <w:tcPr>
            <w:tcW w:type="dxa" w:w="4320"/>
            <w:vAlign w:val="center"/>
          </w:tcPr>
          <w:p>
            <w:pPr>
              <w:spacing w:after="40"/>
            </w:pPr>
            <w:r>
              <w:rPr>
                <w:rFonts w:ascii="Arial" w:hAnsi="Arial"/>
                <w:sz w:val="19"/>
              </w:rPr>
              <w:t>Answerable cases</w:t>
            </w:r>
          </w:p>
        </w:tc>
      </w:tr>
      <w:tr>
        <w:tc>
          <w:tcPr>
            <w:tcW w:type="dxa" w:w="2880"/>
            <w:vAlign w:val="center"/>
            <w:shd w:fill="EEF3F8"/>
          </w:tcPr>
          <w:p>
            <w:pPr>
              <w:spacing w:after="40"/>
            </w:pPr>
            <w:r>
              <w:rPr>
                <w:rFonts w:ascii="Arial" w:hAnsi="Arial"/>
                <w:sz w:val="19"/>
              </w:rPr>
              <w:t>Idle search p95</w:t>
            </w:r>
          </w:p>
        </w:tc>
        <w:tc>
          <w:tcPr>
            <w:tcW w:type="dxa" w:w="2592"/>
            <w:vAlign w:val="center"/>
            <w:shd w:fill="EEF3F8"/>
          </w:tcPr>
          <w:p>
            <w:pPr>
              <w:spacing w:after="40"/>
            </w:pPr>
            <w:r>
              <w:rPr>
                <w:rFonts w:ascii="Arial" w:hAnsi="Arial"/>
                <w:sz w:val="19"/>
              </w:rPr>
              <w:t>No more than 3 seconds</w:t>
            </w:r>
          </w:p>
        </w:tc>
        <w:tc>
          <w:tcPr>
            <w:tcW w:type="dxa" w:w="4320"/>
            <w:vAlign w:val="center"/>
            <w:shd w:fill="EEF3F8"/>
          </w:tcPr>
          <w:p>
            <w:pPr>
              <w:spacing w:after="40"/>
            </w:pPr>
            <w:r>
              <w:rPr>
                <w:rFonts w:ascii="Arial" w:hAnsi="Arial"/>
                <w:sz w:val="19"/>
              </w:rPr>
              <w:t>Recorded Docker envelope</w:t>
            </w:r>
          </w:p>
        </w:tc>
      </w:tr>
      <w:tr>
        <w:tc>
          <w:tcPr>
            <w:tcW w:type="dxa" w:w="2880"/>
            <w:vAlign w:val="center"/>
          </w:tcPr>
          <w:p>
            <w:pPr>
              <w:spacing w:after="40"/>
            </w:pPr>
            <w:r>
              <w:rPr>
                <w:rFonts w:ascii="Arial" w:hAnsi="Arial"/>
                <w:sz w:val="19"/>
              </w:rPr>
              <w:t>Active ingest p95</w:t>
            </w:r>
          </w:p>
        </w:tc>
        <w:tc>
          <w:tcPr>
            <w:tcW w:type="dxa" w:w="2592"/>
            <w:vAlign w:val="center"/>
          </w:tcPr>
          <w:p>
            <w:pPr>
              <w:spacing w:after="40"/>
            </w:pPr>
            <w:r>
              <w:rPr>
                <w:rFonts w:ascii="Arial" w:hAnsi="Arial"/>
                <w:sz w:val="19"/>
              </w:rPr>
              <w:t>No more than 5 seconds</w:t>
            </w:r>
          </w:p>
        </w:tc>
        <w:tc>
          <w:tcPr>
            <w:tcW w:type="dxa" w:w="4320"/>
            <w:vAlign w:val="center"/>
          </w:tcPr>
          <w:p>
            <w:pPr>
              <w:spacing w:after="40"/>
            </w:pPr>
            <w:r>
              <w:rPr>
                <w:rFonts w:ascii="Arial" w:hAnsi="Arial"/>
                <w:sz w:val="19"/>
              </w:rPr>
              <w:t>Recorded Docker envelope</w:t>
            </w:r>
          </w:p>
        </w:tc>
      </w:tr>
    </w:tbl>
    <w:p>
      <w:r>
        <w:t>A relevant judgment uses the stable document identity plus a page number or sheet range. Chunk IDs are not relevance identities because re-chunking replaces them. Chunks may span pages and therefore carry both page_start and page_end as well as UTF-16 character offsets and UTF-8 byte offsets.</w:t>
      </w:r>
    </w:p>
    <w:p>
      <w:r>
        <w:br w:type="page"/>
      </w:r>
    </w:p>
    <w:p>
      <w:pPr>
        <w:pStyle w:val="Heading1"/>
      </w:pPr>
      <w:r>
        <w:t>Rebuild activation and rollback</w:t>
      </w:r>
    </w:p>
    <w:p>
      <w:r>
        <w:t>A build freezes the chunk profile, model manifest digest, vector dimension, and selected silos. An administrator confirms a capacity-valid proposal before detached staging tables and low-priority jobs are created. Search never reads a staging table before verification succeeds.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1800"/>
            <w:vAlign w:val="center"/>
            <w:shd w:fill="1F4E78"/>
          </w:tcPr>
          <w:p>
            <w:pPr>
              <w:spacing w:after="40"/>
            </w:pPr>
            <w:r>
              <w:rPr>
                <w:rFonts w:ascii="Arial" w:hAnsi="Arial"/>
                <w:b/>
                <w:color w:val="FFFFFF"/>
                <w:sz w:val="19"/>
              </w:rPr>
              <w:t>Stage</w:t>
            </w:r>
          </w:p>
        </w:tc>
        <w:tc>
          <w:tcPr>
            <w:tcW w:type="dxa" w:w="3384"/>
            <w:vAlign w:val="center"/>
            <w:shd w:fill="1F4E78"/>
          </w:tcPr>
          <w:p>
            <w:pPr>
              <w:spacing w:after="40"/>
            </w:pPr>
            <w:r>
              <w:rPr>
                <w:rFonts w:ascii="Arial" w:hAnsi="Arial"/>
                <w:b/>
                <w:color w:val="FFFFFF"/>
                <w:sz w:val="19"/>
              </w:rPr>
              <w:t>Required state</w:t>
            </w:r>
          </w:p>
        </w:tc>
        <w:tc>
          <w:tcPr>
            <w:tcW w:type="dxa" w:w="4608"/>
            <w:vAlign w:val="center"/>
            <w:shd w:fill="1F4E78"/>
          </w:tcPr>
          <w:p>
            <w:pPr>
              <w:spacing w:after="40"/>
            </w:pPr>
            <w:r>
              <w:rPr>
                <w:rFonts w:ascii="Arial" w:hAnsi="Arial"/>
                <w:b/>
                <w:color w:val="FFFFFF"/>
                <w:sz w:val="19"/>
              </w:rPr>
              <w:t>Failure behavior</w:t>
            </w:r>
          </w:p>
        </w:tc>
      </w:tr>
      <w:tr>
        <w:tc>
          <w:tcPr>
            <w:tcW w:type="dxa" w:w="1800"/>
            <w:vAlign w:val="center"/>
          </w:tcPr>
          <w:p>
            <w:pPr>
              <w:spacing w:after="40"/>
            </w:pPr>
            <w:r>
              <w:rPr>
                <w:rFonts w:ascii="Arial" w:hAnsi="Arial"/>
                <w:sz w:val="19"/>
              </w:rPr>
              <w:t>Build</w:t>
            </w:r>
          </w:p>
        </w:tc>
        <w:tc>
          <w:tcPr>
            <w:tcW w:type="dxa" w:w="3384"/>
            <w:vAlign w:val="center"/>
          </w:tcPr>
          <w:p>
            <w:pPr>
              <w:spacing w:after="40"/>
            </w:pPr>
            <w:r>
              <w:rPr>
                <w:rFonts w:ascii="Arial" w:hAnsi="Arial"/>
                <w:sz w:val="19"/>
              </w:rPr>
              <w:t>Detached and checkpointed</w:t>
            </w:r>
          </w:p>
        </w:tc>
        <w:tc>
          <w:tcPr>
            <w:tcW w:type="dxa" w:w="4608"/>
            <w:vAlign w:val="center"/>
          </w:tcPr>
          <w:p>
            <w:pPr>
              <w:spacing w:after="40"/>
            </w:pPr>
            <w:r>
              <w:rPr>
                <w:rFonts w:ascii="Arial" w:hAnsi="Arial"/>
                <w:sz w:val="19"/>
              </w:rPr>
              <w:t>Resume from completed documents</w:t>
            </w:r>
          </w:p>
        </w:tc>
      </w:tr>
      <w:tr>
        <w:tc>
          <w:tcPr>
            <w:tcW w:type="dxa" w:w="1800"/>
            <w:vAlign w:val="center"/>
            <w:shd w:fill="EEF3F8"/>
          </w:tcPr>
          <w:p>
            <w:pPr>
              <w:spacing w:after="40"/>
            </w:pPr>
            <w:r>
              <w:rPr>
                <w:rFonts w:ascii="Arial" w:hAnsi="Arial"/>
                <w:sz w:val="19"/>
              </w:rPr>
              <w:t>Verify</w:t>
            </w:r>
          </w:p>
        </w:tc>
        <w:tc>
          <w:tcPr>
            <w:tcW w:type="dxa" w:w="3384"/>
            <w:vAlign w:val="center"/>
            <w:shd w:fill="EEF3F8"/>
          </w:tcPr>
          <w:p>
            <w:pPr>
              <w:spacing w:after="40"/>
            </w:pPr>
            <w:r>
              <w:rPr>
                <w:rFonts w:ascii="Arial" w:hAnsi="Arial"/>
                <w:sz w:val="19"/>
              </w:rPr>
              <w:t>Coverage and locator checks pass</w:t>
            </w:r>
          </w:p>
        </w:tc>
        <w:tc>
          <w:tcPr>
            <w:tcW w:type="dxa" w:w="4608"/>
            <w:vAlign w:val="center"/>
            <w:shd w:fill="EEF3F8"/>
          </w:tcPr>
          <w:p>
            <w:pPr>
              <w:spacing w:after="40"/>
            </w:pPr>
            <w:r>
              <w:rPr>
                <w:rFonts w:ascii="Arial" w:hAnsi="Arial"/>
                <w:sz w:val="19"/>
              </w:rPr>
              <w:t>Leave staging unsearchable</w:t>
            </w:r>
          </w:p>
        </w:tc>
      </w:tr>
      <w:tr>
        <w:tc>
          <w:tcPr>
            <w:tcW w:type="dxa" w:w="1800"/>
            <w:vAlign w:val="center"/>
          </w:tcPr>
          <w:p>
            <w:pPr>
              <w:spacing w:after="40"/>
            </w:pPr>
            <w:r>
              <w:rPr>
                <w:rFonts w:ascii="Arial" w:hAnsi="Arial"/>
                <w:sz w:val="19"/>
              </w:rPr>
              <w:t>Activate</w:t>
            </w:r>
          </w:p>
        </w:tc>
        <w:tc>
          <w:tcPr>
            <w:tcW w:type="dxa" w:w="3384"/>
            <w:vAlign w:val="center"/>
          </w:tcPr>
          <w:p>
            <w:pPr>
              <w:spacing w:after="40"/>
            </w:pPr>
            <w:r>
              <w:rPr>
                <w:rFonts w:ascii="Arial" w:hAnsi="Arial"/>
                <w:sz w:val="19"/>
              </w:rPr>
              <w:t>Exclusive cutover lock</w:t>
            </w:r>
          </w:p>
        </w:tc>
        <w:tc>
          <w:tcPr>
            <w:tcW w:type="dxa" w:w="4608"/>
            <w:vAlign w:val="center"/>
          </w:tcPr>
          <w:p>
            <w:pPr>
              <w:spacing w:after="40"/>
            </w:pPr>
            <w:r>
              <w:rPr>
                <w:rFonts w:ascii="Arial" w:hAnsi="Arial"/>
                <w:sz w:val="19"/>
              </w:rPr>
              <w:t>Keep prior active tables</w:t>
            </w:r>
          </w:p>
        </w:tc>
      </w:tr>
      <w:tr>
        <w:tc>
          <w:tcPr>
            <w:tcW w:type="dxa" w:w="1800"/>
            <w:vAlign w:val="center"/>
            <w:shd w:fill="EEF3F8"/>
          </w:tcPr>
          <w:p>
            <w:pPr>
              <w:spacing w:after="40"/>
            </w:pPr>
            <w:r>
              <w:rPr>
                <w:rFonts w:ascii="Arial" w:hAnsi="Arial"/>
                <w:sz w:val="19"/>
              </w:rPr>
              <w:t>Rollback</w:t>
            </w:r>
          </w:p>
        </w:tc>
        <w:tc>
          <w:tcPr>
            <w:tcW w:type="dxa" w:w="3384"/>
            <w:vAlign w:val="center"/>
            <w:shd w:fill="EEF3F8"/>
          </w:tcPr>
          <w:p>
            <w:pPr>
              <w:spacing w:after="40"/>
            </w:pPr>
            <w:r>
              <w:rPr>
                <w:rFonts w:ascii="Arial" w:hAnsi="Arial"/>
                <w:sz w:val="19"/>
              </w:rPr>
              <w:t>Prior table is retained</w:t>
            </w:r>
          </w:p>
        </w:tc>
        <w:tc>
          <w:tcPr>
            <w:tcW w:type="dxa" w:w="4608"/>
            <w:vAlign w:val="center"/>
            <w:shd w:fill="EEF3F8"/>
          </w:tcPr>
          <w:p>
            <w:pPr>
              <w:spacing w:after="40"/>
            </w:pPr>
            <w:r>
              <w:rPr>
                <w:rFonts w:ascii="Arial" w:hAnsi="Arial"/>
                <w:sz w:val="19"/>
              </w:rPr>
              <w:t>Restore before cleanup</w:t>
            </w:r>
          </w:p>
        </w:tc>
      </w:tr>
      <w:tr>
        <w:tc>
          <w:tcPr>
            <w:tcW w:type="dxa" w:w="1800"/>
            <w:vAlign w:val="center"/>
          </w:tcPr>
          <w:p>
            <w:pPr>
              <w:spacing w:after="40"/>
            </w:pPr>
            <w:r>
              <w:rPr>
                <w:rFonts w:ascii="Arial" w:hAnsi="Arial"/>
                <w:sz w:val="19"/>
              </w:rPr>
              <w:t>Cleanup</w:t>
            </w:r>
          </w:p>
        </w:tc>
        <w:tc>
          <w:tcPr>
            <w:tcW w:type="dxa" w:w="3384"/>
            <w:vAlign w:val="center"/>
          </w:tcPr>
          <w:p>
            <w:pPr>
              <w:spacing w:after="40"/>
            </w:pPr>
            <w:r>
              <w:rPr>
                <w:rFonts w:ascii="Arial" w:hAnsi="Arial"/>
                <w:sz w:val="19"/>
              </w:rPr>
              <w:t>Typed authorization exists</w:t>
            </w:r>
          </w:p>
        </w:tc>
        <w:tc>
          <w:tcPr>
            <w:tcW w:type="dxa" w:w="4608"/>
            <w:vAlign w:val="center"/>
          </w:tcPr>
          <w:p>
            <w:pPr>
              <w:spacing w:after="40"/>
            </w:pPr>
            <w:r>
              <w:rPr>
                <w:rFonts w:ascii="Arial" w:hAnsi="Arial"/>
                <w:sz w:val="19"/>
              </w:rPr>
              <w:t>Retry transactionally</w:t>
            </w:r>
          </w:p>
        </w:tc>
      </w:tr>
    </w:tbl>
    <w:p>
      <w:r>
        <w:t>REB-409 means another activation is rejected while an ambiguous rollback chain exists. Search holds a shared advisory lock across model resolution, query embedding, and retrieval. Activation takes the matching exclusive lock, which prevents an old-model query vector from reaching new-model rows.</w:t>
      </w:r>
    </w:p>
    <w:p>
      <w:r>
        <w:br w:type="page"/>
      </w:r>
    </w:p>
    <w:p>
      <w:pPr>
        <w:pStyle w:val="Heading1"/>
      </w:pPr>
      <w:r>
        <w:t>Security and DSM certification</w:t>
      </w:r>
    </w:p>
    <w:p>
      <w:r>
        <w:t>Silos are access-control boundaries. Each request resolves a principal and authorized silo set, and PostgreSQL row-level security is a backstop. Cross-silo leakage must remain exactly zero. Search-only API keys cannot download originals or fetch complete Markdown.</w:t>
      </w:r>
    </w:p>
    <w:p>
      <w:r>
        <w:t>The bundled PostgreSQL server listens on a package-private Unix socket by default. The socket directory uses mode 0700, database credentials are package controlled, and private filesystem paths are never returned by the public API. SEC-403 identifies a denied cross-silo retrieval attempt.</w:t>
      </w:r>
    </w:p>
    <w:p>
      <w:pPr>
        <w:pStyle w:val="Heading2"/>
      </w:pPr>
      <w:r>
        <w:t>Final device checks</w:t>
      </w:r>
    </w:p>
    <w:p>
      <w:pPr>
        <w:pStyle w:val="ListBullet"/>
        <w:spacing w:after="80"/>
      </w:pPr>
      <w:r>
        <w:t>Load the exact release candidate with Synology Node.js 22 and the DSM C++ runtime.</w:t>
      </w:r>
    </w:p>
    <w:p>
      <w:pPr>
        <w:pStyle w:val="ListBullet"/>
        <w:spacing w:after="80"/>
      </w:pPr>
      <w:r>
        <w:t>Verify Package Center install, upgrade, restart, reboot, uninstall, and retained reinstall behavior.</w:t>
      </w:r>
    </w:p>
    <w:p>
      <w:pPr>
        <w:pStyle w:val="ListBullet"/>
        <w:spacing w:after="80"/>
      </w:pPr>
      <w:r>
        <w:t>Measure NAS memory, temperature, DSM administration, file sharing, and storage I/O during background work.</w:t>
      </w:r>
    </w:p>
    <w:p>
      <w:pPr>
        <w:pStyle w:val="ListBullet"/>
        <w:spacing w:after="80"/>
      </w:pPr>
      <w:r>
        <w:t>Confirm ACL behavior on real ext4 or Btrfs volumes and encrypted shared folders.</w:t>
      </w:r>
    </w:p>
    <w:p>
      <w:r>
        <w:t>Docker evidence is never represented as installed DSM evidence. The final DSM test closes only the hardware and Package Center checks that cannot be executed inside WSL or a Linux container.</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NodeRag M12 evaluation corpus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NodeRag Project Requirements</dc:title>
  <dc:subject>Milestone 12 evaluation corpus</dc:subject>
  <dc:creator>NodeRag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