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120"/>
        <w:jc w:val="center"/>
      </w:pPr>
      <w:r>
        <w:rPr>
          <w:rFonts w:ascii="Arial" w:cs="Arial" w:eastAsia="Arial" w:hAnsi="Arial"/>
          <w:b/>
          <w:bCs/>
          <w:color w:val="2E75B6"/>
          <w:sz w:val="28"/>
          <w:szCs w:val="28"/>
        </w:rPr>
        <w:t xml:space="preserve">WHITE PAPER</w:t>
      </w:r>
    </w:p>
    <w:p>
      <w:pPr>
        <w:pBdr>
          <w:bottom w:val="single" w:color="2E75B6" w:sz="6" w:space="8"/>
        </w:pBdr>
        <w:spacing w:after="80"/>
        <w:jc w:val="center"/>
      </w:pPr>
      <w:r>
        <w:rPr>
          <w:rFonts w:ascii="Arial" w:cs="Arial" w:eastAsia="Arial" w:hAnsi="Arial"/>
          <w:b/>
          <w:bCs/>
          <w:color w:val="1B3A5C"/>
          <w:sz w:val="56"/>
          <w:szCs w:val="56"/>
        </w:rPr>
        <w:t xml:space="preserve">Agent Security Framework (ASF)</w:t>
      </w:r>
    </w:p>
    <w:p>
      <w:pPr>
        <w:spacing w:before="200" w:after="160"/>
        <w:jc w:val="center"/>
      </w:pPr>
      <w:r>
        <w:rPr>
          <w:rFonts w:ascii="Arial" w:cs="Arial" w:eastAsia="Arial" w:hAnsi="Arial"/>
          <w:color w:val="555555"/>
          <w:sz w:val="28"/>
          <w:szCs w:val="28"/>
        </w:rPr>
        <w:t xml:space="preserve">Securing Autonomous AI Agents in the OpenClaw Ecosystem</w:t>
      </w:r>
    </w:p>
    <w:p>
      <w:pPr>
        <w:spacing w:after="80"/>
        <w:jc w:val="center"/>
      </w:pPr>
      <w:r>
        <w:rPr>
          <w:rFonts w:ascii="Arial" w:cs="Arial" w:eastAsia="Arial" w:hAnsi="Arial"/>
          <w:color w:val="666666"/>
          <w:sz w:val="22"/>
          <w:szCs w:val="22"/>
        </w:rPr>
        <w:t xml:space="preserve">A Comparative Analysis: ASF vs. LangChain, CrewAI, AutoGPT,</w:t>
      </w:r>
    </w:p>
    <w:p>
      <w:pPr>
        <w:spacing w:after="400"/>
        <w:jc w:val="center"/>
      </w:pPr>
      <w:r>
        <w:rPr>
          <w:rFonts w:ascii="Arial" w:cs="Arial" w:eastAsia="Arial" w:hAnsi="Arial"/>
          <w:color w:val="666666"/>
          <w:sz w:val="22"/>
          <w:szCs w:val="22"/>
        </w:rPr>
        <w:t xml:space="preserve">and Other Agent Frameworks</w:t>
      </w:r>
    </w:p>
    <w:p/>
    <w:p/>
    <w:p>
      <w:pPr>
        <w:spacing w:after="80"/>
        <w:jc w:val="center"/>
      </w:pPr>
      <w:r>
        <w:rPr>
          <w:rFonts w:ascii="Arial" w:cs="Arial" w:eastAsia="Arial" w:hAnsi="Arial"/>
          <w:color w:val="444444"/>
          <w:sz w:val="22"/>
          <w:szCs w:val="22"/>
        </w:rPr>
        <w:t xml:space="preserve">Prepared for: Chief Information Officers &amp; Security Leadership</w:t>
      </w:r>
    </w:p>
    <w:p>
      <w:pPr>
        <w:spacing w:after="80"/>
        <w:jc w:val="center"/>
      </w:pPr>
      <w:r>
        <w:rPr>
          <w:rFonts w:ascii="Arial" w:cs="Arial" w:eastAsia="Arial" w:hAnsi="Arial"/>
          <w:color w:val="444444"/>
          <w:sz w:val="22"/>
          <w:szCs w:val="22"/>
        </w:rPr>
        <w:t xml:space="preserve">Classification: Internal – Strategic Decision Support</w:t>
      </w:r>
    </w:p>
    <w:p>
      <w:pPr>
        <w:spacing w:after="80"/>
        <w:jc w:val="center"/>
      </w:pPr>
      <w:r>
        <w:rPr>
          <w:rFonts w:ascii="Arial" w:cs="Arial" w:eastAsia="Arial" w:hAnsi="Arial"/>
          <w:color w:val="444444"/>
          <w:sz w:val="22"/>
          <w:szCs w:val="22"/>
        </w:rPr>
        <w:t xml:space="preserve">Reference: ASF-43</w:t>
      </w:r>
    </w:p>
    <w:p>
      <w:pPr>
        <w:jc w:val="center"/>
      </w:pPr>
      <w:r>
        <w:rPr>
          <w:rFonts w:ascii="Arial" w:cs="Arial" w:eastAsia="Arial" w:hAnsi="Arial"/>
          <w:color w:val="444444"/>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60"/>
      </w:pPr>
      <w:r>
        <w:rPr>
          <w:rFonts w:ascii="Arial" w:cs="Arial" w:eastAsia="Arial" w:hAnsi="Arial"/>
          <w:sz w:val="22"/>
          <w:szCs w:val="22"/>
        </w:rPr>
        <w:t xml:space="preserve">Autonomous AI agents are transforming enterprise operations, but they introduce a fundamentally new class of security risk. Unlike traditional software, AI agents make real-time decisions, execute multi-step workflows, interact with external services, and can be manipulated through prompt injection, tool misuse, and privilege escalation — often without human oversight.</w:t>
      </w:r>
    </w:p>
    <w:p>
      <w:pPr>
        <w:spacing w:after="160"/>
      </w:pPr>
      <w:r>
        <w:rPr>
          <w:rFonts w:ascii="Arial" w:cs="Arial" w:eastAsia="Arial" w:hAnsi="Arial"/>
          <w:sz w:val="22"/>
          <w:szCs w:val="22"/>
        </w:rPr>
        <w:t xml:space="preserve">Most organizations deploying AI agents today rely on orchestration frameworks such as LangChain, CrewAI, or AutoGPT. While these frameworks excel at building agentic workflows, none of them were designed as security platforms. They lack runtime monitoring, trust scoring, pre-action guardrails, and syscall-level tracing — the fundamental controls required to defend against adversarial manipulation of autonomous agents.</w:t>
      </w:r>
    </w:p>
    <w:p>
      <w:pPr>
        <w:spacing w:after="160"/>
      </w:pPr>
      <w:r>
        <w:rPr>
          <w:rFonts w:ascii="Arial" w:cs="Arial" w:eastAsia="Arial" w:hAnsi="Arial"/>
          <w:sz w:val="22"/>
          <w:szCs w:val="22"/>
        </w:rPr>
        <w:t xml:space="preserve">The Agent Security Framework (ASF) was purpose-built to fill this gap. ASF provides a comprehensive, defense-in-depth security layer that wraps around any agent runtime — including OpenClaw, Clawdbot, and Moltbot — delivering continuous monitoring, dynamic trust evaluation, pre-action intervention, and system-level isolation. It is not a replacement for existing orchestration tools; it is the security layer those tools are missing.</w:t>
      </w:r>
    </w:p>
    <w:p>
      <w:pPr>
        <w:spacing w:after="160"/>
      </w:pPr>
      <w:r>
        <w:rPr>
          <w:rFonts w:ascii="Arial" w:cs="Arial" w:eastAsia="Arial" w:hAnsi="Arial"/>
          <w:sz w:val="22"/>
          <w:szCs w:val="22"/>
        </w:rPr>
        <w:t xml:space="preserve">This white paper presents a detailed comparison of ASF against prevailing agent frameworks and provides CIOs with the technical evidence and strategic rationale for adopting ASF as the security standard for autonomous AI operations.</w:t>
      </w:r>
    </w:p>
    <w:p>
      <w:r>
        <w:br w:type="page"/>
      </w:r>
    </w:p>
    <w:p>
      <w:pPr>
        <w:pStyle w:val="Heading1"/>
      </w:pPr>
      <w:r>
        <w:rPr>
          <w:b/>
          <w:bCs/>
        </w:rPr>
        <w:t xml:space="preserve">2. The Security Problem with Autonomous AI Agents</w:t>
      </w:r>
    </w:p>
    <w:p>
      <w:pPr>
        <w:spacing w:after="160"/>
      </w:pPr>
      <w:r>
        <w:rPr>
          <w:rFonts w:ascii="Arial" w:cs="Arial" w:eastAsia="Arial" w:hAnsi="Arial"/>
          <w:sz w:val="22"/>
          <w:szCs w:val="22"/>
        </w:rPr>
        <w:t xml:space="preserve">Traditional application security models assume deterministic software behavior: code executes the same way given the same inputs, and security controls can be applied at well-defined boundaries (network perimeter, API gateway, database access layer). AI agents violate every one of these assumptions.</w:t>
      </w:r>
    </w:p>
    <w:p>
      <w:pPr>
        <w:pStyle w:val="Heading2"/>
      </w:pPr>
      <w:r>
        <w:rPr>
          <w:b/>
          <w:bCs/>
        </w:rPr>
        <w:t xml:space="preserve">2.1 Why Agents Are Different</w:t>
      </w:r>
    </w:p>
    <w:p>
      <w:pPr>
        <w:spacing w:after="160"/>
      </w:pPr>
      <w:r>
        <w:rPr>
          <w:rFonts w:ascii="Arial" w:cs="Arial" w:eastAsia="Arial" w:hAnsi="Arial"/>
          <w:sz w:val="22"/>
          <w:szCs w:val="22"/>
        </w:rPr>
        <w:t xml:space="preserve">AI agents operate with a degree of autonomy that creates novel attack surfaces. They interpret natural language instructions, which means they can be redirected through carefully crafted prompts. They invoke external tools and APIs, meaning a single compromised agent can cascade failures across systems. They maintain state and context across multi-step workflows, making it possible for an attacker to gradually escalate privileges over the course of a conversation.</w:t>
      </w:r>
    </w:p>
    <w:p>
      <w:pPr>
        <w:spacing w:after="160"/>
      </w:pPr>
      <w:r>
        <w:rPr>
          <w:rFonts w:ascii="Arial" w:cs="Arial" w:eastAsia="Arial" w:hAnsi="Arial"/>
          <w:sz w:val="22"/>
          <w:szCs w:val="22"/>
        </w:rPr>
        <w:t xml:space="preserve">Consider the practical implications for an enterprise deploying agents: an AI assistant that processes customer support tickets could be manipulated through a malicious ticket to exfiltrate data from internal systems. A code-generation agent could be tricked into producing and executing harmful code. A workflow automation agent could be redirected to modify financial records or send unauthorized communications.</w:t>
      </w:r>
    </w:p>
    <w:p>
      <w:pPr>
        <w:pStyle w:val="Heading2"/>
      </w:pPr>
      <w:r>
        <w:rPr>
          <w:b/>
          <w:bCs/>
        </w:rPr>
        <w:t xml:space="preserve">2.2 The Attack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Attack Vector</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Impact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Prompt Injection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Adversarial inputs that override agent instructions, causing the agent to ignore its original directives and follow attacker-supplied commands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exfiltration, unauthorized actions on behalf of the organization, compliance violations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Tool Misuse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Agents calling external APIs, databases, or system commands in unintended ways due to manipulated context or flawed reasoning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Unauthorized data access, financial fraud, system compromise through lateral movement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Privilege Escalation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Agents gradually acquiring greater permissions through multi-step conversations or by exploiting trust relationships between services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Full system compromise, regulatory breach, loss of control over automated processes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 Leakage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Agents inadvertently exposing confidential data through tool outputs, logs, or responses to external queries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IP theft, customer data breach, regulatory penalties under GDPR/CCPA/HIPAA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Supply Chain Attacks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Compromised plugins, tools, or third-party agent components that introduce backdoors or malicious behavior into the agent pipeline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Persistent access for attackers, difficulty in detection, wide blast radius across all workflows using compromised components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Denial of Service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Agents caught in infinite loops, resource exhaustion, or directed to overwhelm internal systems through high-volume automated requests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System outages, runaway cloud costs, disruption of critical business processes</w:t>
            </w:r>
          </w:p>
        </w:tc>
      </w:tr>
    </w:tbl>
    <w:p/>
    <w:p>
      <w:pPr>
        <w:spacing w:after="160"/>
      </w:pPr>
      <w:r>
        <w:rPr>
          <w:rFonts w:ascii="Arial" w:cs="Arial" w:eastAsia="Arial" w:hAnsi="Arial"/>
          <w:sz w:val="22"/>
          <w:szCs w:val="22"/>
        </w:rPr>
        <w:t xml:space="preserve">None of these attack vectors are hypothetical. Published research and real-world incidents have demonstrated every category listed above. The question is not whether these attacks will occur in enterprise environments, but whether organizations will have adequate defenses when they do.</w:t>
      </w:r>
    </w:p>
    <w:p>
      <w:r>
        <w:br w:type="page"/>
      </w:r>
    </w:p>
    <w:p>
      <w:pPr>
        <w:pStyle w:val="Heading1"/>
      </w:pPr>
      <w:r>
        <w:rPr>
          <w:b/>
          <w:bCs/>
        </w:rPr>
        <w:t xml:space="preserve">3. What Is the Agent Security Framework?</w:t>
      </w:r>
    </w:p>
    <w:p>
      <w:pPr>
        <w:spacing w:after="160"/>
      </w:pPr>
      <w:r>
        <w:rPr>
          <w:rFonts w:ascii="Arial" w:cs="Arial" w:eastAsia="Arial" w:hAnsi="Arial"/>
          <w:sz w:val="22"/>
          <w:szCs w:val="22"/>
        </w:rPr>
        <w:t xml:space="preserve">ASF is a dedicated security layer for autonomous AI agents. It operates independently of the orchestration framework, wrapping around agent runtimes to provide continuous security enforcement without modifying the agents themselves.</w:t>
      </w:r>
    </w:p>
    <w:p>
      <w:pPr>
        <w:pStyle w:val="Heading2"/>
      </w:pPr>
      <w:r>
        <w:rPr>
          <w:b/>
          <w:bCs/>
        </w:rPr>
        <w:t xml:space="preserve">3.1 Core Architecture</w:t>
      </w:r>
    </w:p>
    <w:p>
      <w:pPr>
        <w:spacing w:after="160"/>
      </w:pPr>
      <w:r>
        <w:rPr>
          <w:rFonts w:ascii="Arial" w:cs="Arial" w:eastAsia="Arial" w:hAnsi="Arial"/>
          <w:sz w:val="22"/>
          <w:szCs w:val="22"/>
        </w:rPr>
        <w:t xml:space="preserve">ASF implements a defense-in-depth architecture built on four integrated pillars:</w:t>
      </w:r>
    </w:p>
    <w:p>
      <w:pPr>
        <w:spacing w:after="160"/>
      </w:pPr>
      <w:r>
        <w:rPr>
          <w:rFonts w:ascii="Arial" w:cs="Arial" w:eastAsia="Arial" w:hAnsi="Arial"/>
          <w:b/>
          <w:bCs/>
          <w:sz w:val="22"/>
          <w:szCs w:val="22"/>
        </w:rPr>
        <w:t xml:space="preserve">Runtime Monitoring (ASF-40 Supervisor): </w:t>
      </w:r>
      <w:r>
        <w:rPr>
          <w:rFonts w:ascii="Arial" w:cs="Arial" w:eastAsia="Arial" w:hAnsi="Arial"/>
          <w:sz w:val="22"/>
          <w:szCs w:val="22"/>
        </w:rPr>
        <w:t xml:space="preserve">A supervisor process continuously observes all agent activity in real time. Every tool invocation, API call, data access, and inter-agent communication is logged and analyzed. The supervisor operates at the container level, providing visibility into agent behavior that the agents themselves cannot circumvent or disable.</w:t>
      </w:r>
    </w:p>
    <w:p>
      <w:pPr>
        <w:spacing w:after="160"/>
      </w:pPr>
      <w:r>
        <w:rPr>
          <w:rFonts w:ascii="Arial" w:cs="Arial" w:eastAsia="Arial" w:hAnsi="Arial"/>
          <w:b/>
          <w:bCs/>
          <w:sz w:val="22"/>
          <w:szCs w:val="22"/>
        </w:rPr>
        <w:t xml:space="preserve">Dynamic Trust Scoring: </w:t>
      </w:r>
      <w:r>
        <w:rPr>
          <w:rFonts w:ascii="Arial" w:cs="Arial" w:eastAsia="Arial" w:hAnsi="Arial"/>
          <w:sz w:val="22"/>
          <w:szCs w:val="22"/>
        </w:rPr>
        <w:t xml:space="preserve">Every agent, tool, and data source is assigned a trust score that updates continuously based on observed behavior. An agent that attempts to access resources outside its normal scope sees its trust score decrease, automatically triggering additional scrutiny or quarantine. Trust scores are not static permissions — they are living evaluations that adapt to changing conditions.</w:t>
      </w:r>
    </w:p>
    <w:p>
      <w:pPr>
        <w:spacing w:after="160"/>
      </w:pPr>
      <w:r>
        <w:rPr>
          <w:rFonts w:ascii="Arial" w:cs="Arial" w:eastAsia="Arial" w:hAnsi="Arial"/>
          <w:b/>
          <w:bCs/>
          <w:sz w:val="22"/>
          <w:szCs w:val="22"/>
        </w:rPr>
        <w:t xml:space="preserve">Pre-Action Guardrails (ASF-41/42): </w:t>
      </w:r>
      <w:r>
        <w:rPr>
          <w:rFonts w:ascii="Arial" w:cs="Arial" w:eastAsia="Arial" w:hAnsi="Arial"/>
          <w:sz w:val="22"/>
          <w:szCs w:val="22"/>
        </w:rPr>
        <w:t xml:space="preserve">Before any agent action is executed, it passes through a guardrail layer that evaluates the action against security policies, the agent’s current trust level, and the sensitivity of the target resource. High-risk actions can be blocked, flagged for human review, or allowed with enhanced logging. This is fundamentally different from post-hoc auditing — ASF intervenes before damage occurs.</w:t>
      </w:r>
    </w:p>
    <w:p>
      <w:pPr>
        <w:spacing w:after="160"/>
      </w:pPr>
      <w:r>
        <w:rPr>
          <w:rFonts w:ascii="Arial" w:cs="Arial" w:eastAsia="Arial" w:hAnsi="Arial"/>
          <w:b/>
          <w:bCs/>
          <w:sz w:val="22"/>
          <w:szCs w:val="22"/>
        </w:rPr>
        <w:t xml:space="preserve">Syscall Tracing: </w:t>
      </w:r>
      <w:r>
        <w:rPr>
          <w:rFonts w:ascii="Arial" w:cs="Arial" w:eastAsia="Arial" w:hAnsi="Arial"/>
          <w:sz w:val="22"/>
          <w:szCs w:val="22"/>
        </w:rPr>
        <w:t xml:space="preserve">At the lowest level, ASF traces system calls made by agent processes. This provides an unalterable record of what agents actually did at the operating system level, independent of what the agents reported doing. Syscall tracing detects container escapes, unauthorized file access, network connections to unexpected endpoints, and other behaviors that higher-level monitoring might miss.</w:t>
      </w:r>
    </w:p>
    <w:p>
      <w:pPr>
        <w:pStyle w:val="Heading2"/>
      </w:pPr>
      <w:r>
        <w:rPr>
          <w:b/>
          <w:bCs/>
        </w:rPr>
        <w:t xml:space="preserve">3.2 OpenClaw Integration</w:t>
      </w:r>
    </w:p>
    <w:p>
      <w:pPr>
        <w:spacing w:after="160"/>
      </w:pPr>
      <w:r>
        <w:rPr>
          <w:rFonts w:ascii="Arial" w:cs="Arial" w:eastAsia="Arial" w:hAnsi="Arial"/>
          <w:sz w:val="22"/>
          <w:szCs w:val="22"/>
        </w:rPr>
        <w:t xml:space="preserve">ASF is specifically designed to integrate with the OpenClaw ecosystem, providing security coverage for all three primary agent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60"/>
        <w:gridCol w:w="22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ASF-40 Supervisor Role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Capability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OpenClaw Host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Oversees all containers; enforces trust scoring and syscall tracing across the full runtime environment</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Complete container isolation and monitoring</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./start-supervisor.sh --openclaw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Clawdbot (Messaging)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Monitors agent skills in real time; quarantines agents whose trust score falls below threshold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Zero-trust bridge for all external messaging channels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./start-supervisor.sh --clawbot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Moltbot (PC Control)</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Gates all voice and PC automation commands through ASF-41/42 guardrails before execution</w:t>
            </w:r>
          </w:p>
        </w:tc>
        <w:tc>
          <w:tcPr>
            <w:tcW w:type="dxa" w:w="2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Production-grade isolation for desktop automation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./start-supervisor.sh --moltbot</w:t>
            </w:r>
          </w:p>
        </w:tc>
      </w:tr>
    </w:tbl>
    <w:p/>
    <w:p>
      <w:r>
        <w:br w:type="page"/>
      </w:r>
    </w:p>
    <w:p>
      <w:pPr>
        <w:pStyle w:val="Heading1"/>
      </w:pPr>
      <w:r>
        <w:rPr>
          <w:b/>
          <w:bCs/>
        </w:rPr>
        <w:t xml:space="preserve">4. Competitive Comparison</w:t>
      </w:r>
    </w:p>
    <w:p>
      <w:pPr>
        <w:spacing w:after="160"/>
      </w:pPr>
      <w:r>
        <w:rPr>
          <w:rFonts w:ascii="Arial" w:cs="Arial" w:eastAsia="Arial" w:hAnsi="Arial"/>
          <w:sz w:val="22"/>
          <w:szCs w:val="22"/>
        </w:rPr>
        <w:t xml:space="preserve">To contextualize ASF’s value, this section compares it against the four most commonly deployed agent frameworks. The comparison focuses exclusively on security capabilities — not on orchestration features, ease of development, or community ecosystem, where these frameworks have legitimate strengths.</w:t>
      </w:r>
    </w:p>
    <w:p>
      <w:pPr>
        <w:pStyle w:val="Heading2"/>
      </w:pPr>
      <w:r>
        <w:rPr>
          <w:b/>
          <w:bCs/>
        </w:rPr>
        <w:t xml:space="preserve">4.1 Framework-by-Framework Analysis</w:t>
      </w:r>
    </w:p>
    <w:p>
      <w:pPr>
        <w:pStyle w:val="Heading3"/>
      </w:pPr>
      <w:r>
        <w:rPr>
          <w:b/>
          <w:bCs/>
        </w:rPr>
        <w:t xml:space="preserve">LangChain</w:t>
      </w:r>
    </w:p>
    <w:p>
      <w:pPr>
        <w:spacing w:after="160"/>
      </w:pPr>
      <w:r>
        <w:rPr>
          <w:rFonts w:ascii="Arial" w:cs="Arial" w:eastAsia="Arial" w:hAnsi="Arial"/>
          <w:sz w:val="22"/>
          <w:szCs w:val="22"/>
        </w:rPr>
        <w:t xml:space="preserve">LangChain is the most widely adopted agent orchestration framework, with a rich ecosystem of integrations and a large developer community. It provides basic callback mechanisms that can be extended for logging, but it was designed as a development framework, not a security platform. LangChain offers no built-in runtime monitoring, no trust scoring, no pre-action guardrails, and no syscall-level tracing. Its human-in-the-loop capability is limited to optional callback hooks that developers must implement themselves, with no standardized security policy enforcement.</w:t>
      </w:r>
    </w:p>
    <w:p>
      <w:pPr>
        <w:pStyle w:val="Heading3"/>
      </w:pPr>
      <w:r>
        <w:rPr>
          <w:b/>
          <w:bCs/>
        </w:rPr>
        <w:t xml:space="preserve">CrewAI</w:t>
      </w:r>
    </w:p>
    <w:p>
      <w:pPr>
        <w:spacing w:after="160"/>
      </w:pPr>
      <w:r>
        <w:rPr>
          <w:rFonts w:ascii="Arial" w:cs="Arial" w:eastAsia="Arial" w:hAnsi="Arial"/>
          <w:sz w:val="22"/>
          <w:szCs w:val="22"/>
        </w:rPr>
        <w:t xml:space="preserve">CrewAI introduces a multi-agent collaboration model with role-based task delegation. While the role concept provides a rudimentary form of access control, it is an orchestration feature, not a security control. CrewAI has no mechanism for runtime behavior monitoring, no dynamic trust evaluation, and no ability to intervene before an agent executes a potentially dangerous action. Its human-in-the-loop support exists as optional integration points but lacks the policy-driven enforcement that security operations require.</w:t>
      </w:r>
    </w:p>
    <w:p>
      <w:pPr>
        <w:pStyle w:val="Heading3"/>
      </w:pPr>
      <w:r>
        <w:rPr>
          <w:b/>
          <w:bCs/>
        </w:rPr>
        <w:t xml:space="preserve">AutoGPT</w:t>
      </w:r>
    </w:p>
    <w:p>
      <w:pPr>
        <w:spacing w:after="160"/>
      </w:pPr>
      <w:r>
        <w:rPr>
          <w:rFonts w:ascii="Arial" w:cs="Arial" w:eastAsia="Arial" w:hAnsi="Arial"/>
          <w:sz w:val="22"/>
          <w:szCs w:val="22"/>
        </w:rPr>
        <w:t xml:space="preserve">AutoGPT pioneered the fully autonomous agent model, demonstrating the potential of agents that can plan and execute multi-step tasks independently. However, this autonomy comes with virtually no security controls. AutoGPT has no runtime monitoring, no trust scoring, no guardrails, and no human-in-the-loop mechanism. It is particularly vulnerable to prompt injection attacks because its autonomous execution loop can amplify a single malicious input into a cascade of harmful actions without any checkpoint for human review.</w:t>
      </w:r>
    </w:p>
    <w:p>
      <w:pPr>
        <w:pStyle w:val="Heading3"/>
      </w:pPr>
      <w:r>
        <w:rPr>
          <w:b/>
          <w:bCs/>
        </w:rPr>
        <w:t xml:space="preserve">Other Frameworks (Semantic Kernel, Autogen, LlamaIndex)</w:t>
      </w:r>
    </w:p>
    <w:p>
      <w:pPr>
        <w:spacing w:after="160"/>
      </w:pPr>
      <w:r>
        <w:rPr>
          <w:rFonts w:ascii="Arial" w:cs="Arial" w:eastAsia="Arial" w:hAnsi="Arial"/>
          <w:sz w:val="22"/>
          <w:szCs w:val="22"/>
        </w:rPr>
        <w:t xml:space="preserve">Other frameworks in the agent ecosystem offer varying levels of orchestration capability but share the same fundamental gap: none provide integrated security controls designed for autonomous agent operations. Semantic Kernel offers enterprise integration features but relies on traditional application security models. Autogen provides multi-agent conversation patterns but no security supervision. LlamaIndex focuses on data retrieval rather than agent security.</w:t>
      </w:r>
    </w:p>
    <w:p>
      <w:pPr>
        <w:pStyle w:val="Heading2"/>
      </w:pPr>
      <w:r>
        <w:rPr>
          <w:b/>
          <w:bCs/>
        </w:rPr>
        <w:t xml:space="preserve">4.2 Capability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Capability</w:t>
            </w:r>
          </w:p>
        </w:tc>
        <w:tc>
          <w:tcPr>
            <w:tcW w:type="dxa" w:w="1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ASF</w:t>
            </w:r>
          </w:p>
        </w:tc>
        <w:tc>
          <w:tcPr>
            <w:tcW w:type="dxa" w:w="1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LangChain</w:t>
            </w:r>
          </w:p>
        </w:tc>
        <w:tc>
          <w:tcPr>
            <w:tcW w:type="dxa" w:w="1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CrewAI</w:t>
            </w:r>
          </w:p>
        </w:tc>
        <w:tc>
          <w:tcPr>
            <w:tcW w:type="dxa" w:w="1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AutoGPT</w:t>
            </w:r>
          </w:p>
        </w:tc>
        <w:tc>
          <w:tcPr>
            <w:tcW w:type="dxa" w:w="1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Others</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Runtime Monitoring</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Full</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Dynamic Trust Scoring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Full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Pre-Action Guardrails</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Full</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Syscall Tracing</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Full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Human-in-the-Loop</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Policy-Driven</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Callbacks</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Optional</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Varies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Container Isolation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Full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Agent Quarantine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Automatic</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Prompt Injection Defense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Layered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r>
      <w:tr>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Audit Trail</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Immutable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Basic Logs</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Basic Logs</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None</w:t>
            </w:r>
          </w:p>
        </w:tc>
        <w:tc>
          <w:tcPr>
            <w:tcW w:type="dxa" w:w="1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Varies</w:t>
            </w:r>
          </w:p>
        </w:tc>
      </w:tr>
      <w:tr>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One-Command Activation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Yes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 N/A</w:t>
            </w:r>
          </w:p>
        </w:tc>
      </w:tr>
    </w:tbl>
    <w:p/>
    <w:p>
      <w:r>
        <w:br w:type="page"/>
      </w:r>
    </w:p>
    <w:p>
      <w:pPr>
        <w:pStyle w:val="Heading1"/>
      </w:pPr>
      <w:r>
        <w:rPr>
          <w:b/>
          <w:bCs/>
        </w:rPr>
        <w:t xml:space="preserve">5. Enterprise Security Checklist</w:t>
      </w:r>
    </w:p>
    <w:p>
      <w:pPr>
        <w:spacing w:after="160"/>
      </w:pPr>
      <w:r>
        <w:rPr>
          <w:rFonts w:ascii="Arial" w:cs="Arial" w:eastAsia="Arial" w:hAnsi="Arial"/>
          <w:sz w:val="22"/>
          <w:szCs w:val="22"/>
        </w:rPr>
        <w:t xml:space="preserve">The following expanded checklist provides a comprehensive assessment framework for evaluating agent security readiness. Each item identifies the capability, ASF’s coverage, the gap in competing frameworks, the business risk of non-compliance, and the priority level for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200"/>
        <w:gridCol w:w="2000"/>
        <w:gridCol w:w="15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Security Control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ASF</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Others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if Absent</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Runtime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Continuous agent behavior monitoring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Undetected compromises</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Runtime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Real-time anomaly detection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Delayed breach response</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Runtime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activity dashboards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Partial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operational visibility</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Runtime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Automated incident alerting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Manual detection only</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Dynamic trust scoring per agent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Flat permission model</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Behavioral trust adjustment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 brittle access control</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Trust-based resource access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Over-privileged agents</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Trust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Trust score audit history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accountability trail</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Guardrails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Pre-action policy enforcement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intervention before harm</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Guardrails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Human approval for high-risk actions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Partial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Autonomous high-risk execution</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Guardrails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Configurable security policies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One-size-fits-all approach</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Guardrails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Prompt injection detection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hijacking</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Container-level agent isolation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Lateral movement between agents</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Syscall-level tracing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Undetected OS-level attacks</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Agent quarantine capability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containment mechanism</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Isolation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segmentation per agent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Unrestricted agent networking</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Immutable audit logs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Partial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Regulatory non-compliance</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access tracking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Cannot prove GDPR compliance</w:t>
            </w:r>
          </w:p>
        </w:tc>
        <w:tc>
          <w:tcPr>
            <w:tcW w:type="dxa" w:w="15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Critical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Role-based access control (RBAC)</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Partial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Inadequate access governance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Compliance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Incident response automation</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Slow manual response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One-command deployment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Complex setup increases error</w:t>
            </w:r>
          </w:p>
        </w:tc>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Medium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Zero-config security defaults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depends on dev skill</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Multi-agent coordination security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Inter-agent trust exploitation</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Graceful degradation under attack</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Yes</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No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failure on compromise</w:t>
            </w:r>
          </w:p>
        </w:tc>
        <w:tc>
          <w:tcPr>
            <w:tcW w:type="dxa" w:w="1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High</w:t>
            </w:r>
          </w:p>
        </w:tc>
      </w:tr>
    </w:tbl>
    <w:p/>
    <w:p>
      <w:r>
        <w:br w:type="page"/>
      </w:r>
    </w:p>
    <w:p>
      <w:pPr>
        <w:pStyle w:val="Heading1"/>
      </w:pPr>
      <w:r>
        <w:rPr>
          <w:b/>
          <w:bCs/>
        </w:rPr>
        <w:t xml:space="preserve">6. Risk Analysis: Operating Without ASF</w:t>
      </w:r>
    </w:p>
    <w:p>
      <w:pPr>
        <w:spacing w:after="160"/>
      </w:pPr>
      <w:r>
        <w:rPr>
          <w:rFonts w:ascii="Arial" w:cs="Arial" w:eastAsia="Arial" w:hAnsi="Arial"/>
          <w:sz w:val="22"/>
          <w:szCs w:val="22"/>
        </w:rPr>
        <w:t xml:space="preserve">Organizations deploying AI agents without a dedicated security framework face compounding risks across technical, regulatory, and financial dimensions.</w:t>
      </w:r>
    </w:p>
    <w:p>
      <w:pPr>
        <w:pStyle w:val="Heading2"/>
      </w:pPr>
      <w:r>
        <w:rPr>
          <w:b/>
          <w:bCs/>
        </w:rPr>
        <w:t xml:space="preserve">6.1 Technical Risk</w:t>
      </w:r>
    </w:p>
    <w:p>
      <w:pPr>
        <w:spacing w:after="160"/>
      </w:pPr>
      <w:r>
        <w:rPr>
          <w:rFonts w:ascii="Arial" w:cs="Arial" w:eastAsia="Arial" w:hAnsi="Arial"/>
          <w:sz w:val="22"/>
          <w:szCs w:val="22"/>
        </w:rPr>
        <w:t xml:space="preserve">Without runtime monitoring and trust scoring, compromised agents can operate undetected for extended periods. A prompt injection attack on a customer-facing agent could exfiltrate data for days or weeks before manual review catches the anomaly. Without pre-action guardrails, there is no checkpoint between an agent deciding to take an action and executing it, meaning harmful actions are detected only after damage has occurred.</w:t>
      </w:r>
    </w:p>
    <w:p>
      <w:pPr>
        <w:pStyle w:val="Heading2"/>
      </w:pPr>
      <w:r>
        <w:rPr>
          <w:b/>
          <w:bCs/>
        </w:rPr>
        <w:t xml:space="preserve">6.2 Regulatory Risk</w:t>
      </w:r>
    </w:p>
    <w:p>
      <w:pPr>
        <w:spacing w:after="160"/>
      </w:pPr>
      <w:r>
        <w:rPr>
          <w:rFonts w:ascii="Arial" w:cs="Arial" w:eastAsia="Arial" w:hAnsi="Arial"/>
          <w:sz w:val="22"/>
          <w:szCs w:val="22"/>
        </w:rPr>
        <w:t xml:space="preserve">Emerging AI regulations, including the EU AI Act, NIST AI Risk Management Framework, and evolving sector-specific requirements, increasingly mandate explainability, auditability, and human oversight for automated decision-making systems. AI agents that operate without audit trails, without human-in-the-loop controls, and without documented security policies will create significant compliance exposure. ASF’s immutable audit logs and policy-driven enforcement provide the documentary evidence regulators require.</w:t>
      </w:r>
    </w:p>
    <w:p>
      <w:pPr>
        <w:pStyle w:val="Heading2"/>
      </w:pPr>
      <w:r>
        <w:rPr>
          <w:b/>
          <w:bCs/>
        </w:rPr>
        <w:t xml:space="preserve">6.3 Financial Risk</w:t>
      </w:r>
    </w:p>
    <w:p>
      <w:pPr>
        <w:spacing w:after="160"/>
      </w:pPr>
      <w:r>
        <w:rPr>
          <w:rFonts w:ascii="Arial" w:cs="Arial" w:eastAsia="Arial" w:hAnsi="Arial"/>
          <w:sz w:val="22"/>
          <w:szCs w:val="22"/>
        </w:rPr>
        <w:t xml:space="preserve">The financial impact of an AI agent security breach extends well beyond direct remediation costs. Consider the potential exposure: unauthorized financial transactions executed by compromised agents, regulatory fines for non-compliance with data protection requirements, reputational damage from public disclosure of AI system manipulation, and operational disruption during incident response and system hardening. ASF’s layered defense model reduces the probability and blast radius of each of these scenarios.</w:t>
      </w:r>
    </w:p>
    <w:p>
      <w:r>
        <w:br w:type="page"/>
      </w:r>
    </w:p>
    <w:p>
      <w:pPr>
        <w:pStyle w:val="Heading1"/>
      </w:pPr>
      <w:r>
        <w:rPr>
          <w:b/>
          <w:bCs/>
        </w:rPr>
        <w:t xml:space="preserve">7. Implementation Roadmap</w:t>
      </w:r>
    </w:p>
    <w:p>
      <w:pPr>
        <w:spacing w:after="160"/>
      </w:pPr>
      <w:r>
        <w:rPr>
          <w:rFonts w:ascii="Arial" w:cs="Arial" w:eastAsia="Arial" w:hAnsi="Arial"/>
          <w:sz w:val="22"/>
          <w:szCs w:val="22"/>
        </w:rPr>
        <w:t xml:space="preserve">ASF is designed for rapid deployment with minimal operational disruption. The following phased approach allows organizations to implement security incrementally while maintaining agent availability.</w:t>
      </w:r>
    </w:p>
    <w:p>
      <w:pPr>
        <w:pStyle w:val="Heading2"/>
      </w:pPr>
      <w:r>
        <w:rPr>
          <w:b/>
          <w:bCs/>
        </w:rPr>
        <w:t xml:space="preserve">Phase 1: Assessment and Baseline (Week 1–2)</w:t>
      </w:r>
    </w:p>
    <w:p>
      <w:pPr>
        <w:pStyle w:val="ListParagraph"/>
        <w:numPr>
          <w:ilvl w:val="0"/>
          <w:numId w:val="2"/>
        </w:numPr>
        <w:spacing w:after="100"/>
      </w:pPr>
      <w:r>
        <w:rPr>
          <w:rFonts w:ascii="Arial" w:cs="Arial" w:eastAsia="Arial" w:hAnsi="Arial"/>
          <w:sz w:val="22"/>
          <w:szCs w:val="22"/>
        </w:rPr>
        <w:t xml:space="preserve">Inventory all deployed AI agents, tools, and data access patterns across the organization.</w:t>
      </w:r>
    </w:p>
    <w:p>
      <w:pPr>
        <w:pStyle w:val="ListParagraph"/>
        <w:numPr>
          <w:ilvl w:val="0"/>
          <w:numId w:val="2"/>
        </w:numPr>
        <w:spacing w:after="100"/>
      </w:pPr>
      <w:r>
        <w:rPr>
          <w:rFonts w:ascii="Arial" w:cs="Arial" w:eastAsia="Arial" w:hAnsi="Arial"/>
          <w:sz w:val="22"/>
          <w:szCs w:val="22"/>
        </w:rPr>
        <w:t xml:space="preserve">Deploy ASF Supervisor in monitoring-only mode to establish behavioral baselines without impacting operations.</w:t>
      </w:r>
    </w:p>
    <w:p>
      <w:pPr>
        <w:pStyle w:val="ListParagraph"/>
        <w:numPr>
          <w:ilvl w:val="0"/>
          <w:numId w:val="2"/>
        </w:numPr>
        <w:spacing w:after="160"/>
      </w:pPr>
      <w:r>
        <w:rPr>
          <w:rFonts w:ascii="Arial" w:cs="Arial" w:eastAsia="Arial" w:hAnsi="Arial"/>
          <w:sz w:val="22"/>
          <w:szCs w:val="22"/>
        </w:rPr>
        <w:t xml:space="preserve">Identify high-risk agent workflows that require immediate guardrail enforcement.</w:t>
      </w:r>
    </w:p>
    <w:p>
      <w:pPr>
        <w:pStyle w:val="Heading2"/>
      </w:pPr>
      <w:r>
        <w:rPr>
          <w:b/>
          <w:bCs/>
        </w:rPr>
        <w:t xml:space="preserve">Phase 2: Core Security Activation (Week 3–4)</w:t>
      </w:r>
    </w:p>
    <w:p>
      <w:pPr>
        <w:pStyle w:val="ListParagraph"/>
        <w:numPr>
          <w:ilvl w:val="0"/>
          <w:numId w:val="3"/>
        </w:numPr>
        <w:spacing w:after="100"/>
      </w:pPr>
      <w:r>
        <w:rPr>
          <w:rFonts w:ascii="Arial" w:cs="Arial" w:eastAsia="Arial" w:hAnsi="Arial"/>
          <w:sz w:val="22"/>
          <w:szCs w:val="22"/>
        </w:rPr>
        <w:t xml:space="preserve">Enable trust scoring for all agents and tools. Configure initial trust thresholds based on baseline data.</w:t>
      </w:r>
    </w:p>
    <w:p>
      <w:pPr>
        <w:pStyle w:val="ListParagraph"/>
        <w:numPr>
          <w:ilvl w:val="0"/>
          <w:numId w:val="3"/>
        </w:numPr>
        <w:spacing w:after="100"/>
      </w:pPr>
      <w:r>
        <w:rPr>
          <w:rFonts w:ascii="Arial" w:cs="Arial" w:eastAsia="Arial" w:hAnsi="Arial"/>
          <w:sz w:val="22"/>
          <w:szCs w:val="22"/>
        </w:rPr>
        <w:t xml:space="preserve">Activate pre-action guardrails for high-risk workflows identified in Phase 1.</w:t>
      </w:r>
    </w:p>
    <w:p>
      <w:pPr>
        <w:pStyle w:val="ListParagraph"/>
        <w:numPr>
          <w:ilvl w:val="0"/>
          <w:numId w:val="3"/>
        </w:numPr>
        <w:spacing w:after="160"/>
      </w:pPr>
      <w:r>
        <w:rPr>
          <w:rFonts w:ascii="Arial" w:cs="Arial" w:eastAsia="Arial" w:hAnsi="Arial"/>
          <w:sz w:val="22"/>
          <w:szCs w:val="22"/>
        </w:rPr>
        <w:t xml:space="preserve">Enable syscall tracing and container isolation for production agent environments.</w:t>
      </w:r>
    </w:p>
    <w:p>
      <w:pPr>
        <w:pStyle w:val="Heading2"/>
      </w:pPr>
      <w:r>
        <w:rPr>
          <w:b/>
          <w:bCs/>
        </w:rPr>
        <w:t xml:space="preserve">Phase 3: Full Enforcement (Week 5–6)</w:t>
      </w:r>
    </w:p>
    <w:p>
      <w:pPr>
        <w:pStyle w:val="ListParagraph"/>
        <w:numPr>
          <w:ilvl w:val="0"/>
          <w:numId w:val="4"/>
        </w:numPr>
        <w:spacing w:after="100"/>
      </w:pPr>
      <w:r>
        <w:rPr>
          <w:rFonts w:ascii="Arial" w:cs="Arial" w:eastAsia="Arial" w:hAnsi="Arial"/>
          <w:sz w:val="22"/>
          <w:szCs w:val="22"/>
        </w:rPr>
        <w:t xml:space="preserve">Extend guardrails and trust scoring to all agent workflows across the organization.</w:t>
      </w:r>
    </w:p>
    <w:p>
      <w:pPr>
        <w:pStyle w:val="ListParagraph"/>
        <w:numPr>
          <w:ilvl w:val="0"/>
          <w:numId w:val="4"/>
        </w:numPr>
        <w:spacing w:after="100"/>
      </w:pPr>
      <w:r>
        <w:rPr>
          <w:rFonts w:ascii="Arial" w:cs="Arial" w:eastAsia="Arial" w:hAnsi="Arial"/>
          <w:sz w:val="22"/>
          <w:szCs w:val="22"/>
        </w:rPr>
        <w:t xml:space="preserve">Configure automated incident response policies, including agent quarantine thresholds.</w:t>
      </w:r>
    </w:p>
    <w:p>
      <w:pPr>
        <w:pStyle w:val="ListParagraph"/>
        <w:numPr>
          <w:ilvl w:val="0"/>
          <w:numId w:val="4"/>
        </w:numPr>
        <w:spacing w:after="160"/>
      </w:pPr>
      <w:r>
        <w:rPr>
          <w:rFonts w:ascii="Arial" w:cs="Arial" w:eastAsia="Arial" w:hAnsi="Arial"/>
          <w:sz w:val="22"/>
          <w:szCs w:val="22"/>
        </w:rPr>
        <w:t xml:space="preserve">Establish ongoing security review cadence with dashboards and compliance reporting.</w:t>
      </w:r>
    </w:p>
    <w:p>
      <w:r>
        <w:br w:type="page"/>
      </w:r>
    </w:p>
    <w:p>
      <w:pPr>
        <w:pStyle w:val="Heading1"/>
      </w:pPr>
      <w:r>
        <w:rPr>
          <w:b/>
          <w:bCs/>
        </w:rPr>
        <w:t xml:space="preserve">8. Recommendation</w:t>
      </w:r>
    </w:p>
    <w:p>
      <w:pPr>
        <w:spacing w:after="160"/>
      </w:pPr>
      <w:r>
        <w:rPr>
          <w:rFonts w:ascii="Arial" w:cs="Arial" w:eastAsia="Arial" w:hAnsi="Arial"/>
          <w:sz w:val="22"/>
          <w:szCs w:val="22"/>
        </w:rPr>
        <w:t xml:space="preserve">AI agents represent a paradigm shift in enterprise automation, and they demand a corresponding shift in security architecture. The frameworks organizations use to build agents — LangChain, CrewAI, AutoGPT, and others — serve their purpose as development and orchestration tools. But they were never designed to defend against the adversarial threats that autonomous agents face in production environments.</w:t>
      </w:r>
    </w:p>
    <w:p>
      <w:pPr>
        <w:spacing w:after="160"/>
      </w:pPr>
      <w:r>
        <w:rPr>
          <w:rFonts w:ascii="Arial" w:cs="Arial" w:eastAsia="Arial" w:hAnsi="Arial"/>
          <w:sz w:val="22"/>
          <w:szCs w:val="22"/>
        </w:rPr>
        <w:t xml:space="preserve">ASF is the only available framework that provides the complete security stack required for production AI agent deployments: runtime monitoring, dynamic trust scoring, pre-action guardrails, syscall tracing, container isolation, and policy-driven human-in-the-loop controls. It integrates directly with the OpenClaw ecosystem through single-command activation and operates transparently alongside existing agent workflows.</w:t>
      </w:r>
    </w:p>
    <w:p>
      <w:pPr>
        <w:spacing w:after="160"/>
      </w:pPr>
      <w:r>
        <w:rPr>
          <w:rFonts w:ascii="Arial" w:cs="Arial" w:eastAsia="Arial" w:hAnsi="Arial"/>
          <w:sz w:val="22"/>
          <w:szCs w:val="22"/>
        </w:rPr>
        <w:t xml:space="preserve">For CIOs evaluating the security posture of their AI agent deployments, the question is straightforward: existing orchestration frameworks leave agents unmonitored, untrusted, and uncontrolled at the system level. ASF closes these gaps. The recommendation is to adopt ASF as the security standard for all autonomous AI agent operations and to begin phased deployment immediately, starting with the highest-risk agent workflows.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3"/>
              <w:bottom w:val="single" w:color="2E75B6" w:sz="3"/>
              <w:right w:val="single" w:color="2E75B6" w:sz="3"/>
            </w:tcBorders>
            <w:shd w:fill="D6E4F0" w:val="clear"/>
            <w:tcMar>
              <w:top w:type="dxa" w:w="200"/>
              <w:left w:type="dxa" w:w="200"/>
              <w:bottom w:type="dxa" w:w="200"/>
              <w:right w:type="dxa" w:w="200"/>
            </w:tcMar>
          </w:tcPr>
          <w:p>
            <w:pPr>
              <w:spacing w:after="80"/>
              <w:jc w:val="center"/>
            </w:pPr>
            <w:r>
              <w:rPr>
                <w:rFonts w:ascii="Arial" w:cs="Arial" w:eastAsia="Arial" w:hAnsi="Arial"/>
                <w:b/>
                <w:bCs/>
                <w:color w:val="1B3A5C"/>
                <w:sz w:val="24"/>
                <w:szCs w:val="24"/>
              </w:rPr>
              <w:t xml:space="preserve">Next Steps</w:t>
            </w:r>
          </w:p>
          <w:p>
            <w:pPr>
              <w:spacing w:after="60"/>
              <w:jc w:val="center"/>
            </w:pPr>
            <w:r>
              <w:rPr>
                <w:rFonts w:ascii="Arial" w:cs="Arial" w:eastAsia="Arial" w:hAnsi="Arial"/>
                <w:sz w:val="22"/>
                <w:szCs w:val="22"/>
              </w:rPr>
              <w:t xml:space="preserve">Contact your security architecture team to schedule an ASF assessment.</w:t>
            </w:r>
          </w:p>
          <w:p>
            <w:pPr>
              <w:jc w:val="center"/>
            </w:pPr>
            <w:r>
              <w:rPr>
                <w:rFonts w:ascii="Arial" w:cs="Arial" w:eastAsia="Arial" w:hAnsi="Arial"/>
                <w:color w:val="555555"/>
                <w:sz w:val="20"/>
                <w:szCs w:val="20"/>
              </w:rPr>
              <w:t xml:space="preserve">Reference: ASF-43 | Classification: Internal – Strategic Decision Support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ASF White Paper</w:t>
    </w:r>
    <w:r>
      <w:rPr>
        <w:rFonts w:ascii="Arial" w:cs="Arial" w:eastAsia="Arial" w:hAnsi="Arial"/>
        <w:i/>
        <w:iCs/>
        <w:color w:val="999999"/>
        <w:sz w:val="18"/>
        <w:szCs w:val="18"/>
      </w:rPr>
      <w:t xml:space="preserve">	ASF-43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2026-02-28T13:42:42.543Z</dcterms:created>
  <dcterms:modified xsi:type="dcterms:W3CDTF">2026-02-28T13:42:42.574Z</dcterms:modified>
</cp:coreProperties>
</file>

<file path=docProps/custom.xml><?xml version="1.0" encoding="utf-8"?>
<Properties xmlns="http://schemas.openxmlformats.org/officeDocument/2006/custom-properties" xmlns:vt="http://schemas.openxmlformats.org/officeDocument/2006/docPropsVTypes"/>
</file>