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Goals &amp; Success Criteria — Draft for Alignment</w:t>
      </w:r>
    </w:p>
    <w:p>
      <w:pPr>
        <w:spacing w:after="240"/>
      </w:pPr>
      <w:r>
        <w:rPr>
          <w:color w:val="444444"/>
          <w:sz w:val="24"/>
          <w:szCs w:val="24"/>
        </w:rPr>
        <w:t xml:space="preserve">Knowledge Engineering practice / KE Primer v1.3</w:t>
      </w:r>
    </w:p>
    <w:p>
      <w:pPr>
        <w:spacing w:after="160"/>
      </w:pPr>
      <w:r>
        <w:t xml:space="preserve">This is a working draft to align Providers (our team), Partners (other WGs and disciplines), and Consumers (internal today, external later) on why this practice exists and how we'll know it's working — before locking anything into the primer itself. Three goals, confirmed against the current primer draft below, then success criteria per goal.</w:t>
      </w:r>
    </w:p>
    <w:p>
      <w:pPr>
        <w:pBdr>
          <w:bottom w:val="single" w:color="CCCCCC" w:sz="6" w:space="8"/>
        </w:pBdr>
        <w:spacing w:after="240"/>
      </w:pPr>
    </w:p>
    <w:p>
      <w:pPr>
        <w:pStyle w:val="Heading1"/>
        <w:spacing w:after="140" w:before="320"/>
      </w:pPr>
      <w:r>
        <w:t xml:space="preserve">Stakeholders referenced throughout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752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Providers</w:t>
            </w:r>
          </w:p>
        </w:tc>
        <w:tc>
          <w:tcPr>
            <w:tcW w:type="dxa" w:w="752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Our team — maintains the shared Core, facilitates disambiguation, publishes and validates vocabularies.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Partners</w:t>
            </w:r>
          </w:p>
        </w:tc>
        <w:tc>
          <w:tcPr>
            <w:tcW w:type="dxa" w:w="752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 INCOSE working groups (SSWG, DE/MBSE, and others) and internal peer disciplines who contribute to and reuse the Core.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Consumers</w:t>
            </w:r>
          </w:p>
        </w:tc>
        <w:tc>
          <w:tcPr>
            <w:tcW w:type="dxa" w:w="752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for now: programs, architects, and tools that reference the published definitions. External later: other organizations and INCOSE member bodies.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Primer</w:t>
            </w:r>
          </w:p>
        </w:tc>
        <w:tc>
          <w:tcPr>
            <w:tcW w:type="dxa" w:w="752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a stakeholder group — the document whose job is to make the goals, structure, and boundaries below legible enough that the other three groups know what's expected of them.</w:t>
            </w:r>
          </w:p>
        </w:tc>
      </w:tr>
    </w:tbl>
    <w:p>
      <w:pPr>
        <w:pBdr>
          <w:bottom w:val="single" w:color="CCCCCC" w:sz="6" w:space="8"/>
        </w:pBdr>
        <w:spacing w:after="240"/>
      </w:pPr>
    </w:p>
    <w:p>
      <w:pPr>
        <w:pStyle w:val="Heading1"/>
        <w:spacing w:after="140" w:before="320"/>
      </w:pPr>
      <w:r>
        <w:t xml:space="preserve">Fit check: do the 3 goals hold up against KE Primer v1.3?</w:t>
      </w:r>
    </w:p>
    <w:p>
      <w:pPr>
        <w:spacing w:after="160"/>
      </w:pPr>
      <w:r>
        <w:t xml:space="preserve">Short answer: yes, with two adjustments already in motion.</w:t>
      </w:r>
    </w:p>
    <w:p>
      <w:pPr>
        <w:pStyle w:val="Heading2"/>
        <w:spacing w:after="100" w:before="240"/>
      </w:pPr>
      <w:r>
        <w:t xml:space="preserve">Goal 1 — Reduce ambiguity amongst INCOSE WGs</w:t>
      </w:r>
    </w:p>
    <w:p>
      <w:pPr>
        <w:spacing w:after="160"/>
      </w:pPr>
      <w:r>
        <w:t xml:space="preserve">Strong match. This is close to verbatim what “Why we exist” already says. Gap: the primer's own language currently scopes ambiguity-reduction to “within our organization,” not “amongst INCOSE WGs.” The federated/holonic revision already proposed for the primer (Core ↔ Engineering / Systems / Policy / Domains, and “the same pattern that scales... to how KSWG relates to INCOSE's other working groups”) is what makes this goal legible — without it, the WG-to-WG layer isn't stated anywhere in the primer.</w:t>
      </w:r>
    </w:p>
    <w:p>
      <w:pPr>
        <w:pStyle w:val="Heading2"/>
        <w:spacing w:after="100" w:before="240"/>
      </w:pPr>
      <w:r>
        <w:t xml:space="preserve">Goal 2 — Improve collaboration and enable interoperability across SE disciplines within INCOSE</w:t>
      </w:r>
    </w:p>
    <w:p>
      <w:pPr>
        <w:spacing w:after="160"/>
      </w:pPr>
      <w:r>
        <w:t xml:space="preserve">Weakest fit today. The “Core working group alignment” table and the operating-model diagram both name other working groups, but they're framed as one organization's relationship to those WGs — ingest their output, apply it locally — not the practice actively brokering collaboration between WGs. If Goal 2 is meant literally, the primer should say more explicitly that part of the job is connecting WGs to each other, not only connecting INCOSE guidance to one adopting organization.</w:t>
      </w:r>
    </w:p>
    <w:p>
      <w:pPr>
        <w:pStyle w:val="Heading2"/>
        <w:spacing w:after="100" w:before="240"/>
      </w:pPr>
      <w:r>
        <w:t xml:space="preserve">Goal 3 — Improve speed, quality, and consistency of engineering knowledge artifacts</w:t>
      </w:r>
    </w:p>
    <w:p>
      <w:pPr>
        <w:spacing w:after="160"/>
      </w:pPr>
      <w:r>
        <w:t xml:space="preserve">Strong match. The value pillars, the “why not a glossary” section, and “what we produce” all map directly to quality and consistency. Missing piece: no measure today is tied to speed specifically — e.g., how quickly a terminology conflict gets resolved and published once raised. Added as a success criterion below.</w:t>
      </w:r>
    </w:p>
    <w:p>
      <w:pPr>
        <w:pBdr>
          <w:bottom w:val="single" w:color="CCCCCC" w:sz="6" w:space="8"/>
        </w:pBdr>
        <w:spacing w:after="240"/>
      </w:pPr>
    </w:p>
    <w:p>
      <w:pPr>
        <w:pStyle w:val="Heading1"/>
        <w:spacing w:after="140" w:before="320"/>
      </w:pPr>
      <w:r>
        <w:t xml:space="preserve">Success criteria</w:t>
      </w:r>
    </w:p>
    <w:p>
      <w:pPr>
        <w:spacing w:after="160"/>
      </w:pPr>
      <w:r>
        <w:t xml:space="preserve">Qualitative and observable for now, in the same hedged spirit as the primer's existing “proposed measures” — not invented numbers. Once Appendix A's case study exists, these can be sharpened into numeric targets.</w:t>
      </w:r>
    </w:p>
    <w:p>
      <w:pPr>
        <w:pStyle w:val="Heading2"/>
        <w:spacing w:after="100" w:before="240"/>
      </w:pPr>
      <w:r>
        <w:t xml:space="preserve">Goal 1 — Reduce ambiguity amongst INCOSE WGs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0"/>
        <w:gridCol w:w="4200"/>
      </w:tblGrid>
      <w:tr>
        <w:tc>
          <w:tcPr>
            <w:tcW w:type="dxa" w:w="552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Success criterion</w:t>
            </w:r>
          </w:p>
        </w:tc>
        <w:tc>
          <w:tcPr>
            <w:tcW w:type="dxa" w:w="4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Primarily accountable</w:t>
            </w:r>
          </w:p>
        </w:tc>
      </w:tr>
      <w:tr>
        <w:tc>
          <w:tcPr>
            <w:tcW w:type="dxa" w:w="552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term used by more than one WG resolves to a single published concept, or to an explicit, recorded mapping — not to independent redefinitions.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Providers publish and maintain the Core; Partners reference it or record a mapping when their term diverges.</w:t>
            </w:r>
          </w:p>
        </w:tc>
      </w:tr>
      <w:tr>
        <w:tc>
          <w:tcPr>
            <w:tcW w:type="dxa" w:w="552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When two WGs' definitions genuinely conflict, the conflict is recorded rather than papered over, and routed to a named responsible authority for a decision.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Partners raise the conflict; Providers record it and route it.</w:t>
            </w:r>
          </w:p>
        </w:tc>
      </w:tr>
      <w:tr>
        <w:tc>
          <w:tcPr>
            <w:tcW w:type="dxa" w:w="552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WG or program starting new work can find an existing concept before defining a new one — reuse is the default behavior, not just a technical possibility.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Providers make the Core discoverable; Consumers are expected to check first.</w:t>
            </w:r>
          </w:p>
        </w:tc>
      </w:tr>
    </w:tbl>
    <w:p>
      <w:pPr>
        <w:pStyle w:val="Heading2"/>
        <w:spacing w:after="100" w:before="240"/>
      </w:pPr>
      <w:r>
        <w:t xml:space="preserve">Goal 2 — Improve collaboration and interoperability across SE disciplines within INCOSE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0"/>
        <w:gridCol w:w="4200"/>
      </w:tblGrid>
      <w:tr>
        <w:tc>
          <w:tcPr>
            <w:tcW w:type="dxa" w:w="552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Success criterion</w:t>
            </w:r>
          </w:p>
        </w:tc>
        <w:tc>
          <w:tcPr>
            <w:tcW w:type="dxa" w:w="4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Primarily accountable</w:t>
            </w:r>
          </w:p>
        </w:tc>
      </w:tr>
      <w:tr>
        <w:tc>
          <w:tcPr>
            <w:tcW w:type="dxa" w:w="552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More than one WG beyond KSWG is actively contributing to or reusing the shared Core — not just receiving a static document.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Partners contribute; Providers facilitate and maintain.</w:t>
            </w:r>
          </w:p>
        </w:tc>
      </w:tr>
      <w:tr>
        <w:tc>
          <w:tcPr>
            <w:tcW w:type="dxa" w:w="552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Cross-WG artifacts (models, requirement sets, traceability links) reference shared concept identifiers instead of being manually reconciled term-by-term at each hand-off.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Consumers adopt the identifiers; Providers supply them.</w:t>
            </w:r>
          </w:p>
        </w:tc>
      </w:tr>
      <w:tr>
        <w:tc>
          <w:tcPr>
            <w:tcW w:type="dxa" w:w="552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Disagreements between disciplines about a shared concept get resolved through the practice's process — disambiguation sessions, recorded differences — rather than through ad hoc negotiation or simply going unresolved.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Shared: Providers facilitate, Partners participate.</w:t>
            </w:r>
          </w:p>
        </w:tc>
      </w:tr>
    </w:tbl>
    <w:p>
      <w:pPr>
        <w:pStyle w:val="Heading2"/>
        <w:spacing w:after="100" w:before="240"/>
      </w:pPr>
      <w:r>
        <w:t xml:space="preserve">Goal 3 — Improve speed, quality, and consistency of knowledge artifacts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0"/>
        <w:gridCol w:w="4200"/>
      </w:tblGrid>
      <w:tr>
        <w:tc>
          <w:tcPr>
            <w:tcW w:type="dxa" w:w="552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Success criterion</w:t>
            </w:r>
          </w:p>
        </w:tc>
        <w:tc>
          <w:tcPr>
            <w:tcW w:type="dxa" w:w="4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Primarily accountable</w:t>
            </w:r>
          </w:p>
        </w:tc>
      </w:tr>
      <w:tr>
        <w:tc>
          <w:tcPr>
            <w:tcW w:type="dxa" w:w="552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Fewer integration defects or rework cycles are attributable to terminology mismatch at hand-off points.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Consumers report it; Providers address the root cause in the Core or the relevant domain layer.</w:t>
            </w:r>
          </w:p>
        </w:tc>
      </w:tr>
      <w:tr>
        <w:tc>
          <w:tcPr>
            <w:tcW w:type="dxa" w:w="552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Terminology conflicts, once raised, are resolved and published on a consistent, predictable cycle rather than lingering unresolved indefinitely.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Providers own the resolution process.</w:t>
            </w:r>
          </w:p>
        </w:tc>
      </w:tr>
      <w:tr>
        <w:tc>
          <w:tcPr>
            <w:tcW w:type="dxa" w:w="552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given concept has one authoritative, versioned definition consumers can point to — not multiple silently-diverging copies across teams or WGs.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Providers maintain it; Partners and Consumers flag drift when they find it.</w:t>
            </w:r>
          </w:p>
        </w:tc>
      </w:tr>
    </w:tbl>
    <w:p>
      <w:pPr>
        <w:pBdr>
          <w:bottom w:val="single" w:color="CCCCCC" w:sz="6" w:space="8"/>
        </w:pBdr>
        <w:spacing w:after="240"/>
      </w:pPr>
    </w:p>
    <w:p>
      <w:pPr>
        <w:pStyle w:val="Heading1"/>
        <w:spacing w:after="140" w:before="320"/>
      </w:pPr>
      <w:r>
        <w:t xml:space="preserve">Open item before this goes further</w:t>
      </w:r>
    </w:p>
    <w:p>
      <w:pPr>
        <w:spacing w:after="160"/>
      </w:pPr>
      <w:r>
        <w:t xml:space="preserve">Goal 2 in particular assumes the practice is meant to connect WGs to each other, not just connect INCOSE guidance to one adopting organization. Worth a direct yes/no from the team before it's written into the primer as a commitment — it changes what “How we work” needs to promise, and who Partners can reasonably hold us accountable to.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2026-08-03T18:20:24.919Z</dcterms:created>
  <dcterms:modified xsi:type="dcterms:W3CDTF">2026-08-03T18:20:24.919Z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