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KE Primer v1.3 — Proposed Revisions</w:t>
      </w:r>
    </w:p>
    <w:p>
      <w:pPr>
        <w:spacing w:after="240"/>
      </w:pPr>
      <w:r>
        <w:rPr>
          <w:color w:val="444444"/>
          <w:sz w:val="24"/>
          <w:szCs w:val="24"/>
        </w:rPr>
        <w:t xml:space="preserve">Closing the gap with the federated / holonic structure</w:t>
      </w:r>
    </w:p>
    <w:p>
      <w:pPr>
        <w:spacing w:after="160"/>
      </w:pPr>
      <w:r>
        <w:t xml:space="preserve">These are proposed additions to KE Primer v1.3 — not a rewrite. They make one structural idea explicit that the primer currently only hints at: the practice is organized as a shared core plus self-governing discipline-level layers built on it, the same pattern laid out in “Context is King,” the Living Blueprint, and the Holonic Semantic Governance Architecture document. Nothing here adds new tooling, new scope, or new claims — it names a structure that's already implied by lines like “we select the form that fits the problem” and “we record both, record the difference, and route the decision to the responsible authority.”</w:t>
      </w:r>
    </w:p>
    <w:p>
      <w:pPr>
        <w:spacing w:after="160"/>
      </w:pPr>
      <w:r>
        <w:t xml:space="preserve">The source architecture document uses a full technical vocabulary (SHACL, ORSD, KGCL, MTBH, and so on) to formalize this. None of that belongs in a primer for systems engineers new to knowledge engineering. The one concept worth naming in plain language is the holon itself — a unit that is simultaneously a whole in itself and a part of something larger — because it's a recognized systems-science term (Koestler) that SSWG's own audience will already find familiar. Everything below stops there; nothing more technical is introduced.</w:t>
      </w:r>
    </w:p>
    <w:p>
      <w:pPr>
        <w:pBdr>
          <w:bottom w:val="single" w:color="CCCCCC" w:sz="6" w:space="8"/>
        </w:pBdr>
        <w:spacing w:after="240"/>
      </w:pPr>
    </w:p>
    <w:p>
      <w:pPr>
        <w:pStyle w:val="Heading1"/>
        <w:spacing w:after="160" w:before="320"/>
      </w:pPr>
      <w:r>
        <w:t xml:space="preserve">1. New subsection in “1. Why we exist”</w:t>
      </w:r>
    </w:p>
    <w:p>
      <w:pPr>
        <w:spacing w:after="60" w:before="160"/>
      </w:pPr>
      <w:r>
        <w:rPr>
          <w:b/>
          <w:bCs/>
          <w:sz w:val="20"/>
          <w:szCs w:val="20"/>
        </w:rPr>
        <w:t xml:space="preserve">Insert after:</w:t>
      </w:r>
    </w:p>
    <w:p>
      <w:pPr>
        <w:pBdr>
          <w:left w:val="single" w:color="AAAAAA" w:sz="12" w:space="8"/>
        </w:pBdr>
        <w:spacing w:after="160"/>
        <w:ind w:left="360"/>
      </w:pPr>
      <w:r>
        <w:rPr>
          <w:i/>
          <w:iCs/>
          <w:color w:val="666666"/>
        </w:rPr>
        <w:t xml:space="preserve">“...we select the form that fits the problem in front of us rather than committing the organization to one.” (end of the “Our purpose” paragraph, before the reasoning paragraph and “Value pillars”)</w:t>
      </w:r>
    </w:p>
    <w:p>
      <w:pPr>
        <w:spacing w:after="60" w:before="160"/>
      </w:pPr>
      <w:r>
        <w:rPr>
          <w:b/>
          <w:bCs/>
          <w:sz w:val="20"/>
          <w:szCs w:val="20"/>
        </w:rPr>
        <w:t xml:space="preserve">New subsection: “How the practice is structured to scale”</w:t>
      </w:r>
    </w:p>
    <w:p>
      <w:pPr>
        <w:pBdr>
          <w:left w:val="single" w:color="1F4E79" w:sz="18" w:space="8"/>
        </w:pBdr>
        <w:spacing w:after="160"/>
        <w:ind w:left="360"/>
      </w:pPr>
      <w:r>
        <w:rPr>
          <w:color w:val="1F4E79"/>
        </w:rPr>
        <w:t xml:space="preserve">A single team can't be the author of every term used across every discipline — trying to be would make us the very bottleneck we exist to remove. So the practice is built the way many complex systems are: a small, stable shared core, and self-governing parts built on top of it.</w:t>
      </w:r>
    </w:p>
    <w:p>
      <w:pPr>
        <w:pBdr>
          <w:left w:val="single" w:color="1F4E79" w:sz="18" w:space="8"/>
        </w:pBdr>
        <w:spacing w:after="160"/>
        <w:ind w:left="360"/>
      </w:pPr>
      <w:r>
        <w:rPr>
          <w:color w:val="1F4E79"/>
        </w:rPr>
        <w:t xml:space="preserve">KSWG maintains the Core: the vocabulary, taxonomy, and ontology terms genuinely common across disciplines (requirement, interface, verification, and the like). Each engineering discipline then builds its own vocabulary, taxonomy, and ontology on top of that Core rather than replacing it — extending it, not forking it. A discipline can add or revise its own terms without asking permission from every other discipline, and without breaking anyone else's work, because it inherits from the shared Core instead of being locked into one shared schema. The same pattern repeats at the Systems, Policy, and Domains level: each layer is a complete, self-contained unit on its own, and, at the same time, a working part of the whole.</w:t>
      </w:r>
    </w:p>
    <w:p>
      <w:pPr>
        <w:pBdr>
          <w:left w:val="single" w:color="1F4E79" w:sz="18" w:space="8"/>
        </w:pBdr>
        <w:spacing w:after="160"/>
        <w:ind w:left="360"/>
      </w:pPr>
      <w:r>
        <w:rPr>
          <w:color w:val="1F4E79"/>
        </w:rPr>
        <w:t xml:space="preserve">Systems science has a name for this: a holon — a unit that is simultaneously a whole in itself and a part of something larger, the same relationship SSWG studies in complex systems generally. It's what lets this practice extend to new disciplines and programs without a central team becoming a chokepoint. It's also the same pattern that scales from what we do inside our organization up to how KSWG relates to INCOSE's other working groups — we are one layer of a structure that repeats at every level, not a separate approach.</w:t>
      </w:r>
    </w:p>
    <w:p>
      <w:pPr>
        <w:spacing w:after="220"/>
      </w:pPr>
      <w:r>
        <w:rPr>
          <w:i/>
          <w:iCs/>
          <w:color w:val="555555"/>
        </w:rPr>
        <w:t xml:space="preserve">Why: this names the structural idea from the holonic architecture (Core → discipline inheritance, “Context is King”) that the primer is currently missing, and it reframes the primer's “our organization” scope as one instance of the larger INCOSE-wide pattern rather than a contradiction of it.</w:t>
      </w:r>
    </w:p>
    <w:p>
      <w:pPr>
        <w:pBdr>
          <w:bottom w:val="single" w:color="CCCCCC" w:sz="6" w:space="8"/>
        </w:pBdr>
        <w:spacing w:after="240"/>
      </w:pPr>
    </w:p>
    <w:p>
      <w:pPr>
        <w:pStyle w:val="Heading1"/>
        <w:spacing w:after="160" w:before="320"/>
      </w:pPr>
      <w:r>
        <w:t xml:space="preserve">2. Addition to “2. What we do,” after the working-group table</w:t>
      </w:r>
    </w:p>
    <w:p>
      <w:pPr>
        <w:spacing w:after="60" w:before="160"/>
      </w:pPr>
      <w:r>
        <w:rPr>
          <w:b/>
          <w:bCs/>
          <w:sz w:val="20"/>
          <w:szCs w:val="20"/>
        </w:rPr>
        <w:t xml:space="preserve">Insert after the “Core working group alignment” table, before the “Note:” line:</w:t>
      </w:r>
    </w:p>
    <w:p>
      <w:pPr>
        <w:spacing w:after="160"/>
      </w:pPr>
      <w:r>
        <w:t xml:space="preserve">The relationship in that table isn't just a division of responsibilities — each layer inherits from the one above it, the same core-to-discipline pattern described in Section 1:</w:t>
      </w:r>
    </w:p>
    <w:p>
      <w:pPr>
        <w:spacing w:after="0"/>
        <w:ind w:left="360"/>
      </w:pPr>
      <w:r>
        <w:rPr>
          <w:rFonts w:ascii="Courier New" w:cs="Courier New" w:eastAsia="Courier New" w:hAnsi="Courier New"/>
          <w:color w:val="1F4E79"/>
          <w:sz w:val="18"/>
          <w:szCs w:val="18"/>
        </w:rPr>
        <w:t xml:space="preserve">        INCOSE Core (shared vocabulary, taxonomy, ontology)</w:t>
      </w:r>
    </w:p>
    <w:p>
      <w:pPr>
        <w:spacing w:after="0"/>
        <w:ind w:left="360"/>
      </w:pPr>
      <w:r>
        <w:rPr>
          <w:rFonts w:ascii="Courier New" w:cs="Courier New" w:eastAsia="Courier New" w:hAnsi="Courier New"/>
          <w:color w:val="1F4E79"/>
          <w:sz w:val="18"/>
          <w:szCs w:val="18"/>
        </w:rPr>
        <w:t xml:space="preserve">                         |</w:t>
      </w:r>
    </w:p>
    <w:p>
      <w:pPr>
        <w:spacing w:after="0"/>
        <w:ind w:left="360"/>
      </w:pPr>
      <w:r>
        <w:rPr>
          <w:rFonts w:ascii="Courier New" w:cs="Courier New" w:eastAsia="Courier New" w:hAnsi="Courier New"/>
          <w:color w:val="1F4E79"/>
          <w:sz w:val="18"/>
          <w:szCs w:val="18"/>
        </w:rPr>
        <w:t xml:space="preserve">       inherits from, extends, and reports back to</w:t>
      </w:r>
    </w:p>
    <w:p>
      <w:pPr>
        <w:spacing w:after="0"/>
        <w:ind w:left="360"/>
      </w:pPr>
      <w:r>
        <w:rPr>
          <w:rFonts w:ascii="Courier New" w:cs="Courier New" w:eastAsia="Courier New" w:hAnsi="Courier New"/>
          <w:color w:val="1F4E79"/>
          <w:sz w:val="18"/>
          <w:szCs w:val="18"/>
        </w:rPr>
        <w:t xml:space="preserve">                         |</w:t>
      </w:r>
    </w:p>
    <w:p>
      <w:pPr>
        <w:spacing w:after="0"/>
        <w:ind w:left="360"/>
      </w:pPr>
      <w:r>
        <w:rPr>
          <w:rFonts w:ascii="Courier New" w:cs="Courier New" w:eastAsia="Courier New" w:hAnsi="Courier New"/>
          <w:color w:val="1F4E79"/>
          <w:sz w:val="18"/>
          <w:szCs w:val="18"/>
        </w:rPr>
        <w:t xml:space="preserve">     +-------------------+-------------------+</w:t>
      </w:r>
    </w:p>
    <w:p>
      <w:pPr>
        <w:spacing w:after="0"/>
        <w:ind w:left="360"/>
      </w:pPr>
      <w:r>
        <w:rPr>
          <w:rFonts w:ascii="Courier New" w:cs="Courier New" w:eastAsia="Courier New" w:hAnsi="Courier New"/>
          <w:color w:val="1F4E79"/>
          <w:sz w:val="18"/>
          <w:szCs w:val="18"/>
        </w:rPr>
        <w:t xml:space="preserve">     v                   v                   v</w:t>
      </w:r>
    </w:p>
    <w:p>
      <w:pPr>
        <w:spacing w:after="0"/>
        <w:ind w:left="360"/>
      </w:pPr>
      <w:r>
        <w:rPr>
          <w:rFonts w:ascii="Courier New" w:cs="Courier New" w:eastAsia="Courier New" w:hAnsi="Courier New"/>
          <w:color w:val="1F4E79"/>
          <w:sz w:val="18"/>
          <w:szCs w:val="18"/>
        </w:rPr>
        <w:t xml:space="preserve">  Engineering          Systems           Policy / Domains</w:t>
      </w:r>
    </w:p>
    <w:p>
      <w:pPr>
        <w:spacing w:after="0"/>
        <w:ind w:left="360"/>
      </w:pPr>
      <w:r>
        <w:rPr>
          <w:rFonts w:ascii="Courier New" w:cs="Courier New" w:eastAsia="Courier New" w:hAnsi="Courier New"/>
          <w:color w:val="1F4E79"/>
          <w:sz w:val="18"/>
          <w:szCs w:val="18"/>
        </w:rPr>
        <w:t xml:space="preserve">  (own vocab,        (own vocab,          (own vocab,</w:t>
      </w:r>
    </w:p>
    <w:p>
      <w:pPr>
        <w:spacing w:after="0"/>
        <w:ind w:left="360"/>
      </w:pPr>
      <w:r>
        <w:rPr>
          <w:rFonts w:ascii="Courier New" w:cs="Courier New" w:eastAsia="Courier New" w:hAnsi="Courier New"/>
          <w:color w:val="1F4E79"/>
          <w:sz w:val="18"/>
          <w:szCs w:val="18"/>
        </w:rPr>
        <w:t xml:space="preserve">   taxonomy,          taxonomy,            taxonomy,</w:t>
      </w:r>
    </w:p>
    <w:p>
      <w:pPr>
        <w:spacing w:after="0"/>
        <w:ind w:left="360"/>
      </w:pPr>
      <w:r>
        <w:rPr>
          <w:rFonts w:ascii="Courier New" w:cs="Courier New" w:eastAsia="Courier New" w:hAnsi="Courier New"/>
          <w:color w:val="1F4E79"/>
          <w:sz w:val="18"/>
          <w:szCs w:val="18"/>
        </w:rPr>
        <w:t xml:space="preserve">   ontology —         ontology —           ontology —</w:t>
      </w:r>
    </w:p>
    <w:p>
      <w:pPr>
        <w:spacing w:after="0"/>
        <w:ind w:left="360"/>
      </w:pPr>
      <w:r>
        <w:rPr>
          <w:rFonts w:ascii="Courier New" w:cs="Courier New" w:eastAsia="Courier New" w:hAnsi="Courier New"/>
          <w:color w:val="1F4E79"/>
          <w:sz w:val="18"/>
          <w:szCs w:val="18"/>
        </w:rPr>
        <w:t xml:space="preserve">   built on           built on             built on</w:t>
      </w:r>
    </w:p>
    <w:p>
      <w:pPr>
        <w:spacing w:after="0"/>
        <w:ind w:left="360"/>
      </w:pPr>
      <w:r>
        <w:rPr>
          <w:rFonts w:ascii="Courier New" w:cs="Courier New" w:eastAsia="Courier New" w:hAnsi="Courier New"/>
          <w:color w:val="1F4E79"/>
          <w:sz w:val="18"/>
          <w:szCs w:val="18"/>
        </w:rPr>
        <w:t xml:space="preserve">   the Core)          the Core)            the Core)</w:t>
      </w:r>
    </w:p>
    <w:p>
      <w:pPr>
        <w:spacing w:after="160"/>
      </w:pPr>
    </w:p>
    <w:p>
      <w:pPr>
        <w:pBdr>
          <w:left w:val="single" w:color="1F4E79" w:sz="18" w:space="8"/>
        </w:pBdr>
        <w:spacing w:after="160"/>
        <w:ind w:left="360"/>
      </w:pPr>
      <w:r>
        <w:rPr>
          <w:color w:val="1F4E79"/>
        </w:rPr>
        <w:t xml:space="preserve">A change to a discipline's own layer doesn't require re-negotiating the Core; a genuine gap in the Core gets raised up and resolved once, for everyone.</w:t>
      </w:r>
    </w:p>
    <w:p>
      <w:pPr>
        <w:spacing w:after="220"/>
      </w:pPr>
      <w:r>
        <w:rPr>
          <w:i/>
          <w:iCs/>
          <w:color w:val="555555"/>
        </w:rPr>
        <w:t xml:space="preserve">Why: turns the flat working-group table into the recursive core/discipline structure from the KSWG “Context is King” deck, in prose and a simple diagram consistent with the primer's existing ASCII-diagram style in Section 3.</w:t>
      </w:r>
    </w:p>
    <w:p>
      <w:pPr>
        <w:pBdr>
          <w:bottom w:val="single" w:color="CCCCCC" w:sz="6" w:space="8"/>
        </w:pBdr>
        <w:spacing w:after="240"/>
      </w:pPr>
    </w:p>
    <w:p>
      <w:pPr>
        <w:pStyle w:val="Heading1"/>
        <w:spacing w:after="160" w:before="320"/>
      </w:pPr>
      <w:r>
        <w:t xml:space="preserve">3. New bullet in “What is out of scope”</w:t>
      </w:r>
    </w:p>
    <w:p>
      <w:pPr>
        <w:spacing w:after="60" w:before="160"/>
      </w:pPr>
      <w:r>
        <w:rPr>
          <w:b/>
          <w:bCs/>
          <w:sz w:val="20"/>
          <w:szCs w:val="20"/>
        </w:rPr>
        <w:t xml:space="preserve">Insert after the existing bullet “We do not arbitrate technical disputes between disciplines...”:</w:t>
      </w:r>
    </w:p>
    <w:p>
      <w:pPr>
        <w:pBdr>
          <w:left w:val="single" w:color="1F4E79" w:sz="18" w:space="8"/>
        </w:pBdr>
        <w:spacing w:after="160"/>
        <w:ind w:left="360"/>
      </w:pPr>
      <w:r>
        <w:rPr>
          <w:color w:val="1F4E79"/>
        </w:rPr>
        <w:t xml:space="preserve">We do not own or approve every term a discipline uses day to day. Each discipline governs the vocabulary within its own layer; we maintain the shared Core those layers build on, and the rules that keep them compatible with each other.</w:t>
      </w:r>
    </w:p>
    <w:p>
      <w:pPr>
        <w:spacing w:after="220"/>
      </w:pPr>
      <w:r>
        <w:rPr>
          <w:i/>
          <w:iCs/>
          <w:color w:val="555555"/>
        </w:rPr>
        <w:t xml:space="preserve">Why: makes the authority split explicit. It directly answers a question raised in the KSWG business meeting — “who has the authority to commit to semantic standards?” — by clarifying that authority is distributed across layers, not centralized in this practice.</w:t>
      </w:r>
    </w:p>
    <w:p>
      <w:pPr>
        <w:pBdr>
          <w:bottom w:val="single" w:color="CCCCCC" w:sz="6" w:space="8"/>
        </w:pBdr>
        <w:spacing w:after="240"/>
      </w:pPr>
    </w:p>
    <w:p>
      <w:pPr>
        <w:pStyle w:val="Heading1"/>
        <w:spacing w:after="160" w:before="320"/>
      </w:pPr>
      <w:r>
        <w:t xml:space="preserve">4. Addition to “3. How we work”</w:t>
      </w:r>
    </w:p>
    <w:p>
      <w:pPr>
        <w:spacing w:after="60" w:before="160"/>
      </w:pPr>
      <w:r>
        <w:rPr>
          <w:b/>
          <w:bCs/>
          <w:sz w:val="20"/>
          <w:szCs w:val="20"/>
        </w:rPr>
        <w:t xml:space="preserve">Insert after: “Domain experts, architects, and validation results feed back into the practice; the arrows run in both directions.”</w:t>
      </w:r>
    </w:p>
    <w:p>
      <w:pPr>
        <w:pBdr>
          <w:left w:val="single" w:color="1F4E79" w:sz="18" w:space="8"/>
        </w:pBdr>
        <w:spacing w:after="160"/>
        <w:ind w:left="360"/>
      </w:pPr>
      <w:r>
        <w:rPr>
          <w:color w:val="1F4E79"/>
        </w:rPr>
        <w:t xml:space="preserve">This is meant to run as a loop, not a one-time hand-off. We watch how published terms actually get used — are people reusing them, or quietly redefining them because something doesn't fit? We work out whether that friction means the shared Core needs to change (which affects everyone and gets resolved once) or a discipline needs more room within its own layer (which it can handle on its own). Then we update the right layer. The goal is for our definitions to keep pace with how the work actually evolves, rather than freezing the moment they're published.</w:t>
      </w:r>
    </w:p>
    <w:p>
      <w:pPr>
        <w:spacing w:after="220"/>
      </w:pPr>
      <w:r>
        <w:rPr>
          <w:i/>
          <w:iCs/>
          <w:color w:val="555555"/>
        </w:rPr>
        <w:t xml:space="preserve">Why: adds the design-time/run-time feedback loop (Observe → Reason → Adapt in the source material) in plain language, so the operating model reads as continuous rather than a single hand-off — matching the “living system” framing in the Living Blueprint and “Context is King” decks without naming that framework directly.</w:t>
      </w:r>
    </w:p>
    <w:p>
      <w:pPr>
        <w:pBdr>
          <w:bottom w:val="single" w:color="CCCCCC" w:sz="6" w:space="8"/>
        </w:pBdr>
        <w:spacing w:after="240"/>
      </w:pPr>
    </w:p>
    <w:p>
      <w:pPr>
        <w:pStyle w:val="Heading1"/>
        <w:spacing w:after="160" w:before="320"/>
      </w:pPr>
      <w:r>
        <w:t xml:space="preserve">5. Small tweak in “What we produce”</w:t>
      </w:r>
    </w:p>
    <w:p>
      <w:pPr>
        <w:spacing w:after="60" w:before="160"/>
      </w:pPr>
      <w:r>
        <w:rPr>
          <w:b/>
          <w:bCs/>
          <w:sz w:val="20"/>
          <w:szCs w:val="20"/>
        </w:rPr>
        <w:t xml:space="preserve">Current:</w:t>
      </w:r>
    </w:p>
    <w:p>
      <w:pPr>
        <w:pBdr>
          <w:left w:val="single" w:color="AAAAAA" w:sz="12" w:space="8"/>
        </w:pBdr>
        <w:spacing w:after="160"/>
        <w:ind w:left="360"/>
      </w:pPr>
      <w:r>
        <w:rPr>
          <w:i/>
          <w:iCs/>
          <w:color w:val="666666"/>
        </w:rPr>
        <w:t xml:space="preserve">“Traceability maps.”</w:t>
      </w:r>
    </w:p>
    <w:p>
      <w:pPr>
        <w:spacing w:after="60" w:before="160"/>
      </w:pPr>
      <w:r>
        <w:rPr>
          <w:b/>
          <w:bCs/>
          <w:sz w:val="20"/>
          <w:szCs w:val="20"/>
        </w:rPr>
        <w:t xml:space="preserve">Proposed:</w:t>
      </w:r>
    </w:p>
    <w:p>
      <w:pPr>
        <w:pBdr>
          <w:left w:val="single" w:color="1F4E79" w:sz="18" w:space="8"/>
        </w:pBdr>
        <w:spacing w:after="160"/>
        <w:ind w:left="360"/>
      </w:pPr>
      <w:r>
        <w:rPr>
          <w:color w:val="1F4E79"/>
        </w:rPr>
        <w:t xml:space="preserve">“Traceability maps, so a change in one discipline's terms can be traced to everything downstream that depends on it.”</w:t>
      </w:r>
    </w:p>
    <w:p>
      <w:pPr>
        <w:spacing w:after="220"/>
      </w:pPr>
      <w:r>
        <w:rPr>
          <w:i/>
          <w:iCs/>
          <w:color w:val="555555"/>
        </w:rPr>
        <w:t xml:space="preserve">Why: gives the existing bullet concrete meaning, tied to the traceability layer of the original architecture, without introducing knowledge-graph or database infrastructure language.</w:t>
      </w:r>
    </w:p>
    <w:p>
      <w:pPr>
        <w:pBdr>
          <w:bottom w:val="single" w:color="CCCCCC" w:sz="6" w:space="8"/>
        </w:pBdr>
        <w:spacing w:after="240"/>
      </w:pPr>
    </w:p>
    <w:p>
      <w:pPr>
        <w:pStyle w:val="Heading1"/>
        <w:spacing w:after="160" w:before="320"/>
      </w:pPr>
      <w:r>
        <w:t xml:space="preserve">6. Two citation placeholders already have real answers</w:t>
      </w:r>
    </w:p>
    <w:p>
      <w:pPr>
        <w:pStyle w:val="ListParagraph"/>
        <w:numPr>
          <w:ilvl w:val="0"/>
          <w:numId w:val="1"/>
        </w:numPr>
        <w:spacing w:after="100"/>
      </w:pPr>
      <w:r>
        <w:t xml:space="preserve">“[cite edition and clause]” (Section 1, “Why we exist”) → the INCOSE Systems Engineering Handbook, and the INCOSE SEBoK Core Ontology Usage Guide v1.0 (Feb 2025), which aligns to ISO/IEC/IEEE 15288:2023 and ISO/IEC/IEEE 24748-1:2024. Confirm the exact clause before circulating.</w:t>
      </w:r>
    </w:p>
    <w:p>
      <w:pPr>
        <w:pStyle w:val="ListParagraph"/>
        <w:numPr>
          <w:ilvl w:val="0"/>
          <w:numId w:val="1"/>
        </w:numPr>
        <w:spacing w:after="100"/>
      </w:pPr>
      <w:r>
        <w:t xml:space="preserve">“[cite charter]” (Section 2, working-group table, three instances) → pull the one- or two-line mission statement directly from each working group's published charter (KSWG, SSWG, DE/MBSE) rather than paraphrasing from memory.</w:t>
      </w:r>
    </w:p>
    <w:p>
      <w:pPr>
        <w:pBdr>
          <w:bottom w:val="single" w:color="CCCCCC" w:sz="6" w:space="8"/>
        </w:pBdr>
        <w:spacing w:after="240"/>
      </w:pPr>
    </w:p>
    <w:p>
      <w:pPr>
        <w:spacing w:after="160"/>
      </w:pPr>
      <w:r>
        <w:rPr>
          <w:b w:val="false"/>
          <w:bCs w:val="false"/>
        </w:rPr>
        <w:t xml:space="preserve">None of the above changes the primer's scope, tone, or hedging (Appendix A's “remains a hypothesis” stance is untouched). It just gives the practice's structure a name and a picture, using one plain-language term instead of the fuller technical vocabulary in the architecture document.</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2026-08-02T02:15:54.359Z</dcterms:created>
  <dcterms:modified xsi:type="dcterms:W3CDTF">2026-08-02T02:15:54.361Z</dcterms:modified>
</cp:coreProperties>
</file>

<file path=docProps/custom.xml><?xml version="1.0" encoding="utf-8"?>
<Properties xmlns="http://schemas.openxmlformats.org/officeDocument/2006/custom-properties" xmlns:vt="http://schemas.openxmlformats.org/officeDocument/2006/docPropsVTypes"/>
</file>