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A5F"/>
          <w:sz w:val="52"/>
          <w:szCs w:val="52"/>
        </w:rPr>
        <w:t xml:space="preserve">Untangling Scattered Business Logic</w:t>
      </w:r>
    </w:p>
    <w:p>
      <w:pPr>
        <w:spacing w:after="100" w:before="200"/>
        <w:jc w:val="center"/>
      </w:pPr>
      <w:r>
        <w:rPr>
          <w:b/>
          <w:bCs/>
          <w:color w:val="B8860B"/>
          <w:sz w:val="28"/>
          <w:szCs w:val="28"/>
        </w:rPr>
        <w:t xml:space="preserve">An Architecture for a Single Source of Truth Across Code, Rules Engines, and Ontologies</w:t>
      </w:r>
    </w:p>
    <w:p>
      <w:pPr>
        <w:spacing w:before="400"/>
        <w:jc w:val="center"/>
      </w:pPr>
      <w:r>
        <w:rPr>
          <w:i/>
          <w:iCs/>
          <w:color w:val="555555"/>
          <w:sz w:val="22"/>
          <w:szCs w:val="22"/>
        </w:rPr>
        <w:t xml:space="preserve">Architecture Proposal — Domain-Centric Metadata &amp; Execution-Translation Pipeline</w:t>
      </w:r>
    </w:p>
    <w:p>
      <w:pPr>
        <w:spacing w:before="1200"/>
        <w:jc w:val="center"/>
      </w:pPr>
      <w:r>
        <w:rPr>
          <w:color w:val="555555"/>
          <w:sz w:val="20"/>
          <w:szCs w:val="20"/>
        </w:rPr>
        <w:t xml:space="preserve">Prepared for internal architecture review</w:t>
      </w:r>
    </w:p>
    <w:p>
      <w:r>
        <w:br w:type="page"/>
      </w:r>
    </w:p>
    <w:p>
      <w:pPr>
        <w:pStyle w:val="Heading1"/>
        <w:spacing w:after="160" w:before="400"/>
      </w:pPr>
      <w:r>
        <w:t xml:space="preserve">Executive Summary</w:t>
      </w:r>
    </w:p>
    <w:p>
      <w:pPr>
        <w:spacing w:after="160"/>
      </w:pPr>
      <w:r>
        <w:t xml:space="preserve">Business logic in most enterprises is scattered across legacy code, database triggers, rules engine UIs, and informal ontologies — with no single place that tells you what the system actually does, or why. The result is </w:t>
      </w:r>
      <w:r>
        <w:rPr>
          <w:b/>
          <w:bCs/>
        </w:rPr>
        <w:t xml:space="preserve">logic drift</w:t>
      </w:r>
      <w:r>
        <w:t xml:space="preserve">: the same rule re-implemented three different ways, each drifting further from the others with every change.</w:t>
      </w:r>
    </w:p>
    <w:p>
      <w:pPr>
        <w:spacing w:after="160"/>
      </w:pPr>
      <w:r>
        <w:t xml:space="preserve">This proposal lays out an architecture that fixes the root cause rather than the symptom. Two ideas do the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domain-centric Single Source of Truth (SSOT).</w:t>
      </w:r>
      <w:r>
        <w:t xml:space="preserve"> Every constraint, rule, and computation is defined once, in a declarative spec, under version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 explicit execution-translation pipeline.</w:t>
      </w:r>
      <w:r>
        <w:t xml:space="preserve"> A CI/CD build step compiles that one spec into whatever each runtime needs — typed code, semantic graph artifacts, or rules-engine XML — instead of forcing every runtime to speak the same language.</w:t>
      </w:r>
    </w:p>
    <w:p>
      <w:pPr>
        <w:spacing w:after="160"/>
      </w:pPr>
      <w:r>
        <w:t xml:space="preserve">The architecture is deliberately </w:t>
      </w:r>
      <w:r>
        <w:rPr>
          <w:b/>
          <w:bCs/>
        </w:rPr>
        <w:t xml:space="preserve">not</w:t>
      </w:r>
      <w:r>
        <w:t xml:space="preserve"> a call to replace legacy engines with one universal tool. It treats business logic as a governed, versioned data artifact, and lets code, rules engines, and ontologies keep doing what each does best.</w:t>
      </w:r>
    </w:p>
    <w:p>
      <w:pPr>
        <w:pStyle w:val="Heading1"/>
        <w:spacing w:after="160" w:before="400"/>
      </w:pPr>
      <w:r>
        <w:t xml:space="preserve">The Problem: Logic Has No Fixed Address</w:t>
      </w:r>
    </w:p>
    <w:p>
      <w:pPr>
        <w:spacing w:after="160"/>
      </w:pPr>
      <w:r>
        <w:t xml:space="preserve">Legacy estates accumulate three failure modes simultaneously, and they compound each other: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Duplication.</w:t>
      </w:r>
      <w:r>
        <w:t xml:space="preserve"> The same eligibility rule lives in a stored procedure, a Drools ruleset, and a service-layer if-statement — each maintained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Silent drift.</w:t>
      </w:r>
      <w:r>
        <w:t xml:space="preserve"> A rule changes in one place during an incident fix and is never propagated to the other two.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audit trail.</w:t>
      </w:r>
      <w:r>
        <w:t xml:space="preserve"> Rules engine UIs and database triggers are edited directly in production, with no PR, no review, and no version history.</w:t>
      </w:r>
    </w:p>
    <w:p>
      <w:pPr>
        <w:spacing w:after="160"/>
      </w:pPr>
      <w:r>
        <w:t xml:space="preserve">The instinctive fix — pick one tool and force everything into it — reliably fails. Procedural algorithms don't belong in a rules engine, and stateful workflows don't belong in an ontology. Section 1 gives each kind of logic its correct home before anything is centralized.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Classify Logic by Layer — the “Right Home” Principle</w:t>
      </w:r>
    </w:p>
    <w:p>
      <w:pPr>
        <w:spacing w:after="160"/>
      </w:pPr>
      <w:r>
        <w:t xml:space="preserve">Before centralizing anything, classify what kind of logic you're looking at. Mixing these categories — running procedural code inside an ontology, or building stateful algorithms inside a rules engine — is the single largest driver of legacy bloat.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Three logic categories, each routed to the tool built for its paradigm.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900"/>
        <w:gridCol w:w="236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Governing question</w:t>
            </w:r>
          </w:p>
        </w:tc>
        <w:tc>
          <w:tcPr>
            <w:tcW w:type="dxa" w:w="29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Best-fit tooling</w:t>
            </w:r>
          </w:p>
        </w:tc>
        <w:tc>
          <w:tcPr>
            <w:tcW w:type="dxa" w:w="236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(structural / semantic)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must always be true about the domain data?</w:t>
            </w:r>
          </w:p>
        </w:tc>
        <w:tc>
          <w:tcPr>
            <w:tcW w:type="dxa" w:w="29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Ontologies (OWL/RDF); schema definitions (JSON Schema, OpenAPI, Pydantic, Protobuf)</w:t>
            </w:r>
          </w:p>
        </w:tc>
        <w:tc>
          <w:tcPr>
            <w:tcW w:type="dxa" w:w="236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 Order must have at least one Line Item, and the Customer must exist.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Business Rules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(policy / decision)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actions or decisions occur based on state?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Rules engines (Drools, Camunda, DMN) or a DSL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If customer tier is Gold and order total &gt; $100, apply a 15% discount.</w:t>
            </w:r>
          </w:p>
        </w:tc>
      </w:tr>
      <w:tr>
        <w:tc>
          <w:tcPr>
            <w:tcW w:type="dxa" w:w="1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Computational Logic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(procedural / algorithmic)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is state computed or processed sequentially?</w:t>
            </w:r>
          </w:p>
        </w:tc>
        <w:tc>
          <w:tcPr>
            <w:tcW w:type="dxa" w:w="29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— microservices, DDD domain services</w:t>
            </w:r>
          </w:p>
        </w:tc>
        <w:tc>
          <w:tcPr>
            <w:tcW w:type="dxa" w:w="236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 optimization, or a multi-step ML feature pipeline.</w:t>
            </w:r>
          </w:p>
        </w:tc>
      </w:tr>
    </w:tbl>
    <w:p>
      <w:pPr>
        <w:pStyle w:val="Heading1"/>
        <w:spacing w:after="160" w:before="400"/>
      </w:pPr>
      <w:r>
        <w:t xml:space="preserve">2. Treat Logic as Code — the Governance Pipeline</w:t>
      </w:r>
    </w:p>
    <w:p>
      <w:pPr>
        <w:spacing w:after="160"/>
      </w:pPr>
      <w:r>
        <w:t xml:space="preserve">Once logic is classified, it needs a </w:t>
      </w:r>
      <w:r>
        <w:rPr>
          <w:b/>
          <w:bCs/>
        </w:rPr>
        <w:t xml:space="preserve">Single Source of Truth</w:t>
      </w:r>
      <w:r>
        <w:t xml:space="preserve">: a central repository holding logic specs in human-readable form (YAML, DMN, Turtle/OWL). The hard rule that makes this work: </w:t>
      </w:r>
      <w:r>
        <w:rPr>
          <w:b/>
          <w:bCs/>
        </w:rPr>
        <w:t xml:space="preserve">nobody edits a rule directly in a Rules Engine UI or a production database.</w:t>
      </w:r>
      <w:r>
        <w:t xml:space="preserve"> Everything is checked into source control first, and reaches production only by passing through CI.</w:t>
      </w:r>
    </w:p>
    <w:p>
      <w:pPr>
        <w:pStyle w:val="Heading2"/>
        <w:spacing w:after="120" w:before="300"/>
      </w:pPr>
      <w:r>
        <w:t xml:space="preserve">Continuous Integration for Logic</w:t>
      </w:r>
    </w:p>
    <w:p>
      <w:pPr>
        <w:spacing w:after="160"/>
      </w:pPr>
      <w:r>
        <w:t xml:space="preserve">Rule and schema changes go through the same discipline as application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Linting &amp; validation.</w:t>
      </w:r>
      <w:r>
        <w:t xml:space="preserve"> Semantic reasoners (e.g., HermiT) catch contradictory ontology axioms; static analysis catches malformed or conflicting DMN tables before merge.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Automated unit &amp; scenario testing.</w:t>
      </w:r>
      <w:r>
        <w:t xml:space="preserve"> Rule changes run against synthetic datasets pre-deployment, to catch side effects a human reviewer would miss.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Semantic versioning.</w:t>
      </w:r>
      <w:r>
        <w:t xml:space="preserve"> Rule sets and schemas are versioned explicitly. Consuming microservices declare which version of a policy or schema they depend on, so a rule change cannot silently break a downstream consumer.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The GitOps loop for logic: commit → CI validation → gated release → versioned consumption, with rejected changes routed back to the author.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3. The Modern Pattern: Declarative Spec + Generated Executables</w:t>
      </w:r>
    </w:p>
    <w:p>
      <w:pPr>
        <w:spacing w:after="160"/>
      </w:pPr>
      <w:r>
        <w:t xml:space="preserve">Rather than rewriting legacy applications to “speak the same language,” the architecture is </w:t>
      </w:r>
      <w:r>
        <w:rPr>
          <w:b/>
          <w:bCs/>
        </w:rPr>
        <w:t xml:space="preserve">declarative-first</w:t>
      </w:r>
      <w:r>
        <w:t xml:space="preserve">: logic is written once, and a build pipeline compiles it down to whatever each target runtime needs.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One declarative spec, three generated runtime artifacts, one CI/CD compiler in between.</w:t>
      </w:r>
    </w:p>
    <w:p>
      <w:pPr>
        <w:pStyle w:val="Heading2"/>
        <w:spacing w:after="120" w:before="300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Write once, declaratively.</w:t>
      </w:r>
      <w:r>
        <w:t xml:space="preserve"> Schema constraints, taxonomy, and core decisions are defined in standardized formats — OpenAPI/JSON Schema for constraints, DMN for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Compile for runtimes.</w:t>
      </w:r>
      <w:r>
        <w:t xml:space="preserve"> Code generators in CI/CD produce the target artifacts on every merge: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TypeScript/Python interfaces for microservices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SHACL/OWL files for the semantic graph store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DMN/Drools XML for the rules-engine runtime</w:t>
      </w:r>
    </w:p>
    <w:p>
      <w:pPr>
        <w:spacing w:after="160"/>
      </w:pPr>
      <w:r>
        <w:t xml:space="preserve">Because all three artifacts regenerate from the same versioned spec on every build, they cannot drift out of sync with each other — drift becomes a build failure, not a production incident.</w:t>
      </w:r>
    </w:p>
    <w:p>
      <w:pPr>
        <w:pStyle w:val="Heading2"/>
        <w:spacing w:after="120" w:before="300"/>
      </w:pPr>
      <w:r>
        <w:t xml:space="preserve">Runtime View: The Decision API</w:t>
      </w:r>
    </w:p>
    <w:p>
      <w:pPr>
        <w:spacing w:after="160"/>
      </w:pPr>
      <w:r>
        <w:t xml:space="preserve">At request time, callers don't talk to the rules engine, the ontology store, or a legacy stored procedure directly. They talk to a </w:t>
      </w:r>
      <w:r>
        <w:rPr>
          <w:b/>
          <w:bCs/>
        </w:rPr>
        <w:t xml:space="preserve">standardized Decision API</w:t>
      </w:r>
      <w:r>
        <w:t xml:space="preserve"> that resolves the caller's declared policy version, validates the request against the current schema, and routes to whichever backend currently owns that decision — including a wrapped legacy engine that hasn't been migrated yet.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A client microservice never calls the rules engine, ontology store, or legacy procedure directly — it calls the Decision API, which is free to route to legacy or modern backends without the client knowing which.</w:t>
      </w:r>
    </w:p>
    <w:p>
      <w:pPr>
        <w:spacing w:after="160"/>
      </w:pPr>
      <w:r>
        <w:t xml:space="preserve">This indirection is what makes the migration in Section 4 possible: the facade lets legacy and modernized decision logic sit behind one interface, so callers never need to change when the backend behind that interface changes.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4. Practical Migration Blueprint for Legacy Systems</w:t>
      </w:r>
    </w:p>
    <w:p>
      <w:pPr>
        <w:spacing w:after="160"/>
      </w:pPr>
      <w:r>
        <w:t xml:space="preserve">For logic trapped in stored procedures, hardcoded Java/COBOL, and legacy rules engines, migrate in three phases rather than attempting a rewrite:</w:t>
      </w:r>
    </w:p>
    <w:p>
      <w:pPr>
        <w:pStyle w:val="Heading2"/>
        <w:spacing w:after="120" w:before="300"/>
      </w:pPr>
      <w:r>
        <w:t xml:space="preserve">Phase 1 — Logic Discovery &amp;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Inventory &amp; audit.</w:t>
      </w:r>
      <w:r>
        <w:t xml:space="preserve"> Map existing logic with tracing tools and static analysis. Log every point where a business decision is made.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Classify.</w:t>
      </w:r>
      <w:r>
        <w:t xml:space="preserve"> Sort each finding into Constraint, Rule, or Computation using the framework in Section 1.</w:t>
      </w:r>
    </w:p>
    <w:p>
      <w:pPr>
        <w:pStyle w:val="Heading2"/>
        <w:spacing w:after="120" w:before="300"/>
      </w:pPr>
      <w:r>
        <w:t xml:space="preserve">Phase 2 — Decouple via API Boundaries (Strangler 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Wrap, don't rewrite.</w:t>
      </w:r>
      <w:r>
        <w:t xml:space="preserve"> Put legacy rules engines and stored procedures behind the standardized Decision API from Section 3 before touching their internals.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Extract incrementally.</w:t>
      </w:r>
      <w:r>
        <w:t xml:space="preserve"> Pull hardcoded logic out of application code into externalized configuration or DMN files piece by piece, re-pointing the facade as each piece lands.</w:t>
      </w:r>
    </w:p>
    <w:p>
      <w:pPr>
        <w:pStyle w:val="Heading2"/>
        <w:spacing w:after="120" w:before="300"/>
      </w:pPr>
      <w:r>
        <w:t xml:space="preserve">Phase 3 — Centralize Schemas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Standardize data shapes.</w:t>
      </w:r>
      <w:r>
        <w:t xml:space="preserve"> Unify data definitions across teams via a common ontology or schema registry before consolidating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Consolidate rules second.</w:t>
      </w:r>
      <w:r>
        <w:t xml:space="preserve"> Once the underlying data definitions (constraints) are unified, reconciling the business rules that operate on that data becomes dramatically simpler — most apparent rule conflicts turn out to be data-shape conflicts in disguise.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 Three-phase strangler-fig migration: discover and classify, decouple behind a Decision API, then centralize schemas before consolidating rules.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5. Extending the Architecture: SME Ownership, Interfaces &amp; Storage</w:t>
      </w:r>
    </w:p>
    <w:p>
      <w:pPr>
        <w:spacing w:after="160"/>
      </w:pPr>
      <w:r>
        <w:t xml:space="preserve">Centralizing logic only works if the people who actually know the rules — domain SMEs — can maintain their slice without waiting on a platform team, and without being able to silently break someone else's. That requires three things: a namespace model that separates enterprise-wide logic from domain-specific logic, an interface that mirrors the classification from Section 1 instead of exposing raw spec syntax, and a storage choice that doesn't force unnecessary complexity onto teams that don't need it.</w:t>
      </w:r>
    </w:p>
    <w:p>
      <w:pPr>
        <w:pStyle w:val="Heading2"/>
        <w:spacing w:after="120" w:before="300"/>
      </w:pPr>
      <w:r>
        <w:t xml:space="preserve">5.1  Core vs. Domain Ownership</w:t>
      </w:r>
    </w:p>
    <w:p>
      <w:pPr>
        <w:spacing w:after="160"/>
      </w:pPr>
      <w:r>
        <w:t xml:space="preserve">Split the SSOT repository into a </w:t>
      </w:r>
      <w:r>
        <w:rPr>
          <w:b/>
          <w:bCs/>
        </w:rPr>
        <w:t xml:space="preserve">/core</w:t>
      </w:r>
      <w:r>
        <w:t xml:space="preserve"> namespace and one </w:t>
      </w:r>
      <w:r>
        <w:rPr>
          <w:b/>
          <w:bCs/>
        </w:rPr>
        <w:t xml:space="preserve">/domains/&lt;name&gt;</w:t>
      </w:r>
      <w:r>
        <w:t xml:space="preserve"> namespace per business domain. Domain schemas and rules </w:t>
      </w:r>
      <w:r>
        <w:rPr>
          <w:b/>
          <w:bCs/>
        </w:rPr>
        <w:t xml:space="preserve">extend</w:t>
      </w:r>
      <w:r>
        <w:t xml:space="preserve"> core definitions through composition — </w:t>
      </w:r>
      <w:r>
        <w:t xml:space="preserve">allOf</w:t>
      </w:r>
      <w:r>
        <w:t xml:space="preserve">/</w:t>
      </w:r>
      <w:r>
        <w:t xml:space="preserve">$ref</w:t>
      </w:r>
      <w:r>
        <w:t xml:space="preserve"> for JSON Schema, import statements for DMN and OWL — rather than copying core fields. A claims domain schema imports the core </w:t>
      </w:r>
      <w:r>
        <w:t xml:space="preserve">Customer</w:t>
      </w:r>
      <w:r>
        <w:t xml:space="preserve"> definition and only adds claims-specific fields; it cannot redefine what a </w:t>
      </w:r>
      <w:r>
        <w:t xml:space="preserve">Customer</w:t>
      </w:r>
      <w:r>
        <w:t xml:space="preserve"> is.</w:t>
      </w:r>
    </w:p>
    <w:p>
      <w:pPr>
        <w:spacing w:after="160"/>
      </w:pPr>
      <w:r>
        <w:t xml:space="preserve">Ownership is enforced structurally rather than by convention, using a </w:t>
      </w:r>
      <w:r>
        <w:rPr>
          <w:b/>
          <w:bCs/>
        </w:rPr>
        <w:t xml:space="preserve">CODEOWNERS</w:t>
      </w:r>
      <w:r>
        <w:t xml:space="preserve"> file that maps directories to teams: </w:t>
      </w:r>
      <w:r>
        <w:t xml:space="preserve">/core/**</w:t>
      </w:r>
      <w:r>
        <w:t xml:space="preserve"> routes to the architecture/governance team, </w:t>
      </w:r>
      <w:r>
        <w:t xml:space="preserve">/domains/claims/**</w:t>
      </w:r>
      <w:r>
        <w:t xml:space="preserve"> routes to the claims SME team, and so on. A PR touching only a domain directory needs domain-SME approval plus the automated CI checks from Section 2; a PR touching </w:t>
      </w:r>
      <w:r>
        <w:t xml:space="preserve">/core</w:t>
      </w:r>
      <w:r>
        <w:t xml:space="preserve"> additionally requires architecture sign-off, because a core change can ripple into every domain that extends it.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6. Core and domain specs share one SSOT repository; CODEOWNERS routes each PR to the right reviewer before it reaches the same CI pipeline from Figure 2.</w:t>
      </w:r>
    </w:p>
    <w:p>
      <w:pPr>
        <w:pStyle w:val="Heading2"/>
        <w:spacing w:after="120" w:before="300"/>
      </w:pPr>
      <w:r>
        <w:t xml:space="preserve">5.2  SME Interface: One Surface per Logic Type</w:t>
      </w:r>
    </w:p>
    <w:p>
      <w:pPr>
        <w:spacing w:after="160"/>
      </w:pPr>
      <w:r>
        <w:t xml:space="preserve">The common mistake is a single generic “rule editor” that mixes schema fields and decision logic in one screen. Instead, give SMEs a distinct surface for each category from Section 1 — and deliberately withhold the third: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schema/constraint surface.</w:t>
      </w:r>
      <w:r>
        <w:t xml:space="preserve"> A data-dictionary-style form — field name, type, required, allowed values, cardinality — never raw JSON Schema, Turtle, or SHACL syntax. SMEs think in terms of which fields exist and what's valid, not RDF serialization.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rules surface.</w:t>
      </w:r>
      <w:r>
        <w:t xml:space="preserve"> DMN decision tables, presented as the grid they already are — conditions as columns, outcomes as rows — editable directly by a business user through a tool like Camunda Modeler or an embedded decision-table widget.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logic surface.</w:t>
      </w:r>
      <w:r>
        <w:t xml:space="preserve"> Computational/procedural logic stays in code, owned by engineers, and is not exposed for SME editing at all — this is the “right home” principle applied to the interface, not just to storage. SMEs can see a read-only trace of which services consume a given rule or constraint, but they don't touch the computation itself.</w:t>
      </w:r>
    </w:p>
    <w:p>
      <w:pPr>
        <w:spacing w:after="160"/>
      </w:pPr>
      <w:r>
        <w:t xml:space="preserve">Both editable surfaces write back through the same Git-plus-CI pipeline from Section 2, so “easy to review” and “governed” are the same workflow rather than two competing ones.</w:t>
      </w:r>
    </w:p>
    <w:p>
      <w:pPr>
        <w:pStyle w:val="Heading2"/>
        <w:spacing w:after="120" w:before="300"/>
      </w:pPr>
      <w:r>
        <w:t xml:space="preserve">5.3  Storage: When (Not) to Reach for Triples or a Graph Database</w:t>
      </w:r>
    </w:p>
    <w:p>
      <w:pPr>
        <w:spacing w:after="160"/>
      </w:pPr>
      <w:r>
        <w:t xml:space="preserve">The instinct that SHACL and SWRL are painful to maintain at scale is correct, but the two are not equally at fault. SHACL is a </w:t>
      </w:r>
      <w:r>
        <w:rPr>
          <w:b/>
          <w:bCs/>
        </w:rPr>
        <w:t xml:space="preserve">validation</w:t>
      </w:r>
      <w:r>
        <w:t xml:space="preserve"> language — closed-world, non-inferential — tedious to hand-author but not inherently hard to scale. SWRL is the real problem: combined with OWL it pushes reasoning into undecidable territory, tooling outside Protégé/HermiT is thin, and very few organizations run it successfully in production. If a rule needs SWRL-style inference, it's almost always a </w:t>
      </w:r>
      <w:r>
        <w:rPr>
          <w:b/>
          <w:bCs/>
        </w:rPr>
        <w:t xml:space="preserve">Business Rule</w:t>
      </w:r>
      <w:r>
        <w:t xml:space="preserve">, not a Constraint — it belongs in the DMN layer from Section 1, not in the ontology.</w:t>
      </w:r>
    </w:p>
    <w:p>
      <w:pPr>
        <w:spacing w:after="160"/>
      </w:pPr>
      <w:r>
        <w:t xml:space="preserve">That reframes the original question. Storing raw triples in Postgres without a reasoner sitting on top is usually the worst of both options: it inherits RDF's schema-loose, hard-to-query shape without gaining OWL's inference power, so any “semantic” logic ends up hand-rolled in application code anyway — exactly the work a graph engine exists to avoid. The better move is to route each need to the simplest tool that actually satisfies it: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7. Most constraint and taxonomy needs are satisfied inside Postgres; a real triple store is reserved for the narrow case of genuine cross-domain semantic reasoning.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Structural validation (the bulk of SME-maintained constraints).</w:t>
      </w:r>
      <w:r>
        <w:t xml:space="preserve"> Model as JSON Schema, stored as versioned rows in a Postgres schema-registry table. This also removes a translation step from the pipeline in Section 3, since JSON Schema compiles directly to the Pydantic/TypeScript types microservices consume.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Hierarchies and taxonomies (is-a trees, category mappings).</w:t>
      </w:r>
      <w:r>
        <w:t xml:space="preserve"> These are genuinely graph-shaped, but Postgres handles trees and DAGs well via the </w:t>
      </w:r>
      <w:r>
        <w:t xml:space="preserve">ltree</w:t>
      </w:r>
      <w:r>
        <w:t xml:space="preserve"> extension or a closure table — or Apache AGE if you want Cypher-style traversal — without standing up a second database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Genuine cross-domain semantic reasoning.</w:t>
      </w:r>
      <w:r>
        <w:t xml:space="preserve"> Reserve a real triple store or graph database (GraphDB, Stardog, Jena+Fuseki) for the narrow case where you actually need subsumption or cross-domain inference — not by default, only when a concrete reasoning requirement exists.</w:t>
      </w:r>
    </w:p>
    <w:p>
      <w:pPr>
        <w:pStyle w:val="Heading1"/>
        <w:spacing w:after="160" w:before="400"/>
      </w:pPr>
      <w:r>
        <w:t xml:space="preserve">Key Pitfalls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676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 / what to do instead</w:t>
            </w:r>
          </w:p>
        </w:tc>
      </w:tr>
      <w:tr>
        <w:tc>
          <w:tcPr>
            <w:tcW w:type="dxa" w:w="26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The “Universal Engine” Trap</w:t>
            </w:r>
          </w:p>
        </w:tc>
        <w:tc>
          <w:tcPr>
            <w:tcW w:type="dxa" w:w="676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Don't run procedural code inside an ontology, or build complex stateful algorithms inside a rules engine. Use each tool for the paradigm it was built for — see Section 1.</w:t>
            </w:r>
          </w:p>
        </w:tc>
      </w:tr>
      <w:tr>
        <w:tc>
          <w:tcPr>
            <w:tcW w:type="dxa" w:w="2600"/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Unversioned Database Triggers</w:t>
            </w:r>
          </w:p>
        </w:tc>
        <w:tc>
          <w:tcPr>
            <w:tcW w:type="dxa" w:w="6760"/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Move validation logic out of SQL triggers and into upstream microservices or declarative schema checks, where it can be versioned, tested, and reviewed.</w:t>
            </w:r>
          </w:p>
        </w:tc>
      </w:tr>
      <w:tr>
        <w:tc>
          <w:tcPr>
            <w:tcW w:type="dxa" w:w="26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Orphaned Rule Authoring</w:t>
            </w:r>
          </w:p>
        </w:tc>
        <w:tc>
          <w:tcPr>
            <w:tcW w:type="dxa" w:w="676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Avoid business-user UIs that save directly to production databases without passing through Git and CI testing first — this is the single fastest way to reintroduce logic drift.</w:t>
            </w:r>
          </w:p>
        </w:tc>
      </w:tr>
      <w:tr>
        <w:tc>
          <w:tcPr>
            <w:tcW w:type="dxa" w:w="2600"/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Triples Without a Reasoner</w:t>
            </w:r>
          </w:p>
        </w:tc>
        <w:tc>
          <w:tcPr>
            <w:tcW w:type="dxa" w:w="6760"/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Don't store raw RDF triples in Postgres as a default choice — without a reasoner on top it loses OWL's inference benefit while keeping RDF's query complexity. Use JSON Schema or a tree structure instead unless genuine reasoning is required.</w:t>
            </w:r>
          </w:p>
        </w:tc>
      </w:tr>
    </w:tbl>
    <w:p>
      <w:pPr>
        <w:pStyle w:val="Heading1"/>
        <w:spacing w:after="160" w:before="400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Stand up the SSOT repository and CI pipeline first</w:t>
      </w:r>
      <w:r>
        <w:t xml:space="preserve"> — before extracting a single rule. Governance has to exist before there's anything worth governing.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Pilot on one bounded decision</w:t>
      </w:r>
      <w:r>
        <w:t xml:space="preserve"> (e.g., discount eligibility) to prove the classify → spec → compile → deploy loop end-to-end, including the Decision API facade.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Inventory before you migrate.</w:t>
      </w:r>
      <w:r>
        <w:t xml:space="preserve"> Run Phase 1 across the legacy estate broadly before committing engineering time to Phase 2 extraction — classification changes the shape of the migration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Make version declaration mandatory</w:t>
      </w:r>
      <w:r>
        <w:t xml:space="preserve"> for any service consuming a policy or schema from day one, so the versioning discipline never has retrofitting debt.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Define /core vs. /domains boundaries before onboarding SMEs.</w:t>
      </w:r>
      <w:r>
        <w:t xml:space="preserve"> Agree the CODEOWNERS map and composition rules up front — retrofitting ownership boundaries onto an already-shared namespace is far more disruptive than setting them at the start.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Untangling Legacy Logic: an SSOT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60" w:before="40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b3430f04e6bfbb3a7616c7faa64c76726a89f0.png"/><Relationship Id="rId10" Type="http://schemas.openxmlformats.org/officeDocument/2006/relationships/image" Target="media/dac911c459e399957d39bfca056d0f132206128b.png"/><Relationship Id="rId11" Type="http://schemas.openxmlformats.org/officeDocument/2006/relationships/image" Target="media/72a78a806329f841d4ebf724c4bc977165b6e524.png"/><Relationship Id="rId12" Type="http://schemas.openxmlformats.org/officeDocument/2006/relationships/image" Target="media/67468205d289e7721df73eb5683915b4c72f8e6d.png"/><Relationship Id="rId13" Type="http://schemas.openxmlformats.org/officeDocument/2006/relationships/image" Target="media/fd242fa4465d2eaadb3770496db1a285678909f7.png"/><Relationship Id="rId14" Type="http://schemas.openxmlformats.org/officeDocument/2006/relationships/image" Target="media/ece46c5cc6d284f30c53938136b0d8e7139564c0.png"/><Relationship Id="rId15" Type="http://schemas.openxmlformats.org/officeDocument/2006/relationships/image" Target="media/9fe9dd057a5bff8b0e5af02839c49eadc939eae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2026-07-28T05:15:44.973Z</dcterms:created>
  <dcterms:modified xsi:type="dcterms:W3CDTF">2026-07-28T05:15:44.974Z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