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o12="http://schemas.microsoft.com/office/2004/7/core" xmlns:r="http://schemas.openxmlformats.org/officeDocument/2006/relationships" xmlns:m="http://schemas.microsoft.com/office/omml/2004/12/core" xmlns:v="urn:schemas-microsoft-com:vml" xmlns:wp="http://schemas.openxmlformats.org/drawingml/2006/3/wordprocessingDrawing" xmlns:w10="urn:schemas-microsoft-com:office:word" xmlns:w="http://schemas.openxmlformats.org/wordprocessingml/2006/3/main">
  <w:body>
    <w:p>
      <w:pPr>
        <w:shd w:val="clear" w:color="auto" w:fill="FFFFFF"/>
        <w:spacing w:before="45" w:after="45" w:line="288" w:lineRule="atLeast"/>
        <w:ind w:right="270"/>
        <w:outlineLvl w:val="2"/>
        <w:rPr>
          <w:rFonts w:ascii="Arial" w:eastAsia="Times New Roman" w:hAnsi="Arial" w:cs="Arial"/>
          <w:b/>
          <w:bCs/>
          <w:color w:val="5C4E3D"/>
          <w:sz w:val="31"/>
          <w:szCs w:val="31"/>
        </w:rPr>
      </w:pPr>
      <w:r w:rsidR="00E1735C" w:rsidRPr="00E1735C">
        <w:rPr>
          <w:rFonts w:ascii="Arial" w:eastAsia="Times New Roman" w:hAnsi="Arial" w:cs="Arial"/>
          <w:b/>
          <w:bCs/>
          <w:color w:val="5C4E3D"/>
          <w:sz w:val="31"/>
          <w:szCs w:val="31"/>
        </w:rPr>
        <w:t>Best Practices Awards</w:t>
      </w:r>
    </w:p>
    <w:p>
      <w:pPr>
        <w:pBdr>
          <w:bottom w:val="dotted" w:sz="6" w:space="0" w:color="D8D8D8"/>
        </w:pBdr>
        <w:shd w:val="clear" w:color="auto" w:fill="FFFFFF"/>
        <w:spacing w:before="120" w:after="120" w:line="288" w:lineRule="atLeast"/>
        <w:ind w:right="270"/>
        <w:outlineLvl w:val="3"/>
        <w:rPr>
          <w:rFonts w:ascii="Arial" w:eastAsia="Times New Roman" w:hAnsi="Arial" w:cs="Arial"/>
          <w:b/>
          <w:bCs/>
          <w:color w:val="2C4373"/>
          <w:sz w:val="25"/>
          <w:szCs w:val="25"/>
        </w:rPr>
      </w:pPr>
      <w:r w:rsidR="00E1735C" w:rsidRPr="00E1735C">
        <w:rPr>
          <w:rFonts w:ascii="Arial" w:eastAsia="Times New Roman" w:hAnsi="Arial" w:cs="Arial"/>
          <w:b/>
          <w:bCs/>
          <w:color w:val="2C4373"/>
          <w:sz w:val="25"/>
          <w:szCs w:val="25"/>
        </w:rPr>
        <w:t>IBM</w:t>
      </w:r>
    </w:p>
    <w:p>
      <w:pPr>
        <w:shd w:val="clear" w:color="auto" w:fill="FFFFFF"/>
        <w:spacing w:before="120" w:after="120" w:line="288" w:lineRule="atLeast"/>
        <w:ind w:right="270"/>
        <w:outlineLvl w:val="4"/>
        <w:rPr>
          <w:rFonts w:ascii="Arial" w:eastAsia="Times New Roman" w:hAnsi="Arial" w:cs="Arial"/>
          <w:b/>
          <w:bCs/>
          <w:color w:val="463B2E"/>
        </w:rPr>
      </w:pPr>
      <w:r w:rsidR="00E1735C" w:rsidRPr="00E1735C">
        <w:rPr>
          <w:rFonts w:ascii="Arial" w:eastAsia="Times New Roman" w:hAnsi="Arial" w:cs="Arial"/>
          <w:b/>
          <w:bCs/>
          <w:color w:val="463B2E"/>
        </w:rPr>
        <w:t>Category: Data Governance</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b/>
          <w:bCs/>
          <w:color w:val="313131"/>
          <w:sz w:val="18"/>
        </w:rPr>
        <w:t>Lead Business Sponsor or Driver</w:t>
      </w:r>
      <w:r w:rsidR="00E1735C" w:rsidRPr="00E1735C">
        <w:rPr>
          <w:rFonts w:ascii="Times New Roman" w:eastAsia="Times New Roman" w:hAnsi="Times New Roman" w:cs="Times New Roman"/>
          <w:color w:val="313131"/>
          <w:sz w:val="18"/>
          <w:szCs w:val="18"/>
        </w:rPr>
        <w:br/>
        <w:t xml:space="preserve">Maria </w:t>
      </w:r>
      <w:proofErr w:type="spellStart"/>
      <w:r w:rsidR="00E1735C" w:rsidRPr="00E1735C">
        <w:rPr>
          <w:rFonts w:ascii="Times New Roman" w:eastAsia="Times New Roman" w:hAnsi="Times New Roman" w:cs="Times New Roman"/>
          <w:color w:val="313131"/>
          <w:sz w:val="18"/>
          <w:szCs w:val="18"/>
        </w:rPr>
        <w:t>Villar</w:t>
      </w:r>
      <w:proofErr w:type="spellEnd"/>
      <w:r w:rsidR="00E1735C" w:rsidRPr="00E1735C">
        <w:rPr>
          <w:rFonts w:ascii="Times New Roman" w:eastAsia="Times New Roman" w:hAnsi="Times New Roman" w:cs="Times New Roman"/>
          <w:color w:val="313131"/>
          <w:sz w:val="18"/>
          <w:szCs w:val="18"/>
        </w:rPr>
        <w:t>, VP, Enterprise Business Information</w:t>
      </w:r>
      <w:r w:rsidR="00E1735C" w:rsidRPr="00E1735C">
        <w:rPr>
          <w:rFonts w:ascii="Times New Roman" w:eastAsia="Times New Roman" w:hAnsi="Times New Roman" w:cs="Times New Roman"/>
          <w:color w:val="313131"/>
          <w:sz w:val="18"/>
          <w:szCs w:val="18"/>
        </w:rPr>
        <w:br/>
        <w:t xml:space="preserve">561.862.2614, </w:t>
      </w:r>
      <w:hyperlink r:id="rId5" w:history="1">
        <w:r w:rsidR="00E1735C" w:rsidRPr="00E1735C">
          <w:rPr>
            <w:rFonts w:ascii="Times New Roman" w:eastAsia="Times New Roman" w:hAnsi="Times New Roman" w:cs="Times New Roman"/>
            <w:color w:val="820A0F"/>
            <w:sz w:val="18"/>
            <w:u w:val="single"/>
          </w:rPr>
          <w:t>mvillar@us.ibm.com</w:t>
        </w:r>
      </w:hyperlink>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b/>
          <w:bCs/>
          <w:color w:val="313131"/>
          <w:sz w:val="18"/>
        </w:rPr>
        <w:t>Lead I.T. Contact</w:t>
      </w:r>
      <w:r w:rsidR="00E1735C" w:rsidRPr="00E1735C">
        <w:rPr>
          <w:rFonts w:ascii="Times New Roman" w:eastAsia="Times New Roman" w:hAnsi="Times New Roman" w:cs="Times New Roman"/>
          <w:color w:val="313131"/>
          <w:sz w:val="18"/>
          <w:szCs w:val="18"/>
        </w:rPr>
        <w:br/>
        <w:t>Barbara Shelby, Managing Consultant, IBM CHQ Enterprise Information Management</w:t>
      </w:r>
      <w:r w:rsidR="00E1735C" w:rsidRPr="00E1735C">
        <w:rPr>
          <w:rFonts w:ascii="Times New Roman" w:eastAsia="Times New Roman" w:hAnsi="Times New Roman" w:cs="Times New Roman"/>
          <w:color w:val="313131"/>
          <w:sz w:val="18"/>
          <w:szCs w:val="18"/>
        </w:rPr>
        <w:br/>
        <w:t xml:space="preserve">813.356.5067, </w:t>
      </w:r>
      <w:hyperlink r:id="rId6" w:history="1">
        <w:r w:rsidR="00E1735C" w:rsidRPr="00E1735C">
          <w:rPr>
            <w:rFonts w:ascii="Times New Roman" w:eastAsia="Times New Roman" w:hAnsi="Times New Roman" w:cs="Times New Roman"/>
            <w:color w:val="820A0F"/>
            <w:sz w:val="18"/>
            <w:u w:val="single"/>
          </w:rPr>
          <w:t>shelby@us.ibm.com</w:t>
        </w:r>
      </w:hyperlink>
    </w:p>
    <w:p>
      <w:pPr>
        <w:shd w:val="clear" w:color="auto" w:fill="FFFFFF"/>
        <w:spacing w:before="120" w:after="120" w:line="288" w:lineRule="atLeast"/>
        <w:ind w:right="270"/>
        <w:outlineLvl w:val="4"/>
        <w:rPr>
          <w:rFonts w:ascii="Arial" w:eastAsia="Times New Roman" w:hAnsi="Arial" w:cs="Arial"/>
          <w:b/>
          <w:bCs/>
          <w:color w:val="463B2E"/>
        </w:rPr>
      </w:pPr>
      <w:r w:rsidR="00E1735C" w:rsidRPr="00E1735C">
        <w:rPr>
          <w:rFonts w:ascii="Arial" w:eastAsia="Times New Roman" w:hAnsi="Arial" w:cs="Arial"/>
          <w:b/>
          <w:bCs/>
          <w:color w:val="463B2E"/>
        </w:rPr>
        <w:t>Company Description</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In 2005, International Business Machines Corporation (IBM) had more than 329,000 employees worldwide and revenues of $91.1 billion. While IBM produces and delivers computer hardware and software services, IBM is also an innovation company.</w:t>
      </w:r>
    </w:p>
    <w:p>
      <w:pPr>
        <w:shd w:val="clear" w:color="auto" w:fill="FFFFFF"/>
        <w:spacing w:before="240" w:after="240" w:line="288" w:lineRule="atLeast"/>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pict>
          <v:rect id="_x0000_i1025" style="width:468pt;height:.75pt" o:hralign="center" o:hrstd="t" o:hrnoshade="t" o:hr="t" fillcolor="#820a0f" stroked="f"/>
        </w:pic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IBM's Enterprise Business Information (EBI) initiative began in 2002 with a focus on customer information, sales reporting, and governance responsibilities for customer data. Over the course of the next four years, the organization gained data responsibilities in many data areas (ordering, offerings, sales knowledge, business partners, software products, analytics, and enterprise data warehouses) while expanding data governance, first for IBM’s supply chain organization and then for the complete enterprise. The EBI organization is in a unique position of fulfilling the responsibilities of two major roles within IBM: </w:t>
      </w:r>
    </w:p>
    <w:p>
      <w:pPr>
        <w:numPr>
          <w:ilvl w:val="0"/>
          <w:numId w:val="1"/>
        </w:numPr>
        <w:shd w:val="clear" w:color="auto" w:fill="FFFFFF"/>
        <w:spacing w:after="75" w:line="288" w:lineRule="atLeast"/>
        <w:ind w:left="358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An enterprise role of setting information management policy and direction, including programs for data governance along with providing services for acceleration of IM best practices and policy adoption. </w:t>
      </w:r>
    </w:p>
    <w:p>
      <w:pPr>
        <w:numPr>
          <w:ilvl w:val="0"/>
          <w:numId w:val="1"/>
        </w:numPr>
        <w:shd w:val="clear" w:color="auto" w:fill="FFFFFF"/>
        <w:spacing w:after="75" w:line="288" w:lineRule="atLeast"/>
        <w:ind w:left="358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Direct management of over 35 percent of IBM’s master data and data warehouses implementing these IM best practices across IBM’s key data areas.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With these information management responsibilities in a company as large and complex as IBM came the need for more encompassing data governance and stewardship leadership. IBM's solution was an enterprise business information (EBI) center of excellence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The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provides the foundation for the CIO’s strategic imperatives by recognizing information as an asset and enabling internal transformation through processes, methods, roles, and services, thus building an integrated business information environment. The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components are intentionally aligned with the senior executive processes and management teams controlling the direction of all enterprise initiatives and projects. This has elevated the “information health” of enterprise initiatives and projects, ensuring the quality of IBM’s enterprise data. The company's ability to integrate data into information and knowledge for business use bears directly into the funding decisions as IBM’s transformation activities advance. The key components of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enterprise governance system are:</w:t>
      </w:r>
    </w:p>
    <w:p>
      <w:pPr>
        <w:numPr>
          <w:ilvl w:val="0"/>
          <w:numId w:val="2"/>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EBI </w:t>
      </w:r>
      <w:proofErr w:type="spellStart"/>
      <w:r w:rsidR="00E1735C" w:rsidRPr="00E1735C">
        <w:rPr>
          <w:rFonts w:ascii="Times New Roman" w:eastAsia="Times New Roman" w:hAnsi="Times New Roman" w:cs="Times New Roman"/>
          <w:color w:val="333333"/>
          <w:sz w:val="18"/>
          <w:szCs w:val="18"/>
        </w:rPr>
        <w:t>CoE</w:t>
      </w:r>
      <w:proofErr w:type="spellEnd"/>
      <w:r w:rsidR="00E1735C" w:rsidRPr="00E1735C">
        <w:rPr>
          <w:rFonts w:ascii="Times New Roman" w:eastAsia="Times New Roman" w:hAnsi="Times New Roman" w:cs="Times New Roman"/>
          <w:color w:val="333333"/>
          <w:sz w:val="18"/>
          <w:szCs w:val="18"/>
        </w:rPr>
        <w:t xml:space="preserve"> Information Management Framework </w:t>
      </w:r>
    </w:p>
    <w:p>
      <w:pPr>
        <w:numPr>
          <w:ilvl w:val="0"/>
          <w:numId w:val="2"/>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EBI </w:t>
      </w:r>
      <w:proofErr w:type="spellStart"/>
      <w:r w:rsidR="00E1735C" w:rsidRPr="00E1735C">
        <w:rPr>
          <w:rFonts w:ascii="Times New Roman" w:eastAsia="Times New Roman" w:hAnsi="Times New Roman" w:cs="Times New Roman"/>
          <w:color w:val="333333"/>
          <w:sz w:val="18"/>
          <w:szCs w:val="18"/>
        </w:rPr>
        <w:t>CoE</w:t>
      </w:r>
      <w:proofErr w:type="spellEnd"/>
      <w:r w:rsidR="00E1735C" w:rsidRPr="00E1735C">
        <w:rPr>
          <w:rFonts w:ascii="Times New Roman" w:eastAsia="Times New Roman" w:hAnsi="Times New Roman" w:cs="Times New Roman"/>
          <w:color w:val="333333"/>
          <w:sz w:val="18"/>
          <w:szCs w:val="18"/>
        </w:rPr>
        <w:t xml:space="preserve"> Information Management System </w:t>
      </w:r>
    </w:p>
    <w:p>
      <w:pPr>
        <w:numPr>
          <w:ilvl w:val="0"/>
          <w:numId w:val="2"/>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EBI </w:t>
      </w:r>
      <w:proofErr w:type="spellStart"/>
      <w:r w:rsidR="00E1735C" w:rsidRPr="00E1735C">
        <w:rPr>
          <w:rFonts w:ascii="Times New Roman" w:eastAsia="Times New Roman" w:hAnsi="Times New Roman" w:cs="Times New Roman"/>
          <w:color w:val="333333"/>
          <w:sz w:val="18"/>
          <w:szCs w:val="18"/>
        </w:rPr>
        <w:t>CoE</w:t>
      </w:r>
      <w:proofErr w:type="spellEnd"/>
      <w:r w:rsidR="00E1735C" w:rsidRPr="00E1735C">
        <w:rPr>
          <w:rFonts w:ascii="Times New Roman" w:eastAsia="Times New Roman" w:hAnsi="Times New Roman" w:cs="Times New Roman"/>
          <w:color w:val="333333"/>
          <w:sz w:val="18"/>
          <w:szCs w:val="18"/>
        </w:rPr>
        <w:t xml:space="preserve"> Stewardship </w:t>
      </w:r>
    </w:p>
    <w:p>
      <w:pPr>
        <w:numPr>
          <w:ilvl w:val="0"/>
          <w:numId w:val="2"/>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EBI </w:t>
      </w:r>
      <w:proofErr w:type="spellStart"/>
      <w:r w:rsidR="00E1735C" w:rsidRPr="00E1735C">
        <w:rPr>
          <w:rFonts w:ascii="Times New Roman" w:eastAsia="Times New Roman" w:hAnsi="Times New Roman" w:cs="Times New Roman"/>
          <w:color w:val="333333"/>
          <w:sz w:val="18"/>
          <w:szCs w:val="18"/>
        </w:rPr>
        <w:t>CoE</w:t>
      </w:r>
      <w:proofErr w:type="spellEnd"/>
      <w:r w:rsidR="00E1735C" w:rsidRPr="00E1735C">
        <w:rPr>
          <w:rFonts w:ascii="Times New Roman" w:eastAsia="Times New Roman" w:hAnsi="Times New Roman" w:cs="Times New Roman"/>
          <w:color w:val="333333"/>
          <w:sz w:val="18"/>
          <w:szCs w:val="18"/>
        </w:rPr>
        <w:t xml:space="preserve"> Services </w:t>
      </w:r>
    </w:p>
    <w:p>
      <w:pPr>
        <w:numPr>
          <w:ilvl w:val="0"/>
          <w:numId w:val="2"/>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EBI </w:t>
      </w:r>
      <w:proofErr w:type="spellStart"/>
      <w:r w:rsidR="00E1735C" w:rsidRPr="00E1735C">
        <w:rPr>
          <w:rFonts w:ascii="Times New Roman" w:eastAsia="Times New Roman" w:hAnsi="Times New Roman" w:cs="Times New Roman"/>
          <w:color w:val="333333"/>
          <w:sz w:val="18"/>
          <w:szCs w:val="18"/>
        </w:rPr>
        <w:t>CoE</w:t>
      </w:r>
      <w:proofErr w:type="spellEnd"/>
      <w:r w:rsidR="00E1735C" w:rsidRPr="00E1735C">
        <w:rPr>
          <w:rFonts w:ascii="Times New Roman" w:eastAsia="Times New Roman" w:hAnsi="Times New Roman" w:cs="Times New Roman"/>
          <w:color w:val="333333"/>
          <w:sz w:val="18"/>
          <w:szCs w:val="18"/>
        </w:rPr>
        <w:t xml:space="preserve"> Business Maturity Program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While the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is still considered a relatively new effort, there have already been tangible savings realized. In the ETL aspects alone, a 20 percent cost avoidance for every $1 million project is being realized through the use of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services and use of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common corporate software. Other measurable improvements since the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inception include:</w:t>
      </w:r>
    </w:p>
    <w:p>
      <w:pPr>
        <w:numPr>
          <w:ilvl w:val="0"/>
          <w:numId w:val="3"/>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A 31 percent improvement in unassigned customer number in the lead to ledger linkage combined with a total reduction of the backlog of product brand mismatches. </w:t>
      </w:r>
    </w:p>
    <w:p>
      <w:pPr>
        <w:numPr>
          <w:ilvl w:val="0"/>
          <w:numId w:val="3"/>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Achievement of the quality goal of 97 percent accuracy on the top data elements in the order processing process and demonstrated user adoption, with a dramatic growth of 300 percent year-to-year in unique visitors to view this information. </w:t>
      </w:r>
    </w:p>
    <w:p>
      <w:pPr>
        <w:numPr>
          <w:ilvl w:val="0"/>
          <w:numId w:val="3"/>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Sunset of 16 percent of legacy customer inventory databases upon the completion of cleansing and migrating worldwide data to the strategic customer inventory data store. </w:t>
      </w:r>
    </w:p>
    <w:p>
      <w:pPr>
        <w:numPr>
          <w:ilvl w:val="0"/>
          <w:numId w:val="3"/>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343 information management (IM) reviews of business transformation projects, resulting in identification of over 230 improvements with 87 percent of those improvements completed prior to the release of funding allowing advancement to the next stage of the project’s development cycle.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Further savings and benefits from additional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synergies and innovation are in plan for in 2006.</w:t>
      </w:r>
    </w:p>
    <w:p>
      <w:pPr>
        <w:shd w:val="clear" w:color="auto" w:fill="FFFFFF"/>
        <w:spacing w:before="120" w:after="120" w:line="288" w:lineRule="atLeast"/>
        <w:ind w:right="270"/>
        <w:outlineLvl w:val="4"/>
        <w:rPr>
          <w:rFonts w:ascii="Arial" w:eastAsia="Times New Roman" w:hAnsi="Arial" w:cs="Arial"/>
          <w:b/>
          <w:bCs/>
          <w:color w:val="463B2E"/>
        </w:rPr>
      </w:pPr>
      <w:r w:rsidR="00E1735C" w:rsidRPr="00E1735C">
        <w:rPr>
          <w:rFonts w:ascii="Arial" w:eastAsia="Times New Roman" w:hAnsi="Arial" w:cs="Arial"/>
          <w:b/>
          <w:bCs/>
          <w:color w:val="463B2E"/>
        </w:rPr>
        <w:t xml:space="preserve">EBI </w:t>
      </w:r>
      <w:proofErr w:type="spellStart"/>
      <w:r w:rsidR="00E1735C" w:rsidRPr="00E1735C">
        <w:rPr>
          <w:rFonts w:ascii="Arial" w:eastAsia="Times New Roman" w:hAnsi="Arial" w:cs="Arial"/>
          <w:b/>
          <w:bCs/>
          <w:color w:val="463B2E"/>
        </w:rPr>
        <w:t>CoE</w:t>
      </w:r>
      <w:proofErr w:type="spellEnd"/>
      <w:r w:rsidR="00E1735C" w:rsidRPr="00E1735C">
        <w:rPr>
          <w:rFonts w:ascii="Arial" w:eastAsia="Times New Roman" w:hAnsi="Arial" w:cs="Arial"/>
          <w:b/>
          <w:bCs/>
          <w:color w:val="463B2E"/>
        </w:rPr>
        <w:t xml:space="preserve"> Information Management Framework</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The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information management (IM) framework establishes information management policies and principles to manage data and information throughout IBM. The IM framework components embrace these principles and define methodologies, processes, and supporting tools to guide in the development of IM solutions that provide business value across IBM. Following this guidance, benefit is realized through data sharing, data reuse, cross-process integration, and reduced application development cycle time—all leading to competitive advantage for IBM. Components of IM framework include:</w:t>
      </w:r>
    </w:p>
    <w:p>
      <w:pPr>
        <w:numPr>
          <w:ilvl w:val="0"/>
          <w:numId w:val="4"/>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Information and data architecture </w:t>
      </w:r>
    </w:p>
    <w:p>
      <w:pPr>
        <w:numPr>
          <w:ilvl w:val="0"/>
          <w:numId w:val="4"/>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Metadata management (data modeling, business rules, and business data standards) </w:t>
      </w:r>
    </w:p>
    <w:p>
      <w:pPr>
        <w:numPr>
          <w:ilvl w:val="0"/>
          <w:numId w:val="4"/>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Data integration </w:t>
      </w:r>
    </w:p>
    <w:p>
      <w:pPr>
        <w:numPr>
          <w:ilvl w:val="0"/>
          <w:numId w:val="4"/>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Information quality </w:t>
      </w:r>
    </w:p>
    <w:p>
      <w:pPr>
        <w:numPr>
          <w:ilvl w:val="0"/>
          <w:numId w:val="4"/>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Information delivery/analytics </w:t>
      </w:r>
    </w:p>
    <w:p>
      <w:pPr>
        <w:numPr>
          <w:ilvl w:val="0"/>
          <w:numId w:val="4"/>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Data privacy/security/accessibility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The policies and standards set by the IM framework components are the basis of the subsequent data governance and compliance processes.</w:t>
      </w:r>
    </w:p>
    <w:p>
      <w:pPr>
        <w:shd w:val="clear" w:color="auto" w:fill="FFFFFF"/>
        <w:spacing w:before="120" w:after="120" w:line="288" w:lineRule="atLeast"/>
        <w:ind w:right="270"/>
        <w:outlineLvl w:val="4"/>
        <w:rPr>
          <w:rFonts w:ascii="Arial" w:eastAsia="Times New Roman" w:hAnsi="Arial" w:cs="Arial"/>
          <w:b/>
          <w:bCs/>
          <w:color w:val="463B2E"/>
        </w:rPr>
      </w:pPr>
      <w:r w:rsidR="00E1735C" w:rsidRPr="00E1735C">
        <w:rPr>
          <w:rFonts w:ascii="Arial" w:eastAsia="Times New Roman" w:hAnsi="Arial" w:cs="Arial"/>
          <w:b/>
          <w:bCs/>
          <w:color w:val="463B2E"/>
        </w:rPr>
        <w:t xml:space="preserve">EBI </w:t>
      </w:r>
      <w:proofErr w:type="spellStart"/>
      <w:r w:rsidR="00E1735C" w:rsidRPr="00E1735C">
        <w:rPr>
          <w:rFonts w:ascii="Arial" w:eastAsia="Times New Roman" w:hAnsi="Arial" w:cs="Arial"/>
          <w:b/>
          <w:bCs/>
          <w:color w:val="463B2E"/>
        </w:rPr>
        <w:t>CoE</w:t>
      </w:r>
      <w:proofErr w:type="spellEnd"/>
      <w:r w:rsidR="00E1735C" w:rsidRPr="00E1735C">
        <w:rPr>
          <w:rFonts w:ascii="Arial" w:eastAsia="Times New Roman" w:hAnsi="Arial" w:cs="Arial"/>
          <w:b/>
          <w:bCs/>
          <w:color w:val="463B2E"/>
        </w:rPr>
        <w:t xml:space="preserve"> IM Management System</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This is a closed-loop process that performs independent reviews of business transformation projects. The IM "health" is reported monthly to the executive IBM portfolio management team, which is the governing organization that disperses funding for project continuation. As the IM health is on equal footing with the reports of the project’s costs, schedules, risks, and process adoption, the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is able to leverage the power of the IPMT to ensure IM issues are addressed appropriately before a project continues into the next stage of development. Some of the problems caught or avoided by the IM reviews include: </w:t>
      </w:r>
    </w:p>
    <w:p>
      <w:pPr>
        <w:numPr>
          <w:ilvl w:val="0"/>
          <w:numId w:val="5"/>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Avoidance of database creation where IM function already existed </w:t>
      </w:r>
    </w:p>
    <w:p>
      <w:pPr>
        <w:numPr>
          <w:ilvl w:val="0"/>
          <w:numId w:val="5"/>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Identified spending on new products with database implications where existing in-house products already purchased </w:t>
      </w:r>
    </w:p>
    <w:p>
      <w:pPr>
        <w:numPr>
          <w:ilvl w:val="0"/>
          <w:numId w:val="5"/>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Quantified IM related spending on one-off solutions and/or rogue efforts </w:t>
      </w:r>
    </w:p>
    <w:p>
      <w:pPr>
        <w:numPr>
          <w:ilvl w:val="0"/>
          <w:numId w:val="5"/>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Enforced creation of metrics for proactive data quality monitoring </w:t>
      </w:r>
    </w:p>
    <w:p>
      <w:pPr>
        <w:numPr>
          <w:ilvl w:val="0"/>
          <w:numId w:val="5"/>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Insistence of use of available technology and tooling to measure and analyze data quality during project testing as well as into the production lifecycle of information </w:t>
      </w:r>
    </w:p>
    <w:p>
      <w:pPr>
        <w:numPr>
          <w:ilvl w:val="0"/>
          <w:numId w:val="5"/>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Elevation of corporate data privacy and accessibility standards as projects are in their concept phases of development </w:t>
      </w:r>
    </w:p>
    <w:p>
      <w:pPr>
        <w:numPr>
          <w:ilvl w:val="0"/>
          <w:numId w:val="5"/>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Closure of gaps in Enterprise-wide business data standards when new data elements are introduced by projects. </w:t>
      </w:r>
    </w:p>
    <w:p>
      <w:pPr>
        <w:shd w:val="clear" w:color="auto" w:fill="FFFFFF"/>
        <w:spacing w:before="120" w:after="120" w:line="288" w:lineRule="atLeast"/>
        <w:ind w:right="270"/>
        <w:outlineLvl w:val="4"/>
        <w:rPr>
          <w:rFonts w:ascii="Arial" w:eastAsia="Times New Roman" w:hAnsi="Arial" w:cs="Arial"/>
          <w:b/>
          <w:bCs/>
          <w:color w:val="463B2E"/>
        </w:rPr>
      </w:pPr>
      <w:r w:rsidR="00E1735C" w:rsidRPr="00E1735C">
        <w:rPr>
          <w:rFonts w:ascii="Arial" w:eastAsia="Times New Roman" w:hAnsi="Arial" w:cs="Arial"/>
          <w:b/>
          <w:bCs/>
          <w:color w:val="463B2E"/>
        </w:rPr>
        <w:t xml:space="preserve">EBI </w:t>
      </w:r>
      <w:proofErr w:type="spellStart"/>
      <w:r w:rsidR="00E1735C" w:rsidRPr="00E1735C">
        <w:rPr>
          <w:rFonts w:ascii="Arial" w:eastAsia="Times New Roman" w:hAnsi="Arial" w:cs="Arial"/>
          <w:b/>
          <w:bCs/>
          <w:color w:val="463B2E"/>
        </w:rPr>
        <w:t>CoE</w:t>
      </w:r>
      <w:proofErr w:type="spellEnd"/>
      <w:r w:rsidR="00E1735C" w:rsidRPr="00E1735C">
        <w:rPr>
          <w:rFonts w:ascii="Arial" w:eastAsia="Times New Roman" w:hAnsi="Arial" w:cs="Arial"/>
          <w:b/>
          <w:bCs/>
          <w:color w:val="463B2E"/>
        </w:rPr>
        <w:t xml:space="preserve"> Stewardship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Stewardship has two aspects: 1) Corporate-wide business data stewardship to address the challenges of data governance across a large, diverse organization like IBM; 2) Trusted source stewardship for data directly under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control and management.</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b/>
          <w:bCs/>
          <w:color w:val="313131"/>
          <w:sz w:val="18"/>
        </w:rPr>
        <w:t>Corporate-wide business data stewardship</w:t>
      </w:r>
      <w:r w:rsidR="00E1735C" w:rsidRPr="00E1735C">
        <w:rPr>
          <w:rFonts w:ascii="Times New Roman" w:eastAsia="Times New Roman" w:hAnsi="Times New Roman" w:cs="Times New Roman"/>
          <w:b/>
          <w:bCs/>
          <w:color w:val="313131"/>
          <w:sz w:val="18"/>
          <w:szCs w:val="18"/>
        </w:rPr>
        <w:br/>
      </w:r>
      <w:r w:rsidR="00E1735C" w:rsidRPr="00E1735C">
        <w:rPr>
          <w:rFonts w:ascii="Times New Roman" w:eastAsia="Times New Roman" w:hAnsi="Times New Roman" w:cs="Times New Roman"/>
          <w:color w:val="313131"/>
          <w:sz w:val="18"/>
          <w:szCs w:val="18"/>
        </w:rPr>
        <w:t xml:space="preserve">IBM’s efforts to manage information as an asset require active stewardship with the priority of driving information quality, trusted source usage, and data standardization. IBM has implemented stewardship across 25 business areas, managing about 80 data subject areas. Data stewardship responsibilities have been defined, both on a data subject matter expert (SME) as well as an executive level. The executive data steward is responsible for implementing the IM programs and disciplines in their respective organization as well as driving the data standardization and data quality in the enterprise level data they represent. The data steward is the SME in performing this role.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Additional stewardship roles have been defined for 2006. The information chain managers are responsible for ensuring data quality and IM best practices across a defined end-to-end business process, which by definition will have dependencies on multiple types of data; example is the “order to cash” process. The reference table manager is responsible for providing single trusted sources for key reference data for the use of all processes and organization across IBM. Data custodians assist data stewards in managing selected set of data tables and allowed values, placing responsibilities where the data is being managed.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b/>
          <w:bCs/>
          <w:color w:val="313131"/>
          <w:sz w:val="18"/>
        </w:rPr>
        <w:t>Trusted Source Stewardship</w:t>
      </w:r>
      <w:r w:rsidR="00E1735C" w:rsidRPr="00E1735C">
        <w:rPr>
          <w:rFonts w:ascii="Times New Roman" w:eastAsia="Times New Roman" w:hAnsi="Times New Roman" w:cs="Times New Roman"/>
          <w:color w:val="313131"/>
          <w:sz w:val="18"/>
          <w:szCs w:val="18"/>
        </w:rPr>
        <w:br/>
        <w:t xml:space="preserve">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trusted source stewardship is in place for the enterprise trusted data sources that are directly under the control of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for strategy, development, and day-to-day operations. Trusted source stewardship espouses a 360-degree approach to stewardship that holds in its target data standards, models, metadata, reference source, and rules, while using profiling, cleansing, and matching technologies to transform, enhance, and report on trusted source data.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The most effective way to ensure the trusted source data is of high quality is to ensure quality at the point of capture through established rules and procedures and avoid the expense and time of cleanup after the fact, and at the same time ensure records no longer of use or value to IBM are archived correctly to protect critical business information while increasing business users productivity and improving their user experience.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Utilizing this 360-degree approach the trusted source stewardship has reduced 1.8M “no value” customer records and accomplished a 55 percent reduction in the number of offering information data accuracy and completeness defects resulting in savings of $2.5M in 2005.</w:t>
      </w:r>
    </w:p>
    <w:p>
      <w:pPr>
        <w:shd w:val="clear" w:color="auto" w:fill="FFFFFF"/>
        <w:spacing w:before="120" w:after="120" w:line="288" w:lineRule="atLeast"/>
        <w:ind w:right="270"/>
        <w:outlineLvl w:val="4"/>
        <w:rPr>
          <w:rFonts w:ascii="Arial" w:eastAsia="Times New Roman" w:hAnsi="Arial" w:cs="Arial"/>
          <w:b/>
          <w:bCs/>
          <w:color w:val="463B2E"/>
        </w:rPr>
      </w:pPr>
      <w:r w:rsidR="00E1735C" w:rsidRPr="00E1735C">
        <w:rPr>
          <w:rFonts w:ascii="Arial" w:eastAsia="Times New Roman" w:hAnsi="Arial" w:cs="Arial"/>
          <w:b/>
          <w:bCs/>
          <w:color w:val="463B2E"/>
        </w:rPr>
        <w:t xml:space="preserve">EBI </w:t>
      </w:r>
      <w:proofErr w:type="spellStart"/>
      <w:r w:rsidR="00E1735C" w:rsidRPr="00E1735C">
        <w:rPr>
          <w:rFonts w:ascii="Arial" w:eastAsia="Times New Roman" w:hAnsi="Arial" w:cs="Arial"/>
          <w:b/>
          <w:bCs/>
          <w:color w:val="463B2E"/>
        </w:rPr>
        <w:t>CoE</w:t>
      </w:r>
      <w:proofErr w:type="spellEnd"/>
      <w:r w:rsidR="00E1735C" w:rsidRPr="00E1735C">
        <w:rPr>
          <w:rFonts w:ascii="Arial" w:eastAsia="Times New Roman" w:hAnsi="Arial" w:cs="Arial"/>
          <w:b/>
          <w:bCs/>
          <w:color w:val="463B2E"/>
        </w:rPr>
        <w:t xml:space="preserve"> Services</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Throughout 2004 there was a repeated pattern of project development with focus on data without the skilled information management resources assigned within the project teams to address the data functions. To address this need an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Service Program was set up to offer a comprehensive list of information management and data architecture services to drive efficiencies and excellence in business information. The program is designed to offer a review, consult, or perform level of each service: </w:t>
      </w:r>
    </w:p>
    <w:p>
      <w:pPr>
        <w:numPr>
          <w:ilvl w:val="0"/>
          <w:numId w:val="6"/>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Information Management Services—data quality, data standards, data transformation, metadata services, and trusted source certification. </w:t>
      </w:r>
    </w:p>
    <w:p>
      <w:pPr>
        <w:numPr>
          <w:ilvl w:val="0"/>
          <w:numId w:val="6"/>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Information Architecture Services—information integration, data warehousing, data modeling, and standard messaging using IBM’s Enterprise Integrated Messaging Specification (EIMS), Extensible Markup Language (XML) &amp; XML standards repository. </w:t>
      </w:r>
    </w:p>
    <w:p>
      <w:pPr>
        <w:numPr>
          <w:ilvl w:val="0"/>
          <w:numId w:val="6"/>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Business Intelligence and Reporting Services—information delivery, reporting, dashboards and data mining that showcases IBM hardware, software, and services.</w:t>
      </w:r>
    </w:p>
    <w:p>
      <w:pPr>
        <w:shd w:val="clear" w:color="auto" w:fill="FFFFFF"/>
        <w:spacing w:after="0" w:line="288" w:lineRule="atLeast"/>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There has been a steady stream of requests for these services since their availability in late 2005. Upon the completion of each engagement a customer satisfaction survey is completed with a cumulative net satisfaction index of 93.4 percent. </w:t>
      </w:r>
    </w:p>
    <w:p>
      <w:pPr>
        <w:shd w:val="clear" w:color="auto" w:fill="FFFFFF"/>
        <w:spacing w:before="120" w:after="120" w:line="288" w:lineRule="atLeast"/>
        <w:ind w:right="270"/>
        <w:outlineLvl w:val="4"/>
        <w:rPr>
          <w:rFonts w:ascii="Arial" w:eastAsia="Times New Roman" w:hAnsi="Arial" w:cs="Arial"/>
          <w:b/>
          <w:bCs/>
          <w:color w:val="463B2E"/>
        </w:rPr>
      </w:pPr>
      <w:r w:rsidR="00E1735C" w:rsidRPr="00E1735C">
        <w:rPr>
          <w:rFonts w:ascii="Arial" w:eastAsia="Times New Roman" w:hAnsi="Arial" w:cs="Arial"/>
          <w:b/>
          <w:bCs/>
          <w:color w:val="463B2E"/>
        </w:rPr>
        <w:t xml:space="preserve">EBI </w:t>
      </w:r>
      <w:proofErr w:type="spellStart"/>
      <w:r w:rsidR="00E1735C" w:rsidRPr="00E1735C">
        <w:rPr>
          <w:rFonts w:ascii="Arial" w:eastAsia="Times New Roman" w:hAnsi="Arial" w:cs="Arial"/>
          <w:b/>
          <w:bCs/>
          <w:color w:val="463B2E"/>
        </w:rPr>
        <w:t>CoE</w:t>
      </w:r>
      <w:proofErr w:type="spellEnd"/>
      <w:r w:rsidR="00E1735C" w:rsidRPr="00E1735C">
        <w:rPr>
          <w:rFonts w:ascii="Arial" w:eastAsia="Times New Roman" w:hAnsi="Arial" w:cs="Arial"/>
          <w:b/>
          <w:bCs/>
          <w:color w:val="463B2E"/>
        </w:rPr>
        <w:t xml:space="preserve"> Business Information (BI) Maturity</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The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BI Maturity Program was put in place to assist IBM business organizations to self-assess where they are and where they need to go in relationship to the business information environment. Using an on-demand data assessment questionnaire (patent submission pending), business subject matter experts assess their organizations business information posture as it relates to characteristics which enable them to evaluate their capabilities in being: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i/>
          <w:iCs/>
          <w:color w:val="313131"/>
          <w:sz w:val="18"/>
        </w:rPr>
        <w:t>Responsive, Variable, Resilient, Focused, Open, Integrated, Autonomic and Virtualized</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These "on-demand" categories (and their survey questions) are mapped to data architecture and management elements that allow each data domain to assess its data architecture, data models, information quality, and reporting capabilities against a five-stage maturity model. Working with the business area, the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helps to analyze the self-assessment results and identify both short- and long-term actions to address advancement of the BI maturity of the area.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 xml:space="preserve">From a data governance perspective, the initial components of the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system, IM framework components, IM management system, and IM stewardship programs have institutionalized themselves within IBM. The stewardship programs have raised information quality focus across all executives in the business information value chains. The momentum established with these early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components is carrying forward with an ever-increasing number of EBI </w:t>
      </w:r>
      <w:proofErr w:type="spellStart"/>
      <w:r w:rsidR="00E1735C" w:rsidRPr="00E1735C">
        <w:rPr>
          <w:rFonts w:ascii="Times New Roman" w:eastAsia="Times New Roman" w:hAnsi="Times New Roman" w:cs="Times New Roman"/>
          <w:color w:val="313131"/>
          <w:sz w:val="18"/>
          <w:szCs w:val="18"/>
        </w:rPr>
        <w:t>CoE</w:t>
      </w:r>
      <w:proofErr w:type="spellEnd"/>
      <w:r w:rsidR="00E1735C" w:rsidRPr="00E1735C">
        <w:rPr>
          <w:rFonts w:ascii="Times New Roman" w:eastAsia="Times New Roman" w:hAnsi="Times New Roman" w:cs="Times New Roman"/>
          <w:color w:val="313131"/>
          <w:sz w:val="18"/>
          <w:szCs w:val="18"/>
        </w:rPr>
        <w:t xml:space="preserve"> service requests and the recent completion of the baselines measurements of business information maturity for client transformation business communities allows IBM’s spring plan to appropriately factor the information management needs in its yearly financial planning. </w:t>
      </w:r>
    </w:p>
    <w:p>
      <w:pPr>
        <w:shd w:val="clear" w:color="auto" w:fill="FFFFFF"/>
        <w:spacing w:before="120" w:after="120" w:line="288" w:lineRule="atLeast"/>
        <w:ind w:right="270"/>
        <w:outlineLvl w:val="4"/>
        <w:rPr>
          <w:rFonts w:ascii="Arial" w:eastAsia="Times New Roman" w:hAnsi="Arial" w:cs="Arial"/>
          <w:b/>
          <w:bCs/>
          <w:color w:val="463B2E"/>
        </w:rPr>
      </w:pPr>
      <w:r w:rsidR="00E1735C" w:rsidRPr="00E1735C">
        <w:rPr>
          <w:rFonts w:ascii="Arial" w:eastAsia="Times New Roman" w:hAnsi="Arial" w:cs="Arial"/>
          <w:b/>
          <w:bCs/>
          <w:color w:val="463B2E"/>
        </w:rPr>
        <w:t>In Conclusion</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There have been challenges in establishing a corporate-wide data stewardship program for the information chain processes (described above in the main entry). While executive data stewards and business data stewards were named, there were no formal forums to assist in their governance end-to-end. To address this omission, two new forums have recently been established:</w:t>
      </w:r>
    </w:p>
    <w:p>
      <w:pPr>
        <w:numPr>
          <w:ilvl w:val="0"/>
          <w:numId w:val="7"/>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Executive Data Review Board (meets quarterly) </w:t>
      </w:r>
    </w:p>
    <w:p>
      <w:pPr>
        <w:numPr>
          <w:ilvl w:val="1"/>
          <w:numId w:val="7"/>
        </w:numPr>
        <w:shd w:val="clear" w:color="auto" w:fill="FFFFFF"/>
        <w:spacing w:after="120" w:line="288" w:lineRule="atLeast"/>
        <w:ind w:left="406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Set IBM’s overall data policy </w:t>
      </w:r>
    </w:p>
    <w:p>
      <w:pPr>
        <w:numPr>
          <w:ilvl w:val="1"/>
          <w:numId w:val="7"/>
        </w:numPr>
        <w:shd w:val="clear" w:color="auto" w:fill="FFFFFF"/>
        <w:spacing w:after="120" w:line="288" w:lineRule="atLeast"/>
        <w:ind w:left="406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Review and resolve corporate-wide DQ issues by monitoring enterprise level quality scorecards </w:t>
      </w:r>
    </w:p>
    <w:p>
      <w:pPr>
        <w:numPr>
          <w:ilvl w:val="1"/>
          <w:numId w:val="7"/>
        </w:numPr>
        <w:shd w:val="clear" w:color="auto" w:fill="FFFFFF"/>
        <w:spacing w:after="120" w:line="288" w:lineRule="atLeast"/>
        <w:ind w:left="406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Drive information management (IM) maturity </w:t>
      </w:r>
    </w:p>
    <w:p>
      <w:pPr>
        <w:numPr>
          <w:ilvl w:val="1"/>
          <w:numId w:val="7"/>
        </w:numPr>
        <w:shd w:val="clear" w:color="auto" w:fill="FFFFFF"/>
        <w:spacing w:after="120" w:line="288" w:lineRule="atLeast"/>
        <w:ind w:left="406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Set priorities for IM projects </w:t>
      </w:r>
    </w:p>
    <w:p>
      <w:pPr>
        <w:numPr>
          <w:ilvl w:val="1"/>
          <w:numId w:val="7"/>
        </w:numPr>
        <w:shd w:val="clear" w:color="auto" w:fill="FFFFFF"/>
        <w:spacing w:after="120" w:line="288" w:lineRule="atLeast"/>
        <w:ind w:left="406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Appoint new business data stewards and working groups </w:t>
      </w:r>
    </w:p>
    <w:p>
      <w:pPr>
        <w:numPr>
          <w:ilvl w:val="0"/>
          <w:numId w:val="7"/>
        </w:numPr>
        <w:shd w:val="clear" w:color="auto" w:fill="FFFFFF"/>
        <w:spacing w:after="120" w:line="288" w:lineRule="atLeast"/>
        <w:ind w:left="340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Enterprise Data Council (meets monthly) </w:t>
      </w:r>
    </w:p>
    <w:p>
      <w:pPr>
        <w:numPr>
          <w:ilvl w:val="1"/>
          <w:numId w:val="7"/>
        </w:numPr>
        <w:shd w:val="clear" w:color="auto" w:fill="FFFFFF"/>
        <w:spacing w:after="120" w:line="288" w:lineRule="atLeast"/>
        <w:ind w:left="406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Resolve corporate data ownership issues </w:t>
      </w:r>
    </w:p>
    <w:p>
      <w:pPr>
        <w:numPr>
          <w:ilvl w:val="1"/>
          <w:numId w:val="7"/>
        </w:numPr>
        <w:shd w:val="clear" w:color="auto" w:fill="FFFFFF"/>
        <w:spacing w:after="120" w:line="288" w:lineRule="atLeast"/>
        <w:ind w:left="406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Resolve corporate data standards issues </w:t>
      </w:r>
    </w:p>
    <w:p>
      <w:pPr>
        <w:numPr>
          <w:ilvl w:val="1"/>
          <w:numId w:val="7"/>
        </w:numPr>
        <w:shd w:val="clear" w:color="auto" w:fill="FFFFFF"/>
        <w:spacing w:after="120" w:line="288" w:lineRule="atLeast"/>
        <w:ind w:left="406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Prioritize requirements for IM programs </w:t>
      </w:r>
    </w:p>
    <w:p>
      <w:pPr>
        <w:numPr>
          <w:ilvl w:val="1"/>
          <w:numId w:val="7"/>
        </w:numPr>
        <w:shd w:val="clear" w:color="auto" w:fill="FFFFFF"/>
        <w:spacing w:after="120" w:line="288" w:lineRule="atLeast"/>
        <w:ind w:left="406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Recommend data policies </w:t>
      </w:r>
    </w:p>
    <w:p>
      <w:pPr>
        <w:numPr>
          <w:ilvl w:val="1"/>
          <w:numId w:val="7"/>
        </w:numPr>
        <w:shd w:val="clear" w:color="auto" w:fill="FFFFFF"/>
        <w:spacing w:after="120" w:line="288" w:lineRule="atLeast"/>
        <w:ind w:left="4065"/>
        <w:rPr>
          <w:rFonts w:ascii="Times New Roman" w:eastAsia="Times New Roman" w:hAnsi="Times New Roman" w:cs="Times New Roman"/>
          <w:color w:val="333333"/>
          <w:sz w:val="18"/>
          <w:szCs w:val="18"/>
        </w:rPr>
      </w:pPr>
      <w:r w:rsidR="00E1735C" w:rsidRPr="00E1735C">
        <w:rPr>
          <w:rFonts w:ascii="Times New Roman" w:eastAsia="Times New Roman" w:hAnsi="Times New Roman" w:cs="Times New Roman"/>
          <w:color w:val="333333"/>
          <w:sz w:val="18"/>
          <w:szCs w:val="18"/>
        </w:rPr>
        <w:t xml:space="preserve">Prepare monthly executive data review board updates </w:t>
      </w:r>
    </w:p>
    <w:p>
      <w:pPr>
        <w:shd w:val="clear" w:color="auto" w:fill="FFFFFF"/>
        <w:spacing w:after="240" w:line="288" w:lineRule="atLeast"/>
        <w:ind w:left="2775"/>
        <w:rPr>
          <w:rFonts w:ascii="Times New Roman" w:eastAsia="Times New Roman" w:hAnsi="Times New Roman" w:cs="Times New Roman"/>
          <w:color w:val="313131"/>
          <w:sz w:val="18"/>
          <w:szCs w:val="18"/>
        </w:rPr>
      </w:pPr>
      <w:r w:rsidR="00E1735C" w:rsidRPr="00E1735C">
        <w:rPr>
          <w:rFonts w:ascii="Times New Roman" w:eastAsia="Times New Roman" w:hAnsi="Times New Roman" w:cs="Times New Roman"/>
          <w:color w:val="313131"/>
          <w:sz w:val="18"/>
          <w:szCs w:val="18"/>
        </w:rPr>
        <w:t>Both forums are in their initial rollout stage and will further strengthen the focus and collaboration for business data stewardship across the information chains, bringing a level success consistent with what has been accomplished with the trusted source stewardship program</w:t>
      </w:r>
    </w:p>
    <w:p/>
    <w:sectPr w:rsidR="00571E24" w:rsidSect="00571E2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3/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o12="http://schemas.microsoft.com/office/2004/7/core" xmlns:r="http://schemas.openxmlformats.org/officeDocument/2006/relationships" xmlns:m="http://schemas.microsoft.com/office/omml/2004/12/core" xmlns:v="urn:schemas-microsoft-com:vml" xmlns:wp="http://schemas.openxmlformats.org/drawingml/2006/3/wordprocessingDrawing" xmlns:w10="urn:schemas-microsoft-com:office:word" xmlns:w="http://schemas.openxmlformats.org/wordprocessingml/2006/3/main">
  <w:abstractNum w:abstractNumId="0">
    <w:nsid w:val="004572E3"/>
    <w:multiLevelType w:val="multilevel"/>
    <w:tmpl w:val="7A9A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51BF3"/>
    <w:multiLevelType w:val="multilevel"/>
    <w:tmpl w:val="58AE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B01B3C"/>
    <w:multiLevelType w:val="multilevel"/>
    <w:tmpl w:val="26F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577DD6"/>
    <w:multiLevelType w:val="multilevel"/>
    <w:tmpl w:val="7CC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866340"/>
    <w:multiLevelType w:val="multilevel"/>
    <w:tmpl w:val="99AA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174E36"/>
    <w:multiLevelType w:val="multilevel"/>
    <w:tmpl w:val="50AA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EB496F"/>
    <w:multiLevelType w:val="multilevel"/>
    <w:tmpl w:val="E7CE5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microsoft.com/office/omml/2004/12/core" xmlns:v="urn:schemas-microsoft-com:vml" xmlns:w10="urn:schemas-microsoft-com:office:word" xmlns:w="http://schemas.openxmlformats.org/wordprocessingml/2006/3/main" xmlns:sl="http://schemas.openxmlformats.org/schemaLibrary/2006/2/main">
  <w:proofState w:spelling="clean"/>
  <w:defaultTabStop w:val="720"/>
  <w:characterSpacingControl w:val="dontCompress"/>
  <w:compat/>
  <w:rsids>
    <w:rsidRoot w:val="00E1735C"/>
    <w:rsid w:val="00543BFA"/>
    <w:rsid w:val="00571E24"/>
    <w:rsid w:val="00E1735C"/>
    <w:rsid w:val="00E32579"/>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3/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versionOfBuiltInStylenames w:val="7"/>
  <w:latentStyles w:defLockedState="off" w:defUIPriority="99" w:defSemiHidden="on" w:defUnhideWhenUsed="on" w:defQFormat="off" w:count="266">
    <w:lsdException w:name="Normal" w:semiHidden="off" w:uiPriority="0" w:unhideWhenUsed="off" w:qFormat="on"/>
    <w:lsdException w:name="heading 1" w:semiHidden="off" w:uiPriority="9" w:unhideWhenUsed="off" w:qFormat="on"/>
    <w:lsdException w:name="heading 2" w:semiHidden="off" w:uiPriority="9" w:unhideWhenUsed="off" w:qFormat="on"/>
    <w:lsdException w:name="heading 3" w:uiPriority="9" w:qFormat="on"/>
    <w:lsdException w:name="heading 4" w:uiPriority="9" w:qFormat="on"/>
    <w:lsdException w:name="heading 5" w:uiPriority="9" w:qFormat="on"/>
    <w:lsdException w:name="heading 6" w:uiPriority="9" w:qFormat="on"/>
    <w:lsdException w:name="heading 7" w:uiPriority="9" w:qFormat="on"/>
    <w:lsdException w:name="heading 8" w:uiPriority="9" w:qFormat="on"/>
    <w:lsdException w:name="heading 9" w:uiPriority="9" w:qFormat="on"/>
    <w:lsdException w:name="toc 1" w:uiPriority="39" w:qFormat="on"/>
    <w:lsdException w:name="toc 2" w:uiPriority="39" w:qFormat="on"/>
    <w:lsdException w:name="toc 3" w:uiPriority="39" w:qFormat="on"/>
    <w:lsdException w:name="toc 4" w:uiPriority="39" w:qFormat="on"/>
    <w:lsdException w:name="toc 5" w:uiPriority="39" w:qFormat="on"/>
    <w:lsdException w:name="toc 6" w:uiPriority="39" w:qFormat="on"/>
    <w:lsdException w:name="toc 7" w:uiPriority="39" w:qFormat="on"/>
    <w:lsdException w:name="toc 8" w:uiPriority="39" w:qFormat="on"/>
    <w:lsdException w:name="toc 9" w:uiPriority="39" w:qFormat="on"/>
    <w:lsdException w:name="caption" w:uiPriority="35" w:qFormat="on"/>
    <w:lsdException w:name="Title" w:semiHidden="off" w:uiPriority="10" w:unhideWhenUsed="off" w:qFormat="on"/>
    <w:lsdException w:name="Subtitle" w:semiHidden="off" w:uiPriority="11" w:unhideWhenUsed="off" w:qFormat="on"/>
    <w:lsdException w:name="Strong" w:semiHidden="off" w:uiPriority="22" w:unhideWhenUsed="off" w:qFormat="on"/>
    <w:lsdException w:name="Emphasis" w:semiHidden="off" w:uiPriority="20" w:unhideWhenUsed="off" w:qFormat="on"/>
    <w:lsdException w:name="Table Grid" w:semiHidden="off" w:uiPriority="59" w:unhideWhenUsed="off"/>
    <w:lsdException w:name="Placeholder Text" w:unhideWhenUsed="off"/>
    <w:lsdException w:name="No Spacing" w:semiHidden="off" w:uiPriority="1" w:unhideWhenUsed="off" w:qFormat="on"/>
    <w:lsdException w:name="B2 Light Shading" w:semiHidden="off" w:uiPriority="60" w:unhideWhenUsed="off"/>
    <w:lsdException w:name="B2 Light List" w:semiHidden="off" w:uiPriority="61" w:unhideWhenUsed="off"/>
    <w:lsdException w:name="B2 Light Grid" w:semiHidden="off" w:uiPriority="62" w:unhideWhenUsed="off"/>
    <w:lsdException w:name="B2 Medium Shading 1" w:semiHidden="off" w:uiPriority="63" w:unhideWhenUsed="off"/>
    <w:lsdException w:name="B2 Medium Shading 2" w:semiHidden="off" w:uiPriority="64" w:unhideWhenUsed="off"/>
    <w:lsdException w:name="B2 Medium List 1" w:semiHidden="off" w:uiPriority="65" w:unhideWhenUsed="off"/>
    <w:lsdException w:name="B2 Medium List 2" w:semiHidden="off" w:uiPriority="66" w:unhideWhenUsed="off"/>
    <w:lsdException w:name="B2 Medium Grid 1" w:semiHidden="off" w:uiPriority="67" w:unhideWhenUsed="off"/>
    <w:lsdException w:name="B2 Medium Grid 2" w:semiHidden="off" w:uiPriority="68" w:unhideWhenUsed="off"/>
    <w:lsdException w:name="B2 Medium Grid 3" w:semiHidden="off" w:uiPriority="69" w:unhideWhenUsed="off"/>
    <w:lsdException w:name="B2 Dark List" w:semiHidden="off" w:uiPriority="70" w:unhideWhenUsed="off"/>
    <w:lsdException w:name="B2 Colorful Shading" w:semiHidden="off" w:uiPriority="71" w:unhideWhenUsed="off"/>
    <w:lsdException w:name="B2 Colorful List" w:semiHidden="off" w:uiPriority="72" w:unhideWhenUsed="off"/>
    <w:lsdException w:name="B2 Colorful Grid" w:semiHidden="off" w:uiPriority="73" w:unhideWhenUsed="off"/>
    <w:lsdException w:name="B2 Light Shading Accent 1" w:semiHidden="off" w:uiPriority="60" w:unhideWhenUsed="off"/>
    <w:lsdException w:name="B2 Light List Accent 1" w:semiHidden="off" w:uiPriority="61" w:unhideWhenUsed="off"/>
    <w:lsdException w:name="B2 Light Grid Accent 1" w:semiHidden="off" w:uiPriority="62" w:unhideWhenUsed="off"/>
    <w:lsdException w:name="B2 Medium Shading 1 Accent 1" w:semiHidden="off" w:uiPriority="63" w:unhideWhenUsed="off"/>
    <w:lsdException w:name="B2 Medium Shading 2 Accent 1" w:semiHidden="off" w:uiPriority="64" w:unhideWhenUsed="off"/>
    <w:lsdException w:name="B2 Medium List 1 Accent 1" w:semiHidden="off" w:uiPriority="65" w:unhideWhenUsed="off"/>
    <w:lsdException w:name="Revision" w:unhideWhenUsed="off"/>
    <w:lsdException w:name="List Paragraph" w:semiHidden="off" w:uiPriority="34" w:unhideWhenUsed="off" w:qFormat="on"/>
    <w:lsdException w:name="Quote" w:semiHidden="off" w:uiPriority="29" w:unhideWhenUsed="off" w:qFormat="on"/>
    <w:lsdException w:name="Intense Quote" w:semiHidden="off" w:uiPriority="30" w:unhideWhenUsed="off" w:qFormat="on"/>
    <w:lsdException w:name="B2 Medium List 2 Accent 1" w:semiHidden="off" w:uiPriority="66" w:unhideWhenUsed="off"/>
    <w:lsdException w:name="B2 Medium Grid 1 Accent 1" w:semiHidden="off" w:uiPriority="67" w:unhideWhenUsed="off"/>
    <w:lsdException w:name="B2 Medium Grid 2 Accent 1" w:semiHidden="off" w:uiPriority="68" w:unhideWhenUsed="off"/>
    <w:lsdException w:name="B2 Medium Grid 3 Accent 1" w:semiHidden="off" w:uiPriority="69" w:unhideWhenUsed="off"/>
    <w:lsdException w:name="B2 Dark List Accent 1" w:semiHidden="off" w:uiPriority="70" w:unhideWhenUsed="off"/>
    <w:lsdException w:name="B2 Colorful Shading Accent 1" w:semiHidden="off" w:uiPriority="71" w:unhideWhenUsed="off"/>
    <w:lsdException w:name="B2 Colorful List Accent 1" w:semiHidden="off" w:uiPriority="72" w:unhideWhenUsed="off"/>
    <w:lsdException w:name="B2 Colorful Grid Accent 1" w:semiHidden="off" w:uiPriority="73" w:unhideWhenUsed="off"/>
    <w:lsdException w:name="B2 Light Shading Accent 2" w:semiHidden="off" w:uiPriority="60" w:unhideWhenUsed="off"/>
    <w:lsdException w:name="B2 Light List Accent 2" w:semiHidden="off" w:uiPriority="61" w:unhideWhenUsed="off"/>
    <w:lsdException w:name="B2 Light Grid Accent 2" w:semiHidden="off" w:uiPriority="62" w:unhideWhenUsed="off"/>
    <w:lsdException w:name="B2 Medium Shading 1 Accent 2" w:semiHidden="off" w:uiPriority="63" w:unhideWhenUsed="off"/>
    <w:lsdException w:name="B2 Medium Shading 2 Accent 2" w:semiHidden="off" w:uiPriority="64" w:unhideWhenUsed="off"/>
    <w:lsdException w:name="B2 Medium List 1 Accent 2" w:semiHidden="off" w:uiPriority="65" w:unhideWhenUsed="off"/>
    <w:lsdException w:name="B2 Medium List 2 Accent 2" w:semiHidden="off" w:uiPriority="66" w:unhideWhenUsed="off"/>
    <w:lsdException w:name="B2 Medium Grid 1 Accent 2" w:semiHidden="off" w:uiPriority="67" w:unhideWhenUsed="off"/>
    <w:lsdException w:name="B2 Medium Grid 2 Accent 2" w:semiHidden="off" w:uiPriority="68" w:unhideWhenUsed="off"/>
    <w:lsdException w:name="B2 Medium Grid 3 Accent 2" w:semiHidden="off" w:uiPriority="69" w:unhideWhenUsed="off"/>
    <w:lsdException w:name="B2 Dark List Accent 2" w:semiHidden="off" w:uiPriority="70" w:unhideWhenUsed="off"/>
    <w:lsdException w:name="B2 Colorful Shading Accent 2" w:semiHidden="off" w:uiPriority="71" w:unhideWhenUsed="off"/>
    <w:lsdException w:name="B2 Colorful List Accent 2" w:semiHidden="off" w:uiPriority="72" w:unhideWhenUsed="off"/>
    <w:lsdException w:name="B2 Colorful Grid Accent 2" w:semiHidden="off" w:uiPriority="73" w:unhideWhenUsed="off"/>
    <w:lsdException w:name="B2 Light Shading Accent 3" w:semiHidden="off" w:uiPriority="60" w:unhideWhenUsed="off"/>
    <w:lsdException w:name="B2 Light List Accent 3" w:semiHidden="off" w:uiPriority="61" w:unhideWhenUsed="off"/>
    <w:lsdException w:name="B2 Light Grid Accent 3" w:semiHidden="off" w:uiPriority="62" w:unhideWhenUsed="off"/>
    <w:lsdException w:name="B2 Medium Shading 1 Accent 3" w:semiHidden="off" w:uiPriority="63" w:unhideWhenUsed="off"/>
    <w:lsdException w:name="B2 Medium Shading 2 Accent 3" w:semiHidden="off" w:uiPriority="64" w:unhideWhenUsed="off"/>
    <w:lsdException w:name="B2 Medium List 1 Accent 3" w:semiHidden="off" w:uiPriority="65" w:unhideWhenUsed="off"/>
    <w:lsdException w:name="B2 Medium List 2 Accent 3" w:semiHidden="off" w:uiPriority="66" w:unhideWhenUsed="off"/>
    <w:lsdException w:name="B2 Medium Grid 1 Accent 3" w:semiHidden="off" w:uiPriority="67" w:unhideWhenUsed="off"/>
    <w:lsdException w:name="B2 Medium Grid 2 Accent 3" w:semiHidden="off" w:uiPriority="68" w:unhideWhenUsed="off"/>
    <w:lsdException w:name="B2 Medium Grid 3 Accent 3" w:semiHidden="off" w:uiPriority="69" w:unhideWhenUsed="off"/>
    <w:lsdException w:name="B2 Dark List Accent 3" w:semiHidden="off" w:uiPriority="70" w:unhideWhenUsed="off"/>
    <w:lsdException w:name="B2 Colorful Shading Accent 3" w:semiHidden="off" w:uiPriority="71" w:unhideWhenUsed="off"/>
    <w:lsdException w:name="B2 Colorful List Accent 3" w:semiHidden="off" w:uiPriority="72" w:unhideWhenUsed="off"/>
    <w:lsdException w:name="B2 Colorful Grid Accent 3" w:semiHidden="off" w:uiPriority="73" w:unhideWhenUsed="off"/>
    <w:lsdException w:name="B2 Light Shading Accent 4" w:semiHidden="off" w:uiPriority="60" w:unhideWhenUsed="off"/>
    <w:lsdException w:name="B2 Light List Accent 4" w:semiHidden="off" w:uiPriority="61" w:unhideWhenUsed="off"/>
    <w:lsdException w:name="B2 Light Grid Accent 4" w:semiHidden="off" w:uiPriority="62" w:unhideWhenUsed="off"/>
    <w:lsdException w:name="B2 Medium Shading 1 Accent 4" w:semiHidden="off" w:uiPriority="63" w:unhideWhenUsed="off"/>
    <w:lsdException w:name="B2 Medium Shading 2 Accent 4" w:semiHidden="off" w:uiPriority="64" w:unhideWhenUsed="off"/>
    <w:lsdException w:name="B2 Medium List 1 Accent 4" w:semiHidden="off" w:uiPriority="65" w:unhideWhenUsed="off"/>
    <w:lsdException w:name="B2 Medium List 2 Accent 4" w:semiHidden="off" w:uiPriority="66" w:unhideWhenUsed="off"/>
    <w:lsdException w:name="B2 Medium Grid 1 Accent 4" w:semiHidden="off" w:uiPriority="67" w:unhideWhenUsed="off"/>
    <w:lsdException w:name="B2 Medium Grid 2 Accent 4" w:semiHidden="off" w:uiPriority="68" w:unhideWhenUsed="off"/>
    <w:lsdException w:name="B2 Medium Grid 3 Accent 4" w:semiHidden="off" w:uiPriority="69" w:unhideWhenUsed="off"/>
    <w:lsdException w:name="B2 Dark List Accent 4" w:semiHidden="off" w:uiPriority="70" w:unhideWhenUsed="off"/>
    <w:lsdException w:name="B2 Colorful Shading Accent 4" w:semiHidden="off" w:uiPriority="71" w:unhideWhenUsed="off"/>
    <w:lsdException w:name="B2 Colorful List Accent 4" w:semiHidden="off" w:uiPriority="72" w:unhideWhenUsed="off"/>
    <w:lsdException w:name="B2 Colorful Grid Accent 4" w:semiHidden="off" w:uiPriority="73" w:unhideWhenUsed="off"/>
    <w:lsdException w:name="B2 Light Shading Accent 5" w:semiHidden="off" w:uiPriority="60" w:unhideWhenUsed="off"/>
    <w:lsdException w:name="B2 Light List Accent 5" w:semiHidden="off" w:uiPriority="61" w:unhideWhenUsed="off"/>
    <w:lsdException w:name="B2 Light Grid Accent 5" w:semiHidden="off" w:uiPriority="62" w:unhideWhenUsed="off"/>
    <w:lsdException w:name="B2 Medium Shading 1 Accent 5" w:semiHidden="off" w:uiPriority="63" w:unhideWhenUsed="off"/>
    <w:lsdException w:name="B2 Medium Shading 2 Accent 5" w:semiHidden="off" w:uiPriority="64" w:unhideWhenUsed="off"/>
    <w:lsdException w:name="B2 Medium List 1 Accent 5" w:semiHidden="off" w:uiPriority="65" w:unhideWhenUsed="off"/>
    <w:lsdException w:name="B2 Medium List 2 Accent 5" w:semiHidden="off" w:uiPriority="66" w:unhideWhenUsed="off"/>
    <w:lsdException w:name="B2 Medium Grid 1 Accent 5" w:semiHidden="off" w:uiPriority="67" w:unhideWhenUsed="off"/>
    <w:lsdException w:name="B2 Medium Grid 2 Accent 5" w:semiHidden="off" w:uiPriority="68" w:unhideWhenUsed="off"/>
    <w:lsdException w:name="B2 Medium Grid 3 Accent 5" w:semiHidden="off" w:uiPriority="69" w:unhideWhenUsed="off"/>
    <w:lsdException w:name="B2 Dark List Accent 5" w:semiHidden="off" w:uiPriority="70" w:unhideWhenUsed="off"/>
    <w:lsdException w:name="B2 Colorful Shading Accent 5" w:semiHidden="off" w:uiPriority="71" w:unhideWhenUsed="off"/>
    <w:lsdException w:name="B2 Colorful List Accent 5" w:semiHidden="off" w:uiPriority="72" w:unhideWhenUsed="off"/>
    <w:lsdException w:name="B2 Colorful Grid Accent 5" w:semiHidden="off" w:uiPriority="73" w:unhideWhenUsed="off"/>
    <w:lsdException w:name="B2 Light Shading Accent 6" w:semiHidden="off" w:uiPriority="60" w:unhideWhenUsed="off"/>
    <w:lsdException w:name="B2 Light List Accent 6" w:semiHidden="off" w:uiPriority="61" w:unhideWhenUsed="off"/>
    <w:lsdException w:name="B2 Light Grid Accent 6" w:semiHidden="off" w:uiPriority="62" w:unhideWhenUsed="off"/>
    <w:lsdException w:name="B2 Medium Shading 1 Accent 6" w:semiHidden="off" w:uiPriority="63" w:unhideWhenUsed="off"/>
    <w:lsdException w:name="B2 Medium Shading 2 Accent 6" w:semiHidden="off" w:uiPriority="64" w:unhideWhenUsed="off"/>
    <w:lsdException w:name="B2 Medium List 1 Accent 6" w:semiHidden="off" w:uiPriority="65" w:unhideWhenUsed="off"/>
    <w:lsdException w:name="B2 Medium List 2 Accent 6" w:semiHidden="off" w:uiPriority="66" w:unhideWhenUsed="off"/>
    <w:lsdException w:name="B2 Medium Grid 1 Accent 6" w:semiHidden="off" w:uiPriority="67" w:unhideWhenUsed="off"/>
    <w:lsdException w:name="B2 Medium Grid 2 Accent 6" w:semiHidden="off" w:uiPriority="68" w:unhideWhenUsed="off"/>
    <w:lsdException w:name="B2 Medium Grid 3 Accent 6" w:semiHidden="off" w:uiPriority="69" w:unhideWhenUsed="off"/>
    <w:lsdException w:name="B2 Dark List Accent 6" w:semiHidden="off" w:uiPriority="70" w:unhideWhenUsed="off"/>
    <w:lsdException w:name="B2 Colorful Shading Accent 6" w:semiHidden="off" w:uiPriority="71" w:unhideWhenUsed="off"/>
    <w:lsdException w:name="B2 Colorful List Accent 6" w:semiHidden="off" w:uiPriority="72" w:unhideWhenUsed="off"/>
    <w:lsdException w:name="B2 Colorful Grid Accent 6" w:semiHidden="off" w:uiPriority="73" w:unhideWhenUsed="off"/>
    <w:lsdException w:name="Subtle Emphasis" w:semiHidden="off" w:uiPriority="19" w:unhideWhenUsed="off" w:qFormat="on"/>
    <w:lsdException w:name="Intense Emphasis" w:semiHidden="off" w:uiPriority="21" w:unhideWhenUsed="off" w:qFormat="on"/>
    <w:lsdException w:name="Subtle Reference" w:semiHidden="off" w:uiPriority="31" w:unhideWhenUsed="off" w:qFormat="on"/>
    <w:lsdException w:name="Intense Reference" w:semiHidden="off" w:uiPriority="32" w:unhideWhenUsed="off" w:qFormat="on"/>
    <w:lsdException w:name="Book Title" w:semiHidden="off" w:uiPriority="33" w:unhideWhenUsed="off" w:qFormat="on"/>
    <w:lsdException w:name="Bibliography" w:uiPriority="37"/>
  </w:latentStyles>
  <w:style w:type="paragraph" w:default="1" w:styleId="Normal">
    <w:name w:val="Normal"/>
    <w:qFormat/>
    <w:rsid w:val="00571E24"/>
  </w:style>
  <w:style w:type="paragraph" w:styleId="Heading3">
    <w:name w:val="heading 3"/>
    <w:basedOn w:val="Normal"/>
    <w:link w:val="Heading3Char"/>
    <w:uiPriority w:val="9"/>
    <w:qFormat/>
    <w:rsid w:val="00E1735C"/>
    <w:pPr>
      <w:spacing w:before="45" w:after="45" w:line="240" w:lineRule="auto"/>
      <w:ind w:right="120"/>
      <w:outlineLvl w:val="2"/>
    </w:pPr>
    <w:rPr>
      <w:rFonts w:ascii="Arial" w:eastAsia="Times New Roman" w:hAnsi="Arial" w:cs="Arial"/>
      <w:b/>
      <w:bCs/>
      <w:color w:val="5C4E3D"/>
      <w:sz w:val="41"/>
      <w:szCs w:val="41"/>
    </w:rPr>
  </w:style>
  <w:style w:type="paragraph" w:styleId="Heading4">
    <w:name w:val="heading 4"/>
    <w:basedOn w:val="Normal"/>
    <w:link w:val="Heading4Char"/>
    <w:uiPriority w:val="9"/>
    <w:qFormat/>
    <w:rsid w:val="00E1735C"/>
    <w:pPr>
      <w:pBdr>
        <w:bottom w:val="dotted" w:sz="6" w:space="0" w:color="D8D8D8"/>
      </w:pBdr>
      <w:spacing w:before="120" w:after="120" w:line="240" w:lineRule="auto"/>
      <w:ind w:right="120"/>
      <w:outlineLvl w:val="3"/>
    </w:pPr>
    <w:rPr>
      <w:rFonts w:ascii="Arial" w:eastAsia="Times New Roman" w:hAnsi="Arial" w:cs="Arial"/>
      <w:b/>
      <w:bCs/>
      <w:color w:val="2C4373"/>
      <w:sz w:val="34"/>
      <w:szCs w:val="34"/>
    </w:rPr>
  </w:style>
  <w:style w:type="paragraph" w:styleId="Heading5">
    <w:name w:val="heading 5"/>
    <w:basedOn w:val="Normal"/>
    <w:link w:val="Heading5Char"/>
    <w:uiPriority w:val="9"/>
    <w:qFormat/>
    <w:rsid w:val="00E1735C"/>
    <w:pPr>
      <w:spacing w:before="120" w:after="120" w:line="240" w:lineRule="auto"/>
      <w:ind w:right="120"/>
      <w:outlineLvl w:val="4"/>
    </w:pPr>
    <w:rPr>
      <w:rFonts w:ascii="Arial" w:eastAsia="Times New Roman" w:hAnsi="Arial" w:cs="Arial"/>
      <w:b/>
      <w:bCs/>
      <w:color w:val="463B2E"/>
      <w:sz w:val="29"/>
      <w:szCs w:val="29"/>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735C"/>
    <w:rPr>
      <w:rFonts w:ascii="Arial" w:eastAsia="Times New Roman" w:hAnsi="Arial" w:cs="Arial"/>
      <w:b/>
      <w:bCs/>
      <w:color w:val="5C4E3D"/>
      <w:sz w:val="41"/>
      <w:szCs w:val="41"/>
    </w:rPr>
  </w:style>
  <w:style w:type="character" w:customStyle="1" w:styleId="Heading4Char">
    <w:name w:val="Heading 4 Char"/>
    <w:basedOn w:val="DefaultParagraphFont"/>
    <w:link w:val="Heading4"/>
    <w:uiPriority w:val="9"/>
    <w:rsid w:val="00E1735C"/>
    <w:rPr>
      <w:rFonts w:ascii="Arial" w:eastAsia="Times New Roman" w:hAnsi="Arial" w:cs="Arial"/>
      <w:b/>
      <w:bCs/>
      <w:color w:val="2C4373"/>
      <w:sz w:val="34"/>
      <w:szCs w:val="34"/>
    </w:rPr>
  </w:style>
  <w:style w:type="character" w:customStyle="1" w:styleId="Heading5Char">
    <w:name w:val="Heading 5 Char"/>
    <w:basedOn w:val="DefaultParagraphFont"/>
    <w:link w:val="Heading5"/>
    <w:uiPriority w:val="9"/>
    <w:rsid w:val="00E1735C"/>
    <w:rPr>
      <w:rFonts w:ascii="Arial" w:eastAsia="Times New Roman" w:hAnsi="Arial" w:cs="Arial"/>
      <w:b/>
      <w:bCs/>
      <w:color w:val="463B2E"/>
      <w:sz w:val="29"/>
      <w:szCs w:val="29"/>
    </w:rPr>
  </w:style>
  <w:style w:type="character" w:styleId="Hyperlink">
    <w:name w:val="Hyperlink"/>
    <w:basedOn w:val="DefaultParagraphFont"/>
    <w:uiPriority w:val="99"/>
    <w:semiHidden/>
    <w:unhideWhenUsed/>
    <w:rsid w:val="00E1735C"/>
    <w:rPr>
      <w:color w:val="820A0F"/>
      <w:u w:val="single"/>
    </w:rPr>
  </w:style>
  <w:style w:type="character" w:styleId="Emphasis">
    <w:name w:val="Emphasis"/>
    <w:basedOn w:val="DefaultParagraphFont"/>
    <w:uiPriority w:val="20"/>
    <w:qFormat/>
    <w:rsid w:val="00E1735C"/>
    <w:rPr>
      <w:i/>
      <w:iCs/>
    </w:rPr>
  </w:style>
  <w:style w:type="character" w:styleId="Strong">
    <w:name w:val="Strong"/>
    <w:basedOn w:val="DefaultParagraphFont"/>
    <w:uiPriority w:val="22"/>
    <w:qFormat/>
    <w:rsid w:val="00E1735C"/>
    <w:rPr>
      <w:b/>
      <w:bCs/>
    </w:rPr>
  </w:style>
  <w:style w:type="paragraph" w:styleId="NormalWeb">
    <w:name w:val="Normal (Web)"/>
    <w:basedOn w:val="Normal"/>
    <w:uiPriority w:val="99"/>
    <w:semiHidden/>
    <w:unhideWhenUsed/>
    <w:rsid w:val="00E1735C"/>
    <w:pPr>
      <w:spacing w:after="240" w:line="240" w:lineRule="auto"/>
      <w:ind w:left="30"/>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3/main">
  <w:divs>
    <w:div w:id="777994488">
      <w:bodyDiv w:val="1"/>
      <w:marLeft w:val="0"/>
      <w:marRight w:val="0"/>
      <w:marTop w:val="0"/>
      <w:marBottom w:val="0"/>
      <w:divBdr>
        <w:top w:val="none" w:sz="0" w:space="0" w:color="auto"/>
        <w:left w:val="none" w:sz="0" w:space="0" w:color="auto"/>
        <w:bottom w:val="none" w:sz="0" w:space="0" w:color="auto"/>
        <w:right w:val="none" w:sz="0" w:space="0" w:color="auto"/>
      </w:divBdr>
      <w:divsChild>
        <w:div w:id="668094284">
          <w:marLeft w:val="0"/>
          <w:marRight w:val="0"/>
          <w:marTop w:val="0"/>
          <w:marBottom w:val="0"/>
          <w:divBdr>
            <w:top w:val="none" w:sz="0" w:space="0" w:color="auto"/>
            <w:left w:val="none" w:sz="0" w:space="0" w:color="auto"/>
            <w:bottom w:val="none" w:sz="0" w:space="0" w:color="auto"/>
            <w:right w:val="none" w:sz="0" w:space="0" w:color="auto"/>
          </w:divBdr>
          <w:divsChild>
            <w:div w:id="1966353946">
              <w:marLeft w:val="2745"/>
              <w:marRight w:val="150"/>
              <w:marTop w:val="0"/>
              <w:marBottom w:val="0"/>
              <w:divBdr>
                <w:top w:val="none" w:sz="0" w:space="0" w:color="auto"/>
                <w:left w:val="none" w:sz="0" w:space="0" w:color="auto"/>
                <w:bottom w:val="none" w:sz="0" w:space="0" w:color="auto"/>
                <w:right w:val="none" w:sz="0" w:space="0" w:color="auto"/>
              </w:divBdr>
              <w:divsChild>
                <w:div w:id="1426802446">
                  <w:marLeft w:val="0"/>
                  <w:marRight w:val="0"/>
                  <w:marTop w:val="0"/>
                  <w:marBottom w:val="0"/>
                  <w:divBdr>
                    <w:top w:val="none" w:sz="0" w:space="0" w:color="auto"/>
                    <w:left w:val="none" w:sz="0" w:space="0" w:color="auto"/>
                    <w:bottom w:val="none" w:sz="0" w:space="0" w:color="auto"/>
                    <w:right w:val="none" w:sz="0" w:space="0" w:color="auto"/>
                  </w:divBdr>
                  <w:divsChild>
                    <w:div w:id="76631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elby@us.ibm.com" TargetMode="External"/><Relationship Id="rId5" Type="http://schemas.openxmlformats.org/officeDocument/2006/relationships/hyperlink" Target="mailto:mvillar@us.ibm.com" TargetMode="External"/><Relationship Id="rId4" Type="http://schemas.openxmlformats.org/officeDocument/2006/relationships/webSettings" Target="webSettings.xml"/></Relationships>
</file>

<file path=word/theme/theme1.xml><?xml version="1.0" encoding="utf-8"?>
<a:theme xmlns:a="http://schemas.openxmlformats.org/drawingml/2006/3/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2033</Words>
  <Characters>11593</Characters>
  <Application>Microsoft Office Word</Application>
  <DocSecurity>0</DocSecurity>
  <Lines>96</Lines>
  <Paragraphs>27</Paragraphs>
  <ScaleCrop>false</ScaleCrop>
  <Company/>
  <LinksUpToDate>false</LinksUpToDate>
  <CharactersWithSpaces>13599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Wallk</dc:creator>
  <cp:keywords/>
  <dc:description/>
  <cp:lastModifiedBy>Jeff Wallk</cp:lastModifiedBy>
  <cp:revision>1</cp:revision>
  <dcterms:created xsi:type="dcterms:W3CDTF">2007-01-15T13:39:00Z</dcterms:created>
  <dcterms:modified xsi:type="dcterms:W3CDTF">2007-01-15T13:40:00Z</dcterms:modified>
</cp:coreProperties>
</file>