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46FE" w:rsidRPr="00C546FE" w:rsidRDefault="00C546FE" w:rsidP="00C546F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46FE">
        <w:rPr>
          <w:rFonts w:ascii="Times New Roman" w:eastAsia="Times New Roman" w:hAnsi="Times New Roman" w:cs="Times New Roman"/>
          <w:b/>
          <w:bCs/>
          <w:kern w:val="36"/>
          <w:sz w:val="48"/>
          <w:szCs w:val="48"/>
        </w:rPr>
        <w:t>Health Information Technology Toolkit for Nursing Homes - Section 1. Adopt</w:t>
      </w:r>
    </w:p>
    <w:p w:rsidR="00C546FE" w:rsidRPr="00C546FE" w:rsidRDefault="00C546FE" w:rsidP="00C546FE">
      <w:pPr>
        <w:spacing w:after="0" w:line="240" w:lineRule="auto"/>
        <w:outlineLvl w:val="1"/>
        <w:rPr>
          <w:rFonts w:ascii="Times New Roman" w:eastAsia="Times New Roman" w:hAnsi="Times New Roman" w:cs="Times New Roman"/>
          <w:b/>
          <w:bCs/>
          <w:sz w:val="36"/>
          <w:szCs w:val="36"/>
        </w:rPr>
      </w:pPr>
      <w:r w:rsidRPr="00C546FE">
        <w:rPr>
          <w:rFonts w:ascii="Times New Roman" w:eastAsia="Times New Roman" w:hAnsi="Times New Roman" w:cs="Times New Roman"/>
          <w:b/>
          <w:bCs/>
          <w:sz w:val="36"/>
          <w:szCs w:val="36"/>
        </w:rPr>
        <w:t>1.1 Assess</w:t>
      </w:r>
    </w:p>
    <w:p w:rsidR="00C546FE" w:rsidRPr="00C546FE" w:rsidRDefault="00C546FE" w:rsidP="00C546FE">
      <w:pPr>
        <w:spacing w:after="100" w:afterAutospacing="1" w:line="240" w:lineRule="auto"/>
        <w:rPr>
          <w:rFonts w:ascii="Times New Roman" w:eastAsia="Times New Roman" w:hAnsi="Times New Roman" w:cs="Times New Roman"/>
          <w:sz w:val="24"/>
          <w:szCs w:val="24"/>
        </w:rPr>
      </w:pPr>
      <w:r w:rsidRPr="00C546FE">
        <w:rPr>
          <w:rFonts w:ascii="Times New Roman" w:eastAsia="Times New Roman" w:hAnsi="Times New Roman" w:cs="Times New Roman"/>
          <w:sz w:val="24"/>
          <w:szCs w:val="24"/>
        </w:rPr>
        <w:t xml:space="preserve">The Adopt - Assess section provides tools to start using the Health Information Technology (HIT) Toolkit for Nursing Homes. The tools in this section include surveys, inventories, and assessments of your staff's current attitudes toward information technology, computer skills, and technical infrastructure. The tools will help you develop a communication plan and business case, and can be used throughout the remainder of your project.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4" w:tgtFrame="_blank" w:history="1">
        <w:r w:rsidRPr="00C546FE">
          <w:rPr>
            <w:rFonts w:ascii="Times New Roman" w:eastAsia="Times New Roman" w:hAnsi="Times New Roman" w:cs="Times New Roman"/>
            <w:color w:val="0000FF"/>
            <w:sz w:val="24"/>
            <w:szCs w:val="24"/>
            <w:u w:val="single"/>
          </w:rPr>
          <w:t>1.1.1 HIT Toolkit Overview.</w:t>
        </w:r>
      </w:hyperlink>
      <w:r w:rsidRPr="00C546FE">
        <w:rPr>
          <w:rFonts w:ascii="Times New Roman" w:eastAsia="Times New Roman" w:hAnsi="Times New Roman" w:cs="Times New Roman"/>
          <w:sz w:val="24"/>
          <w:szCs w:val="24"/>
        </w:rPr>
        <w:t xml:space="preserve"> This overview provides an inventory of all the tools in the toolkit. The tools are listed in the order in which they would be used for a comprehensive HIT or electronic health record (EHR) project. Select tools may be used for acquiring individual applications, planning a major system acquisition, or overhauling existing systems. (4-page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5" w:tgtFrame="_blank" w:history="1">
        <w:r w:rsidRPr="00C546FE">
          <w:rPr>
            <w:rFonts w:ascii="Times New Roman" w:eastAsia="Times New Roman" w:hAnsi="Times New Roman" w:cs="Times New Roman"/>
            <w:color w:val="0000FF"/>
            <w:sz w:val="24"/>
            <w:szCs w:val="24"/>
            <w:u w:val="single"/>
          </w:rPr>
          <w:t>1.1.2 How to Use the Toolkit.</w:t>
        </w:r>
      </w:hyperlink>
      <w:r w:rsidRPr="00C546FE">
        <w:rPr>
          <w:rFonts w:ascii="Times New Roman" w:eastAsia="Times New Roman" w:hAnsi="Times New Roman" w:cs="Times New Roman"/>
          <w:sz w:val="24"/>
          <w:szCs w:val="24"/>
        </w:rPr>
        <w:t xml:space="preserve"> This Word document, PowerPoint presentation, and Webinar introduce the toolkit, with descriptions of its purpose, instructions for use, types of tools, and how individual tools are structured. (4-page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6" w:tgtFrame="_blank" w:history="1">
        <w:r w:rsidRPr="00C546FE">
          <w:rPr>
            <w:rFonts w:ascii="Times New Roman" w:eastAsia="Times New Roman" w:hAnsi="Times New Roman" w:cs="Times New Roman"/>
            <w:color w:val="0000FF"/>
            <w:sz w:val="24"/>
            <w:szCs w:val="24"/>
            <w:u w:val="single"/>
          </w:rPr>
          <w:t>1.1.3 How to Use the Toolkit.</w:t>
        </w:r>
      </w:hyperlink>
      <w:r w:rsidRPr="00C546FE">
        <w:rPr>
          <w:rFonts w:ascii="Times New Roman" w:eastAsia="Times New Roman" w:hAnsi="Times New Roman" w:cs="Times New Roman"/>
          <w:sz w:val="24"/>
          <w:szCs w:val="24"/>
        </w:rPr>
        <w:t xml:space="preserve"> (PowerPoint)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7" w:tgtFrame="_blank" w:history="1">
        <w:r w:rsidRPr="00C546FE">
          <w:rPr>
            <w:rFonts w:ascii="Times New Roman" w:eastAsia="Times New Roman" w:hAnsi="Times New Roman" w:cs="Times New Roman"/>
            <w:color w:val="0000FF"/>
            <w:sz w:val="24"/>
            <w:szCs w:val="24"/>
            <w:u w:val="single"/>
          </w:rPr>
          <w:t>1.1.4 How to Use the Toolkit.</w:t>
        </w:r>
      </w:hyperlink>
      <w:r w:rsidRPr="00C546FE">
        <w:rPr>
          <w:rFonts w:ascii="Times New Roman" w:eastAsia="Times New Roman" w:hAnsi="Times New Roman" w:cs="Times New Roman"/>
          <w:sz w:val="24"/>
          <w:szCs w:val="24"/>
        </w:rPr>
        <w:t xml:space="preserve"> (14-minute Webinar)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8" w:tgtFrame="_blank" w:history="1">
        <w:r w:rsidRPr="00C546FE">
          <w:rPr>
            <w:rFonts w:ascii="Times New Roman" w:eastAsia="Times New Roman" w:hAnsi="Times New Roman" w:cs="Times New Roman"/>
            <w:color w:val="0000FF"/>
            <w:sz w:val="24"/>
            <w:szCs w:val="24"/>
            <w:u w:val="single"/>
          </w:rPr>
          <w:t>1.1.5 HIT Governance.</w:t>
        </w:r>
      </w:hyperlink>
      <w:r w:rsidRPr="00C546FE">
        <w:rPr>
          <w:rFonts w:ascii="Times New Roman" w:eastAsia="Times New Roman" w:hAnsi="Times New Roman" w:cs="Times New Roman"/>
          <w:sz w:val="24"/>
          <w:szCs w:val="24"/>
        </w:rPr>
        <w:t xml:space="preserve"> Establishing an HIT governance structure provides authority for decision making at the lowest level possible for each type of decision to be made. Use this tool to identify the decision making tasks you may encounter and at what level each decision should be made. (3-page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9" w:tgtFrame="_blank" w:history="1">
        <w:r w:rsidRPr="00C546FE">
          <w:rPr>
            <w:rFonts w:ascii="Times New Roman" w:eastAsia="Times New Roman" w:hAnsi="Times New Roman" w:cs="Times New Roman"/>
            <w:color w:val="0000FF"/>
            <w:sz w:val="24"/>
            <w:szCs w:val="24"/>
            <w:u w:val="single"/>
          </w:rPr>
          <w:t>1.1.6 HIT Vision and Strategic Planning.</w:t>
        </w:r>
      </w:hyperlink>
      <w:r w:rsidRPr="00C546FE">
        <w:rPr>
          <w:rFonts w:ascii="Times New Roman" w:eastAsia="Times New Roman" w:hAnsi="Times New Roman" w:cs="Times New Roman"/>
          <w:sz w:val="24"/>
          <w:szCs w:val="24"/>
        </w:rPr>
        <w:t xml:space="preserve"> This Word document, PowerPoint presentation, and Webinar describe a vision for HIT in nursing homes, including the purpose of implementing an EHR, along with a conceptual model of an EHR and suggestions for strategic planning. (4-page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10" w:tgtFrame="_blank" w:history="1">
        <w:r w:rsidRPr="00C546FE">
          <w:rPr>
            <w:rFonts w:ascii="Times New Roman" w:eastAsia="Times New Roman" w:hAnsi="Times New Roman" w:cs="Times New Roman"/>
            <w:color w:val="0000FF"/>
            <w:sz w:val="24"/>
            <w:szCs w:val="24"/>
            <w:u w:val="single"/>
          </w:rPr>
          <w:t>1.1.7 HIT Vision and Strategic Planning.</w:t>
        </w:r>
      </w:hyperlink>
      <w:r w:rsidRPr="00C546FE">
        <w:rPr>
          <w:rFonts w:ascii="Times New Roman" w:eastAsia="Times New Roman" w:hAnsi="Times New Roman" w:cs="Times New Roman"/>
          <w:sz w:val="24"/>
          <w:szCs w:val="24"/>
        </w:rPr>
        <w:t xml:space="preserve"> (PowerPoint)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11" w:tgtFrame="_blank" w:history="1">
        <w:r w:rsidRPr="00C546FE">
          <w:rPr>
            <w:rFonts w:ascii="Times New Roman" w:eastAsia="Times New Roman" w:hAnsi="Times New Roman" w:cs="Times New Roman"/>
            <w:color w:val="0000FF"/>
            <w:sz w:val="24"/>
            <w:szCs w:val="24"/>
            <w:u w:val="single"/>
          </w:rPr>
          <w:t>1.1.8 HIT Vision and Strategic Planning.</w:t>
        </w:r>
      </w:hyperlink>
      <w:r w:rsidRPr="00C546FE">
        <w:rPr>
          <w:rFonts w:ascii="Times New Roman" w:eastAsia="Times New Roman" w:hAnsi="Times New Roman" w:cs="Times New Roman"/>
          <w:sz w:val="24"/>
          <w:szCs w:val="24"/>
        </w:rPr>
        <w:t xml:space="preserve"> (22-minute Web seminar)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12" w:tgtFrame="_blank" w:history="1">
        <w:r w:rsidRPr="00C546FE">
          <w:rPr>
            <w:rFonts w:ascii="Times New Roman" w:eastAsia="Times New Roman" w:hAnsi="Times New Roman" w:cs="Times New Roman"/>
            <w:color w:val="0000FF"/>
            <w:sz w:val="24"/>
            <w:szCs w:val="24"/>
            <w:u w:val="single"/>
          </w:rPr>
          <w:t>1.1.9 Communication Plan.</w:t>
        </w:r>
      </w:hyperlink>
      <w:r w:rsidRPr="00C546FE">
        <w:rPr>
          <w:rFonts w:ascii="Times New Roman" w:eastAsia="Times New Roman" w:hAnsi="Times New Roman" w:cs="Times New Roman"/>
          <w:sz w:val="24"/>
          <w:szCs w:val="24"/>
        </w:rPr>
        <w:t xml:space="preserve"> Regular communication with all stakeholder groups helps reduce the uncertainty inherent in adopting HIT, and engages all stakeholders. Build your communication plan using this template. (7-page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13" w:tgtFrame="_blank" w:history="1">
        <w:proofErr w:type="gramStart"/>
        <w:r w:rsidRPr="00C546FE">
          <w:rPr>
            <w:rFonts w:ascii="Times New Roman" w:eastAsia="Times New Roman" w:hAnsi="Times New Roman" w:cs="Times New Roman"/>
            <w:color w:val="0000FF"/>
            <w:sz w:val="24"/>
            <w:szCs w:val="24"/>
            <w:u w:val="single"/>
          </w:rPr>
          <w:t>1.1.10 HIT Attitudes Assessment.</w:t>
        </w:r>
        <w:proofErr w:type="gramEnd"/>
      </w:hyperlink>
      <w:r w:rsidRPr="00C546FE">
        <w:rPr>
          <w:rFonts w:ascii="Times New Roman" w:eastAsia="Times New Roman" w:hAnsi="Times New Roman" w:cs="Times New Roman"/>
          <w:sz w:val="24"/>
          <w:szCs w:val="24"/>
        </w:rPr>
        <w:t xml:space="preserve"> Use this tool to help understand your organization's readiness for adopting an EHR and other HIT. (5-page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14" w:tgtFrame="_blank" w:history="1">
        <w:proofErr w:type="gramStart"/>
        <w:r w:rsidRPr="00C546FE">
          <w:rPr>
            <w:rFonts w:ascii="Times New Roman" w:eastAsia="Times New Roman" w:hAnsi="Times New Roman" w:cs="Times New Roman"/>
            <w:color w:val="0000FF"/>
            <w:sz w:val="24"/>
            <w:szCs w:val="24"/>
            <w:u w:val="single"/>
          </w:rPr>
          <w:t>1.1.11 Computer Skills Survey.</w:t>
        </w:r>
        <w:proofErr w:type="gramEnd"/>
      </w:hyperlink>
      <w:r w:rsidRPr="00C546FE">
        <w:rPr>
          <w:rFonts w:ascii="Times New Roman" w:eastAsia="Times New Roman" w:hAnsi="Times New Roman" w:cs="Times New Roman"/>
          <w:sz w:val="24"/>
          <w:szCs w:val="24"/>
        </w:rPr>
        <w:t xml:space="preserve"> This survey helps identify the skills needed for implementing an EHR and other HIT. (2-page Word doc) </w:t>
      </w:r>
    </w:p>
    <w:p w:rsidR="00C546FE" w:rsidRPr="00C546FE" w:rsidRDefault="00C546FE" w:rsidP="00C546FE">
      <w:pPr>
        <w:spacing w:before="100" w:beforeAutospacing="1" w:after="0" w:line="240" w:lineRule="auto"/>
        <w:rPr>
          <w:rFonts w:ascii="Times New Roman" w:eastAsia="Times New Roman" w:hAnsi="Times New Roman" w:cs="Times New Roman"/>
          <w:sz w:val="24"/>
          <w:szCs w:val="24"/>
        </w:rPr>
      </w:pPr>
      <w:hyperlink r:id="rId15" w:tgtFrame="_blank" w:history="1">
        <w:proofErr w:type="gramStart"/>
        <w:r w:rsidRPr="00C546FE">
          <w:rPr>
            <w:rFonts w:ascii="Times New Roman" w:eastAsia="Times New Roman" w:hAnsi="Times New Roman" w:cs="Times New Roman"/>
            <w:color w:val="0000FF"/>
            <w:sz w:val="24"/>
            <w:szCs w:val="24"/>
            <w:u w:val="single"/>
          </w:rPr>
          <w:t>1.1.12 TCO/ROI Analysis.</w:t>
        </w:r>
        <w:proofErr w:type="gramEnd"/>
      </w:hyperlink>
      <w:r w:rsidRPr="00C546FE">
        <w:rPr>
          <w:rFonts w:ascii="Times New Roman" w:eastAsia="Times New Roman" w:hAnsi="Times New Roman" w:cs="Times New Roman"/>
          <w:sz w:val="24"/>
          <w:szCs w:val="24"/>
        </w:rPr>
        <w:t xml:space="preserve"> Use this spreadsheet to estimate the total cost of ownership (TCO) and return on investment (ROI) for HIT applications being considered for acquisition, and to evaluate benefits realized. (Excel file) </w:t>
      </w:r>
    </w:p>
    <w:p w:rsidR="00C546FE" w:rsidRPr="00C546FE" w:rsidRDefault="00C546FE" w:rsidP="00C546FE">
      <w:pPr>
        <w:spacing w:after="100" w:afterAutospacing="1" w:line="240" w:lineRule="auto"/>
        <w:rPr>
          <w:rFonts w:ascii="Times New Roman" w:eastAsia="Times New Roman" w:hAnsi="Times New Roman" w:cs="Times New Roman"/>
          <w:sz w:val="24"/>
          <w:szCs w:val="24"/>
        </w:rPr>
      </w:pPr>
      <w:r w:rsidRPr="00C546FE">
        <w:rPr>
          <w:rFonts w:ascii="Times New Roman" w:eastAsia="Times New Roman" w:hAnsi="Times New Roman" w:cs="Times New Roman"/>
          <w:sz w:val="24"/>
          <w:szCs w:val="24"/>
        </w:rPr>
        <w:br/>
      </w:r>
      <w:hyperlink r:id="rId16" w:tgtFrame="_blank" w:history="1">
        <w:r w:rsidRPr="00C546FE">
          <w:rPr>
            <w:rFonts w:ascii="Times New Roman" w:eastAsia="Times New Roman" w:hAnsi="Times New Roman" w:cs="Times New Roman"/>
            <w:color w:val="0000FF"/>
            <w:sz w:val="24"/>
            <w:szCs w:val="24"/>
            <w:u w:val="single"/>
          </w:rPr>
          <w:t xml:space="preserve">1.1.13 </w:t>
        </w:r>
        <w:proofErr w:type="gramStart"/>
        <w:r w:rsidRPr="00C546FE">
          <w:rPr>
            <w:rFonts w:ascii="Times New Roman" w:eastAsia="Times New Roman" w:hAnsi="Times New Roman" w:cs="Times New Roman"/>
            <w:color w:val="0000FF"/>
            <w:sz w:val="24"/>
            <w:szCs w:val="24"/>
            <w:u w:val="single"/>
          </w:rPr>
          <w:t>IT</w:t>
        </w:r>
        <w:proofErr w:type="gramEnd"/>
        <w:r w:rsidRPr="00C546FE">
          <w:rPr>
            <w:rFonts w:ascii="Times New Roman" w:eastAsia="Times New Roman" w:hAnsi="Times New Roman" w:cs="Times New Roman"/>
            <w:color w:val="0000FF"/>
            <w:sz w:val="24"/>
            <w:szCs w:val="24"/>
            <w:u w:val="single"/>
          </w:rPr>
          <w:t xml:space="preserve"> Staffing Inventory.</w:t>
        </w:r>
      </w:hyperlink>
      <w:r w:rsidRPr="00C546FE">
        <w:rPr>
          <w:rFonts w:ascii="Times New Roman" w:eastAsia="Times New Roman" w:hAnsi="Times New Roman" w:cs="Times New Roman"/>
          <w:sz w:val="24"/>
          <w:szCs w:val="24"/>
        </w:rPr>
        <w:t xml:space="preserve"> Use the IT staffing inventory to determine which information technology (IT) staffing skills may be needed to implement specific HIT components. (5-page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17" w:tgtFrame="_blank" w:history="1">
        <w:r w:rsidRPr="00C546FE">
          <w:rPr>
            <w:rFonts w:ascii="Times New Roman" w:eastAsia="Times New Roman" w:hAnsi="Times New Roman" w:cs="Times New Roman"/>
            <w:color w:val="0000FF"/>
            <w:sz w:val="24"/>
            <w:szCs w:val="24"/>
            <w:u w:val="single"/>
          </w:rPr>
          <w:t xml:space="preserve">1.1.14 </w:t>
        </w:r>
        <w:proofErr w:type="gramStart"/>
        <w:r w:rsidRPr="00C546FE">
          <w:rPr>
            <w:rFonts w:ascii="Times New Roman" w:eastAsia="Times New Roman" w:hAnsi="Times New Roman" w:cs="Times New Roman"/>
            <w:color w:val="0000FF"/>
            <w:sz w:val="24"/>
            <w:szCs w:val="24"/>
            <w:u w:val="single"/>
          </w:rPr>
          <w:t>IT</w:t>
        </w:r>
        <w:proofErr w:type="gramEnd"/>
        <w:r w:rsidRPr="00C546FE">
          <w:rPr>
            <w:rFonts w:ascii="Times New Roman" w:eastAsia="Times New Roman" w:hAnsi="Times New Roman" w:cs="Times New Roman"/>
            <w:color w:val="0000FF"/>
            <w:sz w:val="24"/>
            <w:szCs w:val="24"/>
            <w:u w:val="single"/>
          </w:rPr>
          <w:t xml:space="preserve"> System Inventory.</w:t>
        </w:r>
      </w:hyperlink>
      <w:r w:rsidRPr="00C546FE">
        <w:rPr>
          <w:rFonts w:ascii="Times New Roman" w:eastAsia="Times New Roman" w:hAnsi="Times New Roman" w:cs="Times New Roman"/>
          <w:sz w:val="24"/>
          <w:szCs w:val="24"/>
        </w:rPr>
        <w:t xml:space="preserve"> Use the IT staffing inventory to identify and document all existing IT hardware in order to assess and budget for hardware required for each HIT application acquired. (5-page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18" w:tgtFrame="_blank" w:history="1">
        <w:proofErr w:type="gramStart"/>
        <w:r w:rsidRPr="00C546FE">
          <w:rPr>
            <w:rFonts w:ascii="Times New Roman" w:eastAsia="Times New Roman" w:hAnsi="Times New Roman" w:cs="Times New Roman"/>
            <w:color w:val="0000FF"/>
            <w:sz w:val="24"/>
            <w:szCs w:val="24"/>
            <w:u w:val="single"/>
          </w:rPr>
          <w:t>1.1.15 HIT Security Risk Analysis and Controls Assessment.</w:t>
        </w:r>
        <w:proofErr w:type="gramEnd"/>
      </w:hyperlink>
      <w:r w:rsidRPr="00C546FE">
        <w:rPr>
          <w:rFonts w:ascii="Times New Roman" w:eastAsia="Times New Roman" w:hAnsi="Times New Roman" w:cs="Times New Roman"/>
          <w:sz w:val="24"/>
          <w:szCs w:val="24"/>
        </w:rPr>
        <w:t xml:space="preserve"> Use this tool to help assess needs related to compliance with HIPAA Security Rules and data breach notification laws in Minnesota. (7-page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19" w:tgtFrame="_blank" w:history="1">
        <w:proofErr w:type="gramStart"/>
        <w:r w:rsidRPr="00C546FE">
          <w:rPr>
            <w:rFonts w:ascii="Times New Roman" w:eastAsia="Times New Roman" w:hAnsi="Times New Roman" w:cs="Times New Roman"/>
            <w:color w:val="0000FF"/>
            <w:sz w:val="24"/>
            <w:szCs w:val="24"/>
            <w:u w:val="single"/>
          </w:rPr>
          <w:t>1.1.16 Contingency Plan Assessment.</w:t>
        </w:r>
        <w:proofErr w:type="gramEnd"/>
      </w:hyperlink>
      <w:r w:rsidRPr="00C546FE">
        <w:rPr>
          <w:rFonts w:ascii="Times New Roman" w:eastAsia="Times New Roman" w:hAnsi="Times New Roman" w:cs="Times New Roman"/>
          <w:sz w:val="24"/>
          <w:szCs w:val="24"/>
        </w:rPr>
        <w:t xml:space="preserve"> Use the contingency plan assessment tool to identify and document all existing back up functions, emergency mode operations, and disaster recovery plans in existence, and to plan for enhancements as more mission critical, clinical information systems are adopted and paper-based systems are eliminated. (5-page Word doc) </w:t>
      </w:r>
    </w:p>
    <w:p w:rsidR="00C546FE" w:rsidRPr="00C546FE" w:rsidRDefault="00C546FE" w:rsidP="00C546FE">
      <w:pPr>
        <w:spacing w:before="100" w:beforeAutospacing="1" w:after="0" w:line="240" w:lineRule="auto"/>
        <w:rPr>
          <w:rFonts w:ascii="Times New Roman" w:eastAsia="Times New Roman" w:hAnsi="Times New Roman" w:cs="Times New Roman"/>
          <w:sz w:val="24"/>
          <w:szCs w:val="24"/>
        </w:rPr>
      </w:pPr>
      <w:hyperlink r:id="rId20" w:tgtFrame="_blank" w:history="1">
        <w:proofErr w:type="gramStart"/>
        <w:r w:rsidRPr="00C546FE">
          <w:rPr>
            <w:rFonts w:ascii="Times New Roman" w:eastAsia="Times New Roman" w:hAnsi="Times New Roman" w:cs="Times New Roman"/>
            <w:color w:val="0000FF"/>
            <w:sz w:val="24"/>
            <w:szCs w:val="24"/>
            <w:u w:val="single"/>
          </w:rPr>
          <w:t>1.1.17 Application Interface Inventory.</w:t>
        </w:r>
        <w:proofErr w:type="gramEnd"/>
      </w:hyperlink>
      <w:r w:rsidRPr="00C546FE">
        <w:rPr>
          <w:rFonts w:ascii="Times New Roman" w:eastAsia="Times New Roman" w:hAnsi="Times New Roman" w:cs="Times New Roman"/>
          <w:sz w:val="24"/>
          <w:szCs w:val="24"/>
        </w:rPr>
        <w:t xml:space="preserve"> This inventory serves as a foundation for assessing which interfaces may be needed with new applications. Use the inventory to identify all current applications, to identify who is responsible for each application, and to describe how they may interface with one another. (Excel file) </w:t>
      </w:r>
    </w:p>
    <w:p w:rsidR="00C546FE" w:rsidRPr="00C546FE" w:rsidRDefault="00C546FE" w:rsidP="00C546FE">
      <w:pPr>
        <w:spacing w:after="100" w:afterAutospacing="1" w:line="240" w:lineRule="auto"/>
        <w:rPr>
          <w:rFonts w:ascii="Times New Roman" w:eastAsia="Times New Roman" w:hAnsi="Times New Roman" w:cs="Times New Roman"/>
          <w:sz w:val="24"/>
          <w:szCs w:val="24"/>
        </w:rPr>
      </w:pPr>
      <w:r w:rsidRPr="00C546FE">
        <w:rPr>
          <w:rFonts w:ascii="Times New Roman" w:eastAsia="Times New Roman" w:hAnsi="Times New Roman" w:cs="Times New Roman"/>
          <w:sz w:val="24"/>
          <w:szCs w:val="24"/>
        </w:rPr>
        <w:br/>
      </w:r>
      <w:hyperlink r:id="rId21" w:tgtFrame="_blank" w:history="1">
        <w:proofErr w:type="gramStart"/>
        <w:r w:rsidRPr="00C546FE">
          <w:rPr>
            <w:rFonts w:ascii="Times New Roman" w:eastAsia="Times New Roman" w:hAnsi="Times New Roman" w:cs="Times New Roman"/>
            <w:color w:val="0000FF"/>
            <w:sz w:val="24"/>
            <w:szCs w:val="24"/>
            <w:u w:val="single"/>
          </w:rPr>
          <w:t>1.1.18 Financing Resources.</w:t>
        </w:r>
        <w:proofErr w:type="gramEnd"/>
      </w:hyperlink>
      <w:r w:rsidRPr="00C546FE">
        <w:rPr>
          <w:rFonts w:ascii="Times New Roman" w:eastAsia="Times New Roman" w:hAnsi="Times New Roman" w:cs="Times New Roman"/>
          <w:sz w:val="24"/>
          <w:szCs w:val="24"/>
        </w:rPr>
        <w:t xml:space="preserve"> Paying for a major HIT investment is challenging for every organization, but especially for independent nursing homes. This tool provides a description of various sources of funds that may be available for HIT if you are in an independent facility. (4-page Word doc) </w:t>
      </w:r>
    </w:p>
    <w:p w:rsidR="00C546FE" w:rsidRPr="00C546FE" w:rsidRDefault="00C546FE" w:rsidP="00C546FE">
      <w:pPr>
        <w:spacing w:before="100" w:beforeAutospacing="1" w:after="0" w:line="240" w:lineRule="auto"/>
        <w:outlineLvl w:val="1"/>
        <w:rPr>
          <w:rFonts w:ascii="Times New Roman" w:eastAsia="Times New Roman" w:hAnsi="Times New Roman" w:cs="Times New Roman"/>
          <w:b/>
          <w:bCs/>
          <w:sz w:val="36"/>
          <w:szCs w:val="36"/>
        </w:rPr>
      </w:pPr>
      <w:r w:rsidRPr="00C546FE">
        <w:rPr>
          <w:rFonts w:ascii="Times New Roman" w:eastAsia="Times New Roman" w:hAnsi="Times New Roman" w:cs="Times New Roman"/>
          <w:b/>
          <w:bCs/>
          <w:sz w:val="36"/>
          <w:szCs w:val="36"/>
        </w:rPr>
        <w:t xml:space="preserve">1.2 Plan </w:t>
      </w:r>
    </w:p>
    <w:p w:rsidR="00C546FE" w:rsidRPr="00C546FE" w:rsidRDefault="00C546FE" w:rsidP="00C546FE">
      <w:pPr>
        <w:spacing w:after="100" w:afterAutospacing="1" w:line="240" w:lineRule="auto"/>
        <w:rPr>
          <w:rFonts w:ascii="Times New Roman" w:eastAsia="Times New Roman" w:hAnsi="Times New Roman" w:cs="Times New Roman"/>
          <w:sz w:val="24"/>
          <w:szCs w:val="24"/>
        </w:rPr>
      </w:pPr>
      <w:r w:rsidRPr="00C546FE">
        <w:rPr>
          <w:rFonts w:ascii="Times New Roman" w:eastAsia="Times New Roman" w:hAnsi="Times New Roman" w:cs="Times New Roman"/>
          <w:sz w:val="24"/>
          <w:szCs w:val="24"/>
        </w:rPr>
        <w:t xml:space="preserve">The Adopt - Plan section emphasizes the importance of planning ahead. Investing the time and resources up front will mean spending less time and resources during implementation, and reaping greater value. Don't overlook dependencies or important steps that reduce risk. Many HIT vendors do not support the planning effort, focusing instead on selling and installing systems, and moving on to the next customer. Vendors who recognize the need for a focus on planning have higher customer satisfaction. Yet, the onus for the majority of planning is on the organization.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22" w:tgtFrame="_blank" w:history="1">
        <w:r w:rsidRPr="00C546FE">
          <w:rPr>
            <w:rFonts w:ascii="Times New Roman" w:eastAsia="Times New Roman" w:hAnsi="Times New Roman" w:cs="Times New Roman"/>
            <w:color w:val="0000FF"/>
            <w:sz w:val="24"/>
            <w:szCs w:val="24"/>
            <w:u w:val="single"/>
          </w:rPr>
          <w:t>1.2.1 HIT Steering Committee.</w:t>
        </w:r>
      </w:hyperlink>
      <w:r w:rsidRPr="00C546FE">
        <w:rPr>
          <w:rFonts w:ascii="Times New Roman" w:eastAsia="Times New Roman" w:hAnsi="Times New Roman" w:cs="Times New Roman"/>
          <w:sz w:val="24"/>
          <w:szCs w:val="24"/>
        </w:rPr>
        <w:t xml:space="preserve"> A major investment in HIT requires engaging representatives from all key stakeholder groups. This tool helps you determine how to best to form and operate </w:t>
      </w:r>
      <w:r w:rsidRPr="00C546FE">
        <w:rPr>
          <w:rFonts w:ascii="Times New Roman" w:eastAsia="Times New Roman" w:hAnsi="Times New Roman" w:cs="Times New Roman"/>
          <w:sz w:val="24"/>
          <w:szCs w:val="24"/>
        </w:rPr>
        <w:lastRenderedPageBreak/>
        <w:t xml:space="preserve">the HIT steering committee for in HIT planning, including using domain teams. (3-page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23" w:tgtFrame="_blank" w:history="1">
        <w:r w:rsidRPr="00C546FE">
          <w:rPr>
            <w:rFonts w:ascii="Times New Roman" w:eastAsia="Times New Roman" w:hAnsi="Times New Roman" w:cs="Times New Roman"/>
            <w:color w:val="0000FF"/>
            <w:sz w:val="24"/>
            <w:szCs w:val="24"/>
            <w:u w:val="single"/>
          </w:rPr>
          <w:t>1.2.2 Meetings, Agendas, and Minutes.</w:t>
        </w:r>
      </w:hyperlink>
      <w:r w:rsidRPr="00C546FE">
        <w:rPr>
          <w:rFonts w:ascii="Times New Roman" w:eastAsia="Times New Roman" w:hAnsi="Times New Roman" w:cs="Times New Roman"/>
          <w:sz w:val="24"/>
          <w:szCs w:val="24"/>
        </w:rPr>
        <w:t xml:space="preserve"> Committee meetings are essential for planning, making decisions about HIT, and optimizing the use of HIT. This tool includes tips to help you find ways to work more effectively in meetings, along with a sample agenda and minutes. (4-page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24" w:tgtFrame="_blank" w:history="1">
        <w:r w:rsidRPr="00C546FE">
          <w:rPr>
            <w:rFonts w:ascii="Times New Roman" w:eastAsia="Times New Roman" w:hAnsi="Times New Roman" w:cs="Times New Roman"/>
            <w:color w:val="0000FF"/>
            <w:sz w:val="24"/>
            <w:szCs w:val="24"/>
            <w:u w:val="single"/>
          </w:rPr>
          <w:t xml:space="preserve">1.2.3 Clinical </w:t>
        </w:r>
        <w:proofErr w:type="gramStart"/>
        <w:r w:rsidRPr="00C546FE">
          <w:rPr>
            <w:rFonts w:ascii="Times New Roman" w:eastAsia="Times New Roman" w:hAnsi="Times New Roman" w:cs="Times New Roman"/>
            <w:color w:val="0000FF"/>
            <w:sz w:val="24"/>
            <w:szCs w:val="24"/>
            <w:u w:val="single"/>
          </w:rPr>
          <w:t>IT</w:t>
        </w:r>
        <w:proofErr w:type="gramEnd"/>
        <w:r w:rsidRPr="00C546FE">
          <w:rPr>
            <w:rFonts w:ascii="Times New Roman" w:eastAsia="Times New Roman" w:hAnsi="Times New Roman" w:cs="Times New Roman"/>
            <w:color w:val="0000FF"/>
            <w:sz w:val="24"/>
            <w:szCs w:val="24"/>
            <w:u w:val="single"/>
          </w:rPr>
          <w:t xml:space="preserve"> Leadership.</w:t>
        </w:r>
      </w:hyperlink>
      <w:r w:rsidRPr="00C546FE">
        <w:rPr>
          <w:rFonts w:ascii="Times New Roman" w:eastAsia="Times New Roman" w:hAnsi="Times New Roman" w:cs="Times New Roman"/>
          <w:sz w:val="24"/>
          <w:szCs w:val="24"/>
        </w:rPr>
        <w:t xml:space="preserve"> HIT projects demand leadership from nurses and physicians. Other clinicians and administrative/financial staff also play key roles. This tool outlines their roles. (3-page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25" w:tgtFrame="_blank" w:history="1">
        <w:r w:rsidRPr="00C546FE">
          <w:rPr>
            <w:rFonts w:ascii="Times New Roman" w:eastAsia="Times New Roman" w:hAnsi="Times New Roman" w:cs="Times New Roman"/>
            <w:color w:val="0000FF"/>
            <w:sz w:val="24"/>
            <w:szCs w:val="24"/>
            <w:u w:val="single"/>
          </w:rPr>
          <w:t>1.2.4 Project Management.</w:t>
        </w:r>
      </w:hyperlink>
      <w:r w:rsidRPr="00C546FE">
        <w:rPr>
          <w:rFonts w:ascii="Times New Roman" w:eastAsia="Times New Roman" w:hAnsi="Times New Roman" w:cs="Times New Roman"/>
          <w:sz w:val="24"/>
          <w:szCs w:val="24"/>
        </w:rPr>
        <w:t xml:space="preserve"> This tool differentiates the roles of project management and program management, and lists the general functions a project manager is expected to perform, including project documentation. (3-page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26" w:tgtFrame="_blank" w:history="1">
        <w:r w:rsidRPr="00C546FE">
          <w:rPr>
            <w:rFonts w:ascii="Times New Roman" w:eastAsia="Times New Roman" w:hAnsi="Times New Roman" w:cs="Times New Roman"/>
            <w:color w:val="0000FF"/>
            <w:sz w:val="24"/>
            <w:szCs w:val="24"/>
            <w:u w:val="single"/>
          </w:rPr>
          <w:t>1.2.5 Project Manager Job Description.</w:t>
        </w:r>
      </w:hyperlink>
      <w:r w:rsidRPr="00C546FE">
        <w:rPr>
          <w:rFonts w:ascii="Times New Roman" w:eastAsia="Times New Roman" w:hAnsi="Times New Roman" w:cs="Times New Roman"/>
          <w:sz w:val="24"/>
          <w:szCs w:val="24"/>
        </w:rPr>
        <w:t xml:space="preserve"> This job description provides the key functions, responsibilities, skills, and experience required by an HIT project manager. (2-page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27" w:tgtFrame="_blank" w:history="1">
        <w:r w:rsidRPr="00C546FE">
          <w:rPr>
            <w:rFonts w:ascii="Times New Roman" w:eastAsia="Times New Roman" w:hAnsi="Times New Roman" w:cs="Times New Roman"/>
            <w:color w:val="0000FF"/>
            <w:sz w:val="24"/>
            <w:szCs w:val="24"/>
            <w:u w:val="single"/>
          </w:rPr>
          <w:t>1.2.6 Goal Setting.</w:t>
        </w:r>
      </w:hyperlink>
      <w:r w:rsidRPr="00C546FE">
        <w:rPr>
          <w:rFonts w:ascii="Times New Roman" w:eastAsia="Times New Roman" w:hAnsi="Times New Roman" w:cs="Times New Roman"/>
          <w:sz w:val="24"/>
          <w:szCs w:val="24"/>
        </w:rPr>
        <w:t xml:space="preserve"> Each organization needs to evaluate what it wants out of HIT, and define its own </w:t>
      </w:r>
      <w:proofErr w:type="spellStart"/>
      <w:r w:rsidRPr="00C546FE">
        <w:rPr>
          <w:rFonts w:ascii="Times New Roman" w:eastAsia="Times New Roman" w:hAnsi="Times New Roman" w:cs="Times New Roman"/>
          <w:sz w:val="24"/>
          <w:szCs w:val="24"/>
        </w:rPr>
        <w:t>goals.This</w:t>
      </w:r>
      <w:proofErr w:type="spellEnd"/>
      <w:r w:rsidRPr="00C546FE">
        <w:rPr>
          <w:rFonts w:ascii="Times New Roman" w:eastAsia="Times New Roman" w:hAnsi="Times New Roman" w:cs="Times New Roman"/>
          <w:sz w:val="24"/>
          <w:szCs w:val="24"/>
        </w:rPr>
        <w:t xml:space="preserve"> tool provides an overview of goal setting and template for tracking goals. (5-page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28" w:tgtFrame="_blank" w:history="1">
        <w:r w:rsidRPr="00C546FE">
          <w:rPr>
            <w:rFonts w:ascii="Times New Roman" w:eastAsia="Times New Roman" w:hAnsi="Times New Roman" w:cs="Times New Roman"/>
            <w:color w:val="0000FF"/>
            <w:sz w:val="24"/>
            <w:szCs w:val="24"/>
            <w:u w:val="single"/>
          </w:rPr>
          <w:t>1.2.7 Change Management.</w:t>
        </w:r>
      </w:hyperlink>
      <w:r w:rsidRPr="00C546FE">
        <w:rPr>
          <w:rFonts w:ascii="Times New Roman" w:eastAsia="Times New Roman" w:hAnsi="Times New Roman" w:cs="Times New Roman"/>
          <w:sz w:val="24"/>
          <w:szCs w:val="24"/>
        </w:rPr>
        <w:t xml:space="preserve"> This overview describes change management, including change stages, transformation, agents of change, and possible barriers to making changes in your nursing home. (5-page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29" w:tgtFrame="_blank" w:history="1">
        <w:r w:rsidRPr="00C546FE">
          <w:rPr>
            <w:rFonts w:ascii="Times New Roman" w:eastAsia="Times New Roman" w:hAnsi="Times New Roman" w:cs="Times New Roman"/>
            <w:color w:val="0000FF"/>
            <w:sz w:val="24"/>
            <w:szCs w:val="24"/>
            <w:u w:val="single"/>
          </w:rPr>
          <w:t>1.2.8 Workflow and Process Mapping.</w:t>
        </w:r>
      </w:hyperlink>
      <w:r w:rsidRPr="00C546FE">
        <w:rPr>
          <w:rFonts w:ascii="Times New Roman" w:eastAsia="Times New Roman" w:hAnsi="Times New Roman" w:cs="Times New Roman"/>
          <w:sz w:val="24"/>
          <w:szCs w:val="24"/>
        </w:rPr>
        <w:t xml:space="preserve"> This Word document, PowerPoint presentation, and Webinar provide information on the purpose and steps involved in workflow and process redesign, as well as setting expectations to achieve goals, initiating change management, and using process mapping as a means to manage change. (5-page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30" w:tgtFrame="_blank" w:history="1">
        <w:r w:rsidRPr="00C546FE">
          <w:rPr>
            <w:rFonts w:ascii="Times New Roman" w:eastAsia="Times New Roman" w:hAnsi="Times New Roman" w:cs="Times New Roman"/>
            <w:color w:val="0000FF"/>
            <w:sz w:val="24"/>
            <w:szCs w:val="24"/>
            <w:u w:val="single"/>
          </w:rPr>
          <w:t xml:space="preserve">1.2.9 Workflow and Process </w:t>
        </w:r>
        <w:proofErr w:type="gramStart"/>
        <w:r w:rsidRPr="00C546FE">
          <w:rPr>
            <w:rFonts w:ascii="Times New Roman" w:eastAsia="Times New Roman" w:hAnsi="Times New Roman" w:cs="Times New Roman"/>
            <w:color w:val="0000FF"/>
            <w:sz w:val="24"/>
            <w:szCs w:val="24"/>
            <w:u w:val="single"/>
          </w:rPr>
          <w:t>Mapping</w:t>
        </w:r>
        <w:proofErr w:type="gramEnd"/>
        <w:r w:rsidRPr="00C546FE">
          <w:rPr>
            <w:rFonts w:ascii="Times New Roman" w:eastAsia="Times New Roman" w:hAnsi="Times New Roman" w:cs="Times New Roman"/>
            <w:color w:val="0000FF"/>
            <w:sz w:val="24"/>
            <w:szCs w:val="24"/>
            <w:u w:val="single"/>
          </w:rPr>
          <w:t xml:space="preserve"> handouts.</w:t>
        </w:r>
      </w:hyperlink>
      <w:r w:rsidRPr="00C546FE">
        <w:rPr>
          <w:rFonts w:ascii="Times New Roman" w:eastAsia="Times New Roman" w:hAnsi="Times New Roman" w:cs="Times New Roman"/>
          <w:sz w:val="24"/>
          <w:szCs w:val="24"/>
        </w:rPr>
        <w:t xml:space="preserve"> (PowerPoint)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31" w:tgtFrame="_blank" w:history="1">
        <w:proofErr w:type="gramStart"/>
        <w:r w:rsidRPr="00C546FE">
          <w:rPr>
            <w:rFonts w:ascii="Times New Roman" w:eastAsia="Times New Roman" w:hAnsi="Times New Roman" w:cs="Times New Roman"/>
            <w:color w:val="0000FF"/>
            <w:sz w:val="24"/>
            <w:szCs w:val="24"/>
            <w:u w:val="single"/>
          </w:rPr>
          <w:t>1.2.10 Workflow and Process Mapping.</w:t>
        </w:r>
        <w:proofErr w:type="gramEnd"/>
      </w:hyperlink>
      <w:r w:rsidRPr="00C546FE">
        <w:rPr>
          <w:rFonts w:ascii="Times New Roman" w:eastAsia="Times New Roman" w:hAnsi="Times New Roman" w:cs="Times New Roman"/>
          <w:sz w:val="24"/>
          <w:szCs w:val="24"/>
        </w:rPr>
        <w:t xml:space="preserve"> (26-minute Web seminar)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32" w:tgtFrame="_blank" w:history="1">
        <w:proofErr w:type="gramStart"/>
        <w:r w:rsidRPr="00C546FE">
          <w:rPr>
            <w:rFonts w:ascii="Times New Roman" w:eastAsia="Times New Roman" w:hAnsi="Times New Roman" w:cs="Times New Roman"/>
            <w:color w:val="0000FF"/>
            <w:sz w:val="24"/>
            <w:szCs w:val="24"/>
            <w:u w:val="single"/>
          </w:rPr>
          <w:t>1.2.11 Chart Conversion Planning.</w:t>
        </w:r>
        <w:proofErr w:type="gramEnd"/>
      </w:hyperlink>
      <w:r w:rsidRPr="00C546FE">
        <w:rPr>
          <w:rFonts w:ascii="Times New Roman" w:eastAsia="Times New Roman" w:hAnsi="Times New Roman" w:cs="Times New Roman"/>
          <w:sz w:val="24"/>
          <w:szCs w:val="24"/>
        </w:rPr>
        <w:t xml:space="preserve"> Use his tool to determine how to move key information from paper charts into an EHR system. (3-page Word doc) </w:t>
      </w:r>
    </w:p>
    <w:p w:rsidR="00C546FE" w:rsidRPr="00C546FE" w:rsidRDefault="00C546FE" w:rsidP="00C546FE">
      <w:pPr>
        <w:spacing w:before="100" w:beforeAutospacing="1" w:after="0" w:line="240" w:lineRule="auto"/>
        <w:outlineLvl w:val="1"/>
        <w:rPr>
          <w:rFonts w:ascii="Times New Roman" w:eastAsia="Times New Roman" w:hAnsi="Times New Roman" w:cs="Times New Roman"/>
          <w:b/>
          <w:bCs/>
          <w:sz w:val="36"/>
          <w:szCs w:val="36"/>
        </w:rPr>
      </w:pPr>
      <w:r w:rsidRPr="00C546FE">
        <w:rPr>
          <w:rFonts w:ascii="Times New Roman" w:eastAsia="Times New Roman" w:hAnsi="Times New Roman" w:cs="Times New Roman"/>
          <w:b/>
          <w:bCs/>
          <w:sz w:val="36"/>
          <w:szCs w:val="36"/>
        </w:rPr>
        <w:t>1.3 Select</w:t>
      </w:r>
    </w:p>
    <w:p w:rsidR="00C546FE" w:rsidRPr="00C546FE" w:rsidRDefault="00C546FE" w:rsidP="00C546FE">
      <w:pPr>
        <w:spacing w:after="100" w:afterAutospacing="1" w:line="240" w:lineRule="auto"/>
        <w:rPr>
          <w:rFonts w:ascii="Times New Roman" w:eastAsia="Times New Roman" w:hAnsi="Times New Roman" w:cs="Times New Roman"/>
          <w:sz w:val="24"/>
          <w:szCs w:val="24"/>
        </w:rPr>
      </w:pPr>
      <w:r w:rsidRPr="00C546FE">
        <w:rPr>
          <w:rFonts w:ascii="Times New Roman" w:eastAsia="Times New Roman" w:hAnsi="Times New Roman" w:cs="Times New Roman"/>
          <w:sz w:val="24"/>
          <w:szCs w:val="24"/>
        </w:rPr>
        <w:t xml:space="preserve">The Adopt - Select section helps nursing homes understand the marketplace and conduct all aspects of vendor selection and contracting. The extent to which a nursing home needs to review the marketplace depends on its overall IT strategy. If you are part of a corporate structure, the selection process is performed for you. However, the assessment, planning, implementation, effective use, and exchange tools will still be very important for you to use.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33" w:tgtFrame="_blank" w:history="1">
        <w:r w:rsidRPr="00C546FE">
          <w:rPr>
            <w:rFonts w:ascii="Times New Roman" w:eastAsia="Times New Roman" w:hAnsi="Times New Roman" w:cs="Times New Roman"/>
            <w:color w:val="0000FF"/>
            <w:sz w:val="24"/>
            <w:szCs w:val="24"/>
            <w:u w:val="single"/>
          </w:rPr>
          <w:t>1.3.1 HIT Code of Conduct.</w:t>
        </w:r>
      </w:hyperlink>
      <w:r w:rsidRPr="00C546FE">
        <w:rPr>
          <w:rFonts w:ascii="Times New Roman" w:eastAsia="Times New Roman" w:hAnsi="Times New Roman" w:cs="Times New Roman"/>
          <w:sz w:val="24"/>
          <w:szCs w:val="24"/>
        </w:rPr>
        <w:t xml:space="preserve"> In the process of selecting a vendor for new HIT, nursing homes need to be as unbiased as </w:t>
      </w:r>
      <w:proofErr w:type="gramStart"/>
      <w:r w:rsidRPr="00C546FE">
        <w:rPr>
          <w:rFonts w:ascii="Times New Roman" w:eastAsia="Times New Roman" w:hAnsi="Times New Roman" w:cs="Times New Roman"/>
          <w:sz w:val="24"/>
          <w:szCs w:val="24"/>
        </w:rPr>
        <w:t>possible,</w:t>
      </w:r>
      <w:proofErr w:type="gramEnd"/>
      <w:r w:rsidRPr="00C546FE">
        <w:rPr>
          <w:rFonts w:ascii="Times New Roman" w:eastAsia="Times New Roman" w:hAnsi="Times New Roman" w:cs="Times New Roman"/>
          <w:sz w:val="24"/>
          <w:szCs w:val="24"/>
        </w:rPr>
        <w:t xml:space="preserve"> assuring that the selection process does not give unfair advantage to any one vendor. Review your own code of conduct or adopt a code of conduct such as the one in this tool. (2-page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34" w:tgtFrame="_blank" w:history="1">
        <w:r w:rsidRPr="00C546FE">
          <w:rPr>
            <w:rFonts w:ascii="Times New Roman" w:eastAsia="Times New Roman" w:hAnsi="Times New Roman" w:cs="Times New Roman"/>
            <w:color w:val="0000FF"/>
            <w:sz w:val="24"/>
            <w:szCs w:val="24"/>
            <w:u w:val="single"/>
          </w:rPr>
          <w:t>1.3.2 Vendor Selection.</w:t>
        </w:r>
      </w:hyperlink>
      <w:r w:rsidRPr="00C546FE">
        <w:rPr>
          <w:rFonts w:ascii="Times New Roman" w:eastAsia="Times New Roman" w:hAnsi="Times New Roman" w:cs="Times New Roman"/>
          <w:sz w:val="24"/>
          <w:szCs w:val="24"/>
        </w:rPr>
        <w:t xml:space="preserve"> This Word document, PowerPoint presentation, and Webinar provide a picture of the marketplace for HIT and EHR, including what products are available, how to navigate the marketplace, and buyer beware tips, as well as information on vendors, CCHIT certification, requirements analysis, request for proposal (RFP), due diligence, key differentiators, and contracting. (3-page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35" w:tgtFrame="_blank" w:history="1">
        <w:r w:rsidRPr="00C546FE">
          <w:rPr>
            <w:rFonts w:ascii="Times New Roman" w:eastAsia="Times New Roman" w:hAnsi="Times New Roman" w:cs="Times New Roman"/>
            <w:color w:val="0000FF"/>
            <w:sz w:val="24"/>
            <w:szCs w:val="24"/>
            <w:u w:val="single"/>
          </w:rPr>
          <w:t>1.3.3 Vendor Selection.</w:t>
        </w:r>
      </w:hyperlink>
      <w:r w:rsidRPr="00C546FE">
        <w:rPr>
          <w:rFonts w:ascii="Times New Roman" w:eastAsia="Times New Roman" w:hAnsi="Times New Roman" w:cs="Times New Roman"/>
          <w:sz w:val="24"/>
          <w:szCs w:val="24"/>
        </w:rPr>
        <w:t xml:space="preserve"> (PowerPoint)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36" w:tgtFrame="_blank" w:history="1">
        <w:r w:rsidRPr="00C546FE">
          <w:rPr>
            <w:rFonts w:ascii="Times New Roman" w:eastAsia="Times New Roman" w:hAnsi="Times New Roman" w:cs="Times New Roman"/>
            <w:color w:val="0000FF"/>
            <w:sz w:val="24"/>
            <w:szCs w:val="24"/>
            <w:u w:val="single"/>
          </w:rPr>
          <w:t>1.3.4 Vendor Selection.</w:t>
        </w:r>
      </w:hyperlink>
      <w:r w:rsidRPr="00C546FE">
        <w:rPr>
          <w:rFonts w:ascii="Times New Roman" w:eastAsia="Times New Roman" w:hAnsi="Times New Roman" w:cs="Times New Roman"/>
          <w:sz w:val="24"/>
          <w:szCs w:val="24"/>
        </w:rPr>
        <w:t xml:space="preserve"> (34-minute Web seminar)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37" w:tgtFrame="_blank" w:history="1">
        <w:r w:rsidRPr="00C546FE">
          <w:rPr>
            <w:rFonts w:ascii="Times New Roman" w:eastAsia="Times New Roman" w:hAnsi="Times New Roman" w:cs="Times New Roman"/>
            <w:color w:val="0000FF"/>
            <w:sz w:val="24"/>
            <w:szCs w:val="24"/>
            <w:u w:val="single"/>
          </w:rPr>
          <w:t>1.3.5 Requirements Analysis.</w:t>
        </w:r>
      </w:hyperlink>
      <w:r w:rsidRPr="00C546FE">
        <w:rPr>
          <w:rFonts w:ascii="Times New Roman" w:eastAsia="Times New Roman" w:hAnsi="Times New Roman" w:cs="Times New Roman"/>
          <w:sz w:val="24"/>
          <w:szCs w:val="24"/>
        </w:rPr>
        <w:t xml:space="preserve"> A critical step to acquiring HIT is to perform a requirements analysis. Although this step is typically aligned with preparing a request for proposal (RFP), the exercise to define the requirements specific to your organization needs can be a very important part of your education about HIT and EHR. (7-page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38" w:tgtFrame="_blank" w:history="1">
        <w:r w:rsidRPr="00C546FE">
          <w:rPr>
            <w:rFonts w:ascii="Times New Roman" w:eastAsia="Times New Roman" w:hAnsi="Times New Roman" w:cs="Times New Roman"/>
            <w:color w:val="0000FF"/>
            <w:sz w:val="24"/>
            <w:szCs w:val="24"/>
            <w:u w:val="single"/>
          </w:rPr>
          <w:t>1.3.6 Request for Proposal.</w:t>
        </w:r>
      </w:hyperlink>
      <w:r w:rsidRPr="00C546FE">
        <w:rPr>
          <w:rFonts w:ascii="Times New Roman" w:eastAsia="Times New Roman" w:hAnsi="Times New Roman" w:cs="Times New Roman"/>
          <w:sz w:val="24"/>
          <w:szCs w:val="24"/>
        </w:rPr>
        <w:t xml:space="preserve"> Use this template to structure your request for vendors to send you proposals on the specific HIT you are interested in acquiring. (13-page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39" w:tgtFrame="_blank" w:history="1">
        <w:r w:rsidRPr="00C546FE">
          <w:rPr>
            <w:rFonts w:ascii="Times New Roman" w:eastAsia="Times New Roman" w:hAnsi="Times New Roman" w:cs="Times New Roman"/>
            <w:color w:val="0000FF"/>
            <w:sz w:val="24"/>
            <w:szCs w:val="24"/>
            <w:u w:val="single"/>
          </w:rPr>
          <w:t>1.3.7 RFP Analysis.</w:t>
        </w:r>
      </w:hyperlink>
      <w:r w:rsidRPr="00C546FE">
        <w:rPr>
          <w:rFonts w:ascii="Times New Roman" w:eastAsia="Times New Roman" w:hAnsi="Times New Roman" w:cs="Times New Roman"/>
          <w:sz w:val="24"/>
          <w:szCs w:val="24"/>
        </w:rPr>
        <w:t xml:space="preserve"> Use this tool to serve as a guide for sending out the RFP and analyzing the results. (3-page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40" w:tgtFrame="_blank" w:history="1">
        <w:r w:rsidRPr="00C546FE">
          <w:rPr>
            <w:rFonts w:ascii="Times New Roman" w:eastAsia="Times New Roman" w:hAnsi="Times New Roman" w:cs="Times New Roman"/>
            <w:color w:val="0000FF"/>
            <w:sz w:val="24"/>
            <w:szCs w:val="24"/>
            <w:u w:val="single"/>
          </w:rPr>
          <w:t>1.3.8 Key Differentiators.</w:t>
        </w:r>
      </w:hyperlink>
      <w:r w:rsidRPr="00C546FE">
        <w:rPr>
          <w:rFonts w:ascii="Times New Roman" w:eastAsia="Times New Roman" w:hAnsi="Times New Roman" w:cs="Times New Roman"/>
          <w:sz w:val="24"/>
          <w:szCs w:val="24"/>
        </w:rPr>
        <w:t xml:space="preserve"> Because many products will include many of the same functions, using responses to the RFP can be very difficult for narrowing the field of vendors for further due diligence. This tool can be helpful for conducting an objective, side-by-side comparison of vendors. (4-page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41" w:tgtFrame="_blank" w:history="1">
        <w:r w:rsidRPr="00C546FE">
          <w:rPr>
            <w:rFonts w:ascii="Times New Roman" w:eastAsia="Times New Roman" w:hAnsi="Times New Roman" w:cs="Times New Roman"/>
            <w:color w:val="0000FF"/>
            <w:sz w:val="24"/>
            <w:szCs w:val="24"/>
            <w:u w:val="single"/>
          </w:rPr>
          <w:t xml:space="preserve">1.3.9 Due Diligence: </w:t>
        </w:r>
      </w:hyperlink>
      <w:r w:rsidRPr="00C546FE">
        <w:rPr>
          <w:rFonts w:ascii="Times New Roman" w:eastAsia="Times New Roman" w:hAnsi="Times New Roman" w:cs="Times New Roman"/>
          <w:sz w:val="24"/>
          <w:szCs w:val="24"/>
        </w:rPr>
        <w:t xml:space="preserve">Demonstration Plan. Use the demonstration plan in arranging for product demonstrations as part of your due diligence for evaluating vendors against your key differentiators. (3-page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42" w:tgtFrame="_blank" w:history="1">
        <w:r w:rsidRPr="00C546FE">
          <w:rPr>
            <w:rFonts w:ascii="Times New Roman" w:eastAsia="Times New Roman" w:hAnsi="Times New Roman" w:cs="Times New Roman"/>
            <w:color w:val="0000FF"/>
            <w:sz w:val="24"/>
            <w:szCs w:val="24"/>
            <w:u w:val="single"/>
          </w:rPr>
          <w:t>1.3.10 Due Diligence:</w:t>
        </w:r>
      </w:hyperlink>
      <w:r w:rsidRPr="00C546FE">
        <w:rPr>
          <w:rFonts w:ascii="Times New Roman" w:eastAsia="Times New Roman" w:hAnsi="Times New Roman" w:cs="Times New Roman"/>
          <w:sz w:val="24"/>
          <w:szCs w:val="24"/>
        </w:rPr>
        <w:t xml:space="preserve"> Site Visit Plan. Use the site visit plan in arranging for and conducting site visits as part of your due diligence for evaluating vendors against your key differentiators. (4-page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43" w:tgtFrame="_blank" w:history="1">
        <w:r w:rsidRPr="00C546FE">
          <w:rPr>
            <w:rFonts w:ascii="Times New Roman" w:eastAsia="Times New Roman" w:hAnsi="Times New Roman" w:cs="Times New Roman"/>
            <w:color w:val="0000FF"/>
            <w:sz w:val="24"/>
            <w:szCs w:val="24"/>
            <w:u w:val="single"/>
          </w:rPr>
          <w:t>1.3.11 Due Diligence:</w:t>
        </w:r>
      </w:hyperlink>
      <w:r w:rsidRPr="00C546FE">
        <w:rPr>
          <w:rFonts w:ascii="Times New Roman" w:eastAsia="Times New Roman" w:hAnsi="Times New Roman" w:cs="Times New Roman"/>
          <w:sz w:val="24"/>
          <w:szCs w:val="24"/>
        </w:rPr>
        <w:t xml:space="preserve"> Reference Check Plan. Use the reference check plan in arranging for and conducting reference checks as part of your due diligence for evaluating vendors against your key differentiators. (3-page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44" w:tgtFrame="_blank" w:history="1">
        <w:proofErr w:type="gramStart"/>
        <w:r w:rsidRPr="00C546FE">
          <w:rPr>
            <w:rFonts w:ascii="Times New Roman" w:eastAsia="Times New Roman" w:hAnsi="Times New Roman" w:cs="Times New Roman"/>
            <w:color w:val="0000FF"/>
            <w:sz w:val="24"/>
            <w:szCs w:val="24"/>
            <w:u w:val="single"/>
          </w:rPr>
          <w:t>1.3.12 Vendor of Choice</w:t>
        </w:r>
      </w:hyperlink>
      <w:r w:rsidRPr="00C546FE">
        <w:rPr>
          <w:rFonts w:ascii="Times New Roman" w:eastAsia="Times New Roman" w:hAnsi="Times New Roman" w:cs="Times New Roman"/>
          <w:sz w:val="24"/>
          <w:szCs w:val="24"/>
        </w:rPr>
        <w:t>.</w:t>
      </w:r>
      <w:proofErr w:type="gramEnd"/>
      <w:r w:rsidRPr="00C546FE">
        <w:rPr>
          <w:rFonts w:ascii="Times New Roman" w:eastAsia="Times New Roman" w:hAnsi="Times New Roman" w:cs="Times New Roman"/>
          <w:sz w:val="24"/>
          <w:szCs w:val="24"/>
        </w:rPr>
        <w:t xml:space="preserve"> Determining the vendor of choice may be the most difficult aspect of the acquisition process. This tool points out a few of the realities in selecting an EHR or other HIT. (2-page Word doc)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45" w:tgtFrame="_blank" w:history="1">
        <w:proofErr w:type="gramStart"/>
        <w:r w:rsidRPr="00C546FE">
          <w:rPr>
            <w:rFonts w:ascii="Times New Roman" w:eastAsia="Times New Roman" w:hAnsi="Times New Roman" w:cs="Times New Roman"/>
            <w:color w:val="0000FF"/>
            <w:sz w:val="24"/>
            <w:szCs w:val="24"/>
            <w:u w:val="single"/>
          </w:rPr>
          <w:t>1.3.13 Contract Checklist.</w:t>
        </w:r>
        <w:proofErr w:type="gramEnd"/>
      </w:hyperlink>
      <w:r w:rsidRPr="00C546FE">
        <w:rPr>
          <w:rFonts w:ascii="Times New Roman" w:eastAsia="Times New Roman" w:hAnsi="Times New Roman" w:cs="Times New Roman"/>
          <w:sz w:val="24"/>
          <w:szCs w:val="24"/>
        </w:rPr>
        <w:t xml:space="preserve"> Use the contract checklist to assist in negotiating a favorable contract with your vendor of choice. (6-page Word doc) </w:t>
      </w:r>
    </w:p>
    <w:p w:rsidR="00C546FE" w:rsidRPr="00C546FE" w:rsidRDefault="00C546FE" w:rsidP="00C546FE">
      <w:pPr>
        <w:spacing w:before="100" w:beforeAutospacing="1" w:after="0" w:line="240" w:lineRule="auto"/>
        <w:outlineLvl w:val="1"/>
        <w:rPr>
          <w:rFonts w:ascii="Times New Roman" w:eastAsia="Times New Roman" w:hAnsi="Times New Roman" w:cs="Times New Roman"/>
          <w:b/>
          <w:bCs/>
          <w:sz w:val="36"/>
          <w:szCs w:val="36"/>
        </w:rPr>
      </w:pPr>
      <w:r w:rsidRPr="00C546FE">
        <w:rPr>
          <w:rFonts w:ascii="Times New Roman" w:eastAsia="Times New Roman" w:hAnsi="Times New Roman" w:cs="Times New Roman"/>
          <w:b/>
          <w:bCs/>
          <w:sz w:val="36"/>
          <w:szCs w:val="36"/>
        </w:rPr>
        <w:t>Support</w:t>
      </w:r>
    </w:p>
    <w:p w:rsidR="00C546FE" w:rsidRPr="00C546FE" w:rsidRDefault="00C546FE" w:rsidP="00C546FE">
      <w:pPr>
        <w:spacing w:after="100" w:afterAutospacing="1" w:line="240" w:lineRule="auto"/>
        <w:rPr>
          <w:rFonts w:ascii="Times New Roman" w:eastAsia="Times New Roman" w:hAnsi="Times New Roman" w:cs="Times New Roman"/>
          <w:sz w:val="24"/>
          <w:szCs w:val="24"/>
        </w:rPr>
      </w:pPr>
      <w:proofErr w:type="spellStart"/>
      <w:r w:rsidRPr="00C546FE">
        <w:rPr>
          <w:rFonts w:ascii="Times New Roman" w:eastAsia="Times New Roman" w:hAnsi="Times New Roman" w:cs="Times New Roman"/>
          <w:sz w:val="24"/>
          <w:szCs w:val="24"/>
        </w:rPr>
        <w:t>Stratis</w:t>
      </w:r>
      <w:proofErr w:type="spellEnd"/>
      <w:r w:rsidRPr="00C546FE">
        <w:rPr>
          <w:rFonts w:ascii="Times New Roman" w:eastAsia="Times New Roman" w:hAnsi="Times New Roman" w:cs="Times New Roman"/>
          <w:sz w:val="24"/>
          <w:szCs w:val="24"/>
        </w:rPr>
        <w:t xml:space="preserve"> Health has extensive experience in working with health care facilities to help them adopt and utilize EHR systems and to prepare them for exchanging information.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r w:rsidRPr="00C546FE">
        <w:rPr>
          <w:rFonts w:ascii="Times New Roman" w:eastAsia="Times New Roman" w:hAnsi="Times New Roman" w:cs="Times New Roman"/>
          <w:sz w:val="24"/>
          <w:szCs w:val="24"/>
        </w:rPr>
        <w:t>For support using the toolkit, contact</w:t>
      </w:r>
      <w:proofErr w:type="gramStart"/>
      <w:r w:rsidRPr="00C546FE">
        <w:rPr>
          <w:rFonts w:ascii="Times New Roman" w:eastAsia="Times New Roman" w:hAnsi="Times New Roman" w:cs="Times New Roman"/>
          <w:sz w:val="24"/>
          <w:szCs w:val="24"/>
        </w:rPr>
        <w:t>:</w:t>
      </w:r>
      <w:proofErr w:type="gramEnd"/>
      <w:r w:rsidRPr="00C546FE">
        <w:rPr>
          <w:rFonts w:ascii="Times New Roman" w:eastAsia="Times New Roman" w:hAnsi="Times New Roman" w:cs="Times New Roman"/>
          <w:sz w:val="24"/>
          <w:szCs w:val="24"/>
        </w:rPr>
        <w:br/>
      </w:r>
      <w:proofErr w:type="spellStart"/>
      <w:r w:rsidRPr="00C546FE">
        <w:rPr>
          <w:rFonts w:ascii="Times New Roman" w:eastAsia="Times New Roman" w:hAnsi="Times New Roman" w:cs="Times New Roman"/>
          <w:sz w:val="24"/>
          <w:szCs w:val="24"/>
        </w:rPr>
        <w:t>Stratis</w:t>
      </w:r>
      <w:proofErr w:type="spellEnd"/>
      <w:r w:rsidRPr="00C546FE">
        <w:rPr>
          <w:rFonts w:ascii="Times New Roman" w:eastAsia="Times New Roman" w:hAnsi="Times New Roman" w:cs="Times New Roman"/>
          <w:sz w:val="24"/>
          <w:szCs w:val="24"/>
        </w:rPr>
        <w:t xml:space="preserve"> Health - Health Information Technology Services</w:t>
      </w:r>
      <w:r w:rsidRPr="00C546FE">
        <w:rPr>
          <w:rFonts w:ascii="Times New Roman" w:eastAsia="Times New Roman" w:hAnsi="Times New Roman" w:cs="Times New Roman"/>
          <w:sz w:val="24"/>
          <w:szCs w:val="24"/>
        </w:rPr>
        <w:br/>
        <w:t xml:space="preserve">952-854-3306, </w:t>
      </w:r>
      <w:hyperlink r:id="rId46" w:history="1">
        <w:r w:rsidRPr="00C546FE">
          <w:rPr>
            <w:rFonts w:ascii="Times New Roman" w:eastAsia="Times New Roman" w:hAnsi="Times New Roman" w:cs="Times New Roman"/>
            <w:color w:val="0000FF"/>
            <w:sz w:val="24"/>
            <w:szCs w:val="24"/>
            <w:u w:val="single"/>
          </w:rPr>
          <w:t>info@stratishealth.org</w:t>
        </w:r>
      </w:hyperlink>
      <w:r w:rsidRPr="00C546FE">
        <w:rPr>
          <w:rFonts w:ascii="Times New Roman" w:eastAsia="Times New Roman" w:hAnsi="Times New Roman" w:cs="Times New Roman"/>
          <w:sz w:val="24"/>
          <w:szCs w:val="24"/>
        </w:rPr>
        <w:t xml:space="preserve"> </w:t>
      </w:r>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47" w:history="1">
        <w:r w:rsidRPr="00C546FE">
          <w:rPr>
            <w:rFonts w:ascii="Times New Roman" w:eastAsia="Times New Roman" w:hAnsi="Times New Roman" w:cs="Times New Roman"/>
            <w:color w:val="0000FF"/>
            <w:sz w:val="24"/>
            <w:szCs w:val="24"/>
            <w:u w:val="single"/>
          </w:rPr>
          <w:t>HIT Toolkit for Nursing Homes &gt;</w:t>
        </w:r>
      </w:hyperlink>
    </w:p>
    <w:p w:rsidR="00C546FE" w:rsidRPr="00C546FE" w:rsidRDefault="00C546FE" w:rsidP="00C546FE">
      <w:pPr>
        <w:spacing w:before="100" w:beforeAutospacing="1" w:after="100" w:afterAutospacing="1" w:line="240" w:lineRule="auto"/>
        <w:rPr>
          <w:rFonts w:ascii="Times New Roman" w:eastAsia="Times New Roman" w:hAnsi="Times New Roman" w:cs="Times New Roman"/>
          <w:sz w:val="24"/>
          <w:szCs w:val="24"/>
        </w:rPr>
      </w:pPr>
      <w:hyperlink r:id="rId48" w:history="1">
        <w:r w:rsidRPr="00C546FE">
          <w:rPr>
            <w:rFonts w:ascii="Times New Roman" w:eastAsia="Times New Roman" w:hAnsi="Times New Roman" w:cs="Times New Roman"/>
            <w:color w:val="0000FF"/>
            <w:sz w:val="24"/>
            <w:szCs w:val="24"/>
            <w:u w:val="single"/>
          </w:rPr>
          <w:t>Receive Toolkit Updates</w:t>
        </w:r>
      </w:hyperlink>
    </w:p>
    <w:p w:rsidR="00B44D96" w:rsidRDefault="00B44D96"/>
    <w:sectPr w:rsidR="00B44D96" w:rsidSect="00B44D9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546FE"/>
    <w:rsid w:val="00B44D96"/>
    <w:rsid w:val="00C546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4D96"/>
  </w:style>
  <w:style w:type="paragraph" w:styleId="Heading1">
    <w:name w:val="heading 1"/>
    <w:basedOn w:val="Normal"/>
    <w:link w:val="Heading1Char"/>
    <w:uiPriority w:val="9"/>
    <w:qFormat/>
    <w:rsid w:val="00C546F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546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6F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546F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546F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546FE"/>
    <w:rPr>
      <w:color w:val="0000FF"/>
      <w:u w:val="single"/>
    </w:rPr>
  </w:style>
</w:styles>
</file>

<file path=word/webSettings.xml><?xml version="1.0" encoding="utf-8"?>
<w:webSettings xmlns:r="http://schemas.openxmlformats.org/officeDocument/2006/relationships" xmlns:w="http://schemas.openxmlformats.org/wordprocessingml/2006/main">
  <w:divs>
    <w:div w:id="1746224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stratishealth.org/documents/HITToolkitNH/1.Adopt/1.1Assess/1.1.10HIT_Attitudes_Assessment.doc" TargetMode="External"/><Relationship Id="rId18" Type="http://schemas.openxmlformats.org/officeDocument/2006/relationships/hyperlink" Target="http://www.stratishealth.org/documents/HITToolkitNH/1.Adopt/1.1Assess/1.1.15HIT_Security_Risk_Analysis_and_Controls_Assmt.doc" TargetMode="External"/><Relationship Id="rId26" Type="http://schemas.openxmlformats.org/officeDocument/2006/relationships/hyperlink" Target="http://www.stratishealth.org/documents/HITToolkitNH/1.Adopt/1.2Plan/1.2.5Project_Manager_Job_Description.doc" TargetMode="External"/><Relationship Id="rId39" Type="http://schemas.openxmlformats.org/officeDocument/2006/relationships/hyperlink" Target="http://www.stratishealth.org/documents/HITToolkitNH/1.Adopt/1.3Select/1.3.7RFP_Analysis.doc" TargetMode="External"/><Relationship Id="rId3" Type="http://schemas.openxmlformats.org/officeDocument/2006/relationships/webSettings" Target="webSettings.xml"/><Relationship Id="rId21" Type="http://schemas.openxmlformats.org/officeDocument/2006/relationships/hyperlink" Target="http://www.stratishealth.org/documents/HITToolkitNH/1.Adopt/1.1Assess/1.1.18Financing_Resources.doc" TargetMode="External"/><Relationship Id="rId34" Type="http://schemas.openxmlformats.org/officeDocument/2006/relationships/hyperlink" Target="http://www.stratishealth.org/documents/HITToolkitNH/1.Adopt/1.3Select/1.3.2Vendor_Selection.doc" TargetMode="External"/><Relationship Id="rId42" Type="http://schemas.openxmlformats.org/officeDocument/2006/relationships/hyperlink" Target="http://www.stratishealth.org/documents/HITToolkitNH/1.Adopt/1.3Select/1.3.10Due_Diligence_Site_Visit_Plan.doc" TargetMode="External"/><Relationship Id="rId47" Type="http://schemas.openxmlformats.org/officeDocument/2006/relationships/hyperlink" Target="http://www.stratishealth.org/expertise/healthit/nursinghomes/index.html" TargetMode="External"/><Relationship Id="rId50" Type="http://schemas.openxmlformats.org/officeDocument/2006/relationships/theme" Target="theme/theme1.xml"/><Relationship Id="rId7" Type="http://schemas.openxmlformats.org/officeDocument/2006/relationships/hyperlink" Target="http://www.stratishealth.org/documents/HITToolkitNH/1.Adopt/1.1Assess/1.1.4How_to_Use_the_Toolkit.wmv" TargetMode="External"/><Relationship Id="rId12" Type="http://schemas.openxmlformats.org/officeDocument/2006/relationships/hyperlink" Target="http://www.stratishealth.org/documents/HITToolkitNH/1.Adopt/1.1Assess/1.1.9Communication_Plan.doc" TargetMode="External"/><Relationship Id="rId17" Type="http://schemas.openxmlformats.org/officeDocument/2006/relationships/hyperlink" Target="http://www.stratishealth.org/documents/HITToolkitNH/1.Adopt/1.1Assess/1.1.14IT_System_Inventory.doc" TargetMode="External"/><Relationship Id="rId25" Type="http://schemas.openxmlformats.org/officeDocument/2006/relationships/hyperlink" Target="http://www.stratishealth.org/documents/HITToolkitNH/1.Adopt/1.2Plan/1.2.4Project_Management.doc" TargetMode="External"/><Relationship Id="rId33" Type="http://schemas.openxmlformats.org/officeDocument/2006/relationships/hyperlink" Target="http://www.stratishealth.org/documents/HITToolkitNH/1.Adopt/1.3Select/1.3.1Code_of_Conduct.doc" TargetMode="External"/><Relationship Id="rId38" Type="http://schemas.openxmlformats.org/officeDocument/2006/relationships/hyperlink" Target="http://www.stratishealth.org/documents/HITToolkitNH/1.Adopt/1.3Select/1.3.6RFP.doc" TargetMode="External"/><Relationship Id="rId46" Type="http://schemas.openxmlformats.org/officeDocument/2006/relationships/hyperlink" Target="mailto:info@stratishealth.org" TargetMode="External"/><Relationship Id="rId2" Type="http://schemas.openxmlformats.org/officeDocument/2006/relationships/settings" Target="settings.xml"/><Relationship Id="rId16" Type="http://schemas.openxmlformats.org/officeDocument/2006/relationships/hyperlink" Target="http://www.stratishealth.org/documents/HITToolkitNH/1.Adopt/1.1Assess/1.1.13ITStaffing_Inventory.doc" TargetMode="External"/><Relationship Id="rId20" Type="http://schemas.openxmlformats.org/officeDocument/2006/relationships/hyperlink" Target="http://www.stratishealth.org/documents/HITToolkitNH/1.Adopt/1.1Assess/1.1.17Application_Interface_Inventory.xls" TargetMode="External"/><Relationship Id="rId29" Type="http://schemas.openxmlformats.org/officeDocument/2006/relationships/hyperlink" Target="http://www.stratishealth.org/documents/HITToolkitNH/1.Adopt/1.2Plan/1.2.8Workflow_Process_Redesign.doc" TargetMode="External"/><Relationship Id="rId41" Type="http://schemas.openxmlformats.org/officeDocument/2006/relationships/hyperlink" Target="http://www.stratishealth.org/documents/HITToolkitNH/1.Adopt/1.3Select/1.3.9Due_DiligencDemo_Plan.doc" TargetMode="External"/><Relationship Id="rId1" Type="http://schemas.openxmlformats.org/officeDocument/2006/relationships/styles" Target="styles.xml"/><Relationship Id="rId6" Type="http://schemas.openxmlformats.org/officeDocument/2006/relationships/hyperlink" Target="http://www.stratishealth.org/documents/HITToolkitNH/1.Adopt/1.1Assess/1.1.3How_to_Use_Toolkit.ppt" TargetMode="External"/><Relationship Id="rId11" Type="http://schemas.openxmlformats.org/officeDocument/2006/relationships/hyperlink" Target="http://www.stratishealth.org/documents/HITToolkitNH/1.Adopt/1.1Assess/1.1.8Vision_and_Strategic_Planning.wmv" TargetMode="External"/><Relationship Id="rId24" Type="http://schemas.openxmlformats.org/officeDocument/2006/relationships/hyperlink" Target="http://www.stratishealth.org/documents/HITToolkitNH/1.Adopt/1.2Plan/1.2.3Clinical_IT_Leadership.doc" TargetMode="External"/><Relationship Id="rId32" Type="http://schemas.openxmlformats.org/officeDocument/2006/relationships/hyperlink" Target="http://www.stratishealth.org/documents/HITToolkitNH/1.Adopt/1.2Plan/1.2.11Chart_Conversion_Planning.doc" TargetMode="External"/><Relationship Id="rId37" Type="http://schemas.openxmlformats.org/officeDocument/2006/relationships/hyperlink" Target="http://www.stratishealth.org/documents/HITToolkitNH/1.Adopt/1.3Select/1.3.5Requirements_Analysis.doc" TargetMode="External"/><Relationship Id="rId40" Type="http://schemas.openxmlformats.org/officeDocument/2006/relationships/hyperlink" Target="http://www.stratishealth.org/documents/HITToolkitNH/1.Adopt/1.3Select/1.3.8Key_Differentiators.doc" TargetMode="External"/><Relationship Id="rId45" Type="http://schemas.openxmlformats.org/officeDocument/2006/relationships/hyperlink" Target="http://www.stratishealth.org/documents/HITToolkitNH/1.Adopt/1.3Select/1.3.13Contract_Checklist.doc" TargetMode="External"/><Relationship Id="rId5" Type="http://schemas.openxmlformats.org/officeDocument/2006/relationships/hyperlink" Target="http://www.stratishealth.org/documents/HITToolkitNH/1.Adopt/1.1Assess/1.1.2How_to_Use_Toolkit.doc" TargetMode="External"/><Relationship Id="rId15" Type="http://schemas.openxmlformats.org/officeDocument/2006/relationships/hyperlink" Target="http://www.stratishealth.org/documents/HITToolkitNH/1.Adopt/1.1Assess/1.1.12TCO-ROI_Analysis.xls" TargetMode="External"/><Relationship Id="rId23" Type="http://schemas.openxmlformats.org/officeDocument/2006/relationships/hyperlink" Target="http://www.stratishealth.org/documents/HITToolkitNH/1.Adopt/1.2Plan/1.2.2Meetings_Agendas_Minutes.doc" TargetMode="External"/><Relationship Id="rId28" Type="http://schemas.openxmlformats.org/officeDocument/2006/relationships/hyperlink" Target="http://www.stratishealth.org/documents/HITToolkitNH/1.Adopt/1.2Plan/1.2.7Change_Management.doc" TargetMode="External"/><Relationship Id="rId36" Type="http://schemas.openxmlformats.org/officeDocument/2006/relationships/hyperlink" Target="http://www.stratishealth.org/documents/HITToolkitNH/1.Adopt/1.3Select/1.3.4Vendor_Selection.wmv" TargetMode="External"/><Relationship Id="rId49" Type="http://schemas.openxmlformats.org/officeDocument/2006/relationships/fontTable" Target="fontTable.xml"/><Relationship Id="rId10" Type="http://schemas.openxmlformats.org/officeDocument/2006/relationships/hyperlink" Target="http://www.stratishealth.org/documents/HITToolkitNH/1.Adopt/1.1Assess/1.1.7Vision_and_Strategic_Planning.ppt" TargetMode="External"/><Relationship Id="rId19" Type="http://schemas.openxmlformats.org/officeDocument/2006/relationships/hyperlink" Target="http://www.stratishealth.org/documents/HITToolkitNH/1.Adopt/1.1Assess/1.1.16Contingency_Plan_Assessment.doc" TargetMode="External"/><Relationship Id="rId31" Type="http://schemas.openxmlformats.org/officeDocument/2006/relationships/hyperlink" Target="http://www.stratishealth.org/documents/HITToolkitNH/1.Adopt/1.2Plan/1.2.10Workflow_and_Process_Redesign.wmv" TargetMode="External"/><Relationship Id="rId44" Type="http://schemas.openxmlformats.org/officeDocument/2006/relationships/hyperlink" Target="http://www.stratishealth.org/documents/HITToolkitNH/1.Adopt/1.3Select/1.3.12Vendor_of_Choice.doc" TargetMode="External"/><Relationship Id="rId4" Type="http://schemas.openxmlformats.org/officeDocument/2006/relationships/hyperlink" Target="http://www.stratishealth.org/documents/HITToolkitNH/1.Adopt/1.1Assess/1.1.1Overview_of_Tools.doc" TargetMode="External"/><Relationship Id="rId9" Type="http://schemas.openxmlformats.org/officeDocument/2006/relationships/hyperlink" Target="http://www.stratishealth.org/documents/HITToolkitNH/1.Adopt/1.1Assess/1.1.6Vision_and_Strategic_Planning.doc" TargetMode="External"/><Relationship Id="rId14" Type="http://schemas.openxmlformats.org/officeDocument/2006/relationships/hyperlink" Target="http://www.stratishealth.org/documents/HITToolkitNH/1.Adopt/1.1Assess/1.1.11Computer_Skills_Survey.doc" TargetMode="External"/><Relationship Id="rId22" Type="http://schemas.openxmlformats.org/officeDocument/2006/relationships/hyperlink" Target="http://www.stratishealth.org/documents/HITToolkitNH/1.Adopt/1.2Plan/1.2.1HIT_Steering_Committee.doc" TargetMode="External"/><Relationship Id="rId27" Type="http://schemas.openxmlformats.org/officeDocument/2006/relationships/hyperlink" Target="http://www.stratishealth.org/documents/HITToolkitNH/1.Adopt/1.2Plan/1.2.6Goal_Setting.doc" TargetMode="External"/><Relationship Id="rId30" Type="http://schemas.openxmlformats.org/officeDocument/2006/relationships/hyperlink" Target="http://www.stratishealth.org/documents/HITToolkitNH/1.Adopt/1.2Plan/1.2.9Workflow_and_Process_Redesign.ppt" TargetMode="External"/><Relationship Id="rId35" Type="http://schemas.openxmlformats.org/officeDocument/2006/relationships/hyperlink" Target="http://www.stratishealth.org/documents/HITToolkitNH/1.Adopt/1.3Select/1.3.3Understanding_Mkt_Vendor_Selection.ppt" TargetMode="External"/><Relationship Id="rId43" Type="http://schemas.openxmlformats.org/officeDocument/2006/relationships/hyperlink" Target="http://www.stratishealth.org/documents/HITToolkitNH/1.Adopt/1.3Select/1.3.11Due_Diligence_Reference_Check_Plan.doc" TargetMode="External"/><Relationship Id="rId48" Type="http://schemas.openxmlformats.org/officeDocument/2006/relationships/hyperlink" Target="http://www.stratishealth.org/account/index.asp?EID=AF3919" TargetMode="External"/><Relationship Id="rId8" Type="http://schemas.openxmlformats.org/officeDocument/2006/relationships/hyperlink" Target="http://www.stratishealth.org/documents/HITToolkitNH/1.Adopt/1.1Assess/1.1.5HIT_Governance.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2445</Words>
  <Characters>13937</Characters>
  <Application>Microsoft Office Word</Application>
  <DocSecurity>0</DocSecurity>
  <Lines>116</Lines>
  <Paragraphs>32</Paragraphs>
  <ScaleCrop>false</ScaleCrop>
  <Company/>
  <LinksUpToDate>false</LinksUpToDate>
  <CharactersWithSpaces>16350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dc:creator>
  <cp:lastModifiedBy>JEFF</cp:lastModifiedBy>
  <cp:revision>1</cp:revision>
  <cp:lastPrinted>2010-01-16T22:42:00Z</cp:lastPrinted>
  <dcterms:created xsi:type="dcterms:W3CDTF">2010-01-16T22:42:00Z</dcterms:created>
  <dcterms:modified xsi:type="dcterms:W3CDTF">2010-01-16T22:42:00Z</dcterms:modified>
</cp:coreProperties>
</file>