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r>
        <w:rPr>
          <w:rFonts w:ascii="Arial" w:hAnsi="Arial"/>
          <w:b w:val="1"/>
          <w:bCs w:val="1"/>
          <w:outline w:val="0"/>
          <w:color w:val="003087"/>
          <w:sz w:val="48"/>
          <w:szCs w:val="48"/>
          <w:u w:color="003087"/>
          <w:rtl w:val="0"/>
          <w:lang w:val="de-DE"/>
          <w14:textFill>
            <w14:solidFill>
              <w14:srgbClr w14:val="003087"/>
            </w14:solidFill>
          </w14:textFill>
        </w:rPr>
        <w:t>BAXTER HEALTHCARE</w:t>
      </w:r>
    </w:p>
    <w:p>
      <w:pPr>
        <w:pStyle w:val="Body"/>
        <w:bidi w:val="0"/>
      </w:pPr>
      <w:r>
        <w:rPr>
          <w:rFonts w:ascii="Arial" w:hAnsi="Arial"/>
          <w:b w:val="1"/>
          <w:bCs w:val="1"/>
          <w:outline w:val="0"/>
          <w:color w:val="0070c0"/>
          <w:sz w:val="36"/>
          <w:szCs w:val="36"/>
          <w:u w:color="0070c0"/>
          <w:rtl w:val="0"/>
          <w:lang w:val="en-US"/>
          <w14:textFill>
            <w14:solidFill>
              <w14:srgbClr w14:val="0070C0"/>
            </w14:solidFill>
          </w14:textFill>
        </w:rPr>
        <w:t>Process in the Holonic Semantic Architecture</w:t>
      </w:r>
    </w:p>
    <w:p>
      <w:pPr>
        <w:pStyle w:val="Body"/>
        <w:bidi w:val="0"/>
      </w:pPr>
      <w:r>
        <w:rPr>
          <w:rFonts w:ascii="Arial" w:hAnsi="Arial"/>
          <w:i w:val="1"/>
          <w:iCs w:val="1"/>
          <w:outline w:val="0"/>
          <w:color w:val="595959"/>
          <w:sz w:val="24"/>
          <w:szCs w:val="24"/>
          <w:u w:color="595959"/>
          <w:rtl w:val="0"/>
          <w:lang w:val="en-US"/>
          <w14:textFill>
            <w14:solidFill>
              <w14:srgbClr w14:val="595959"/>
            </w14:solidFill>
          </w14:textFill>
        </w:rPr>
        <w:t>How Process Is Designed, Realized, Governed, and Executed Across the Layers</w:t>
      </w:r>
    </w:p>
    <w:p>
      <w:pPr>
        <w:pStyle w:val="Body"/>
        <w:bidi w:val="0"/>
      </w:pPr>
    </w:p>
    <w:p>
      <w:pPr>
        <w:pStyle w:val="Body"/>
        <w:bidi w:val="0"/>
      </w:pPr>
      <w:r>
        <w:rPr>
          <w:rFonts w:ascii="Arial" w:hAnsi="Arial"/>
          <w:b w:val="1"/>
          <w:bCs w:val="1"/>
          <w:outline w:val="0"/>
          <w:color w:val="003087"/>
          <w:sz w:val="24"/>
          <w:szCs w:val="24"/>
          <w:u w:color="003087"/>
          <w:rtl w:val="0"/>
          <w:lang w:val="en-US"/>
          <w14:textFill>
            <w14:solidFill>
              <w14:srgbClr w14:val="003087"/>
            </w14:solidFill>
          </w14:textFill>
        </w:rPr>
        <w:t>Solution Design Document</w:t>
      </w:r>
    </w:p>
    <w:p>
      <w:pPr>
        <w:pStyle w:val="Body"/>
        <w:bidi w:val="0"/>
      </w:pPr>
      <w:r>
        <w:rPr>
          <w:rFonts w:ascii="Arial" w:hAnsi="Arial"/>
          <w:outline w:val="0"/>
          <w:color w:val="595959"/>
          <w:sz w:val="20"/>
          <w:szCs w:val="20"/>
          <w:u w:color="595959"/>
          <w:rtl w:val="0"/>
          <w:lang w:val="en-US"/>
          <w14:textFill>
            <w14:solidFill>
              <w14:srgbClr w14:val="595959"/>
            </w14:solidFill>
          </w14:textFill>
        </w:rPr>
        <w:t xml:space="preserve">The Value Enablement Group, LLC  </w:t>
      </w:r>
      <w:r>
        <w:rPr>
          <w:rFonts w:ascii="Arial" w:hAnsi="Arial" w:hint="default"/>
          <w:outline w:val="0"/>
          <w:color w:val="595959"/>
          <w:sz w:val="20"/>
          <w:szCs w:val="20"/>
          <w:u w:color="595959"/>
          <w:rtl w:val="0"/>
          <w14:textFill>
            <w14:solidFill>
              <w14:srgbClr w14:val="595959"/>
            </w14:solidFill>
          </w14:textFill>
        </w:rPr>
        <w:t xml:space="preserve">·  </w:t>
      </w:r>
      <w:r>
        <w:rPr>
          <w:rFonts w:ascii="Arial" w:hAnsi="Arial"/>
          <w:outline w:val="0"/>
          <w:color w:val="595959"/>
          <w:sz w:val="20"/>
          <w:szCs w:val="20"/>
          <w:u w:color="595959"/>
          <w:rtl w:val="0"/>
          <w:lang w:val="de-DE"/>
          <w14:textFill>
            <w14:solidFill>
              <w14:srgbClr w14:val="595959"/>
            </w14:solidFill>
          </w14:textFill>
        </w:rPr>
        <w:t xml:space="preserve">Jeffrey Wallk  </w:t>
      </w:r>
      <w:r>
        <w:rPr>
          <w:rFonts w:ascii="Arial" w:hAnsi="Arial" w:hint="default"/>
          <w:outline w:val="0"/>
          <w:color w:val="595959"/>
          <w:sz w:val="20"/>
          <w:szCs w:val="20"/>
          <w:u w:color="595959"/>
          <w:rtl w:val="0"/>
          <w14:textFill>
            <w14:solidFill>
              <w14:srgbClr w14:val="595959"/>
            </w14:solidFill>
          </w14:textFill>
        </w:rPr>
        <w:t xml:space="preserve">·  </w:t>
      </w:r>
      <w:r>
        <w:rPr>
          <w:rFonts w:ascii="Arial" w:hAnsi="Arial"/>
          <w:outline w:val="0"/>
          <w:color w:val="595959"/>
          <w:sz w:val="20"/>
          <w:szCs w:val="20"/>
          <w:u w:color="595959"/>
          <w:rtl w:val="0"/>
          <w:lang w:val="en-US"/>
          <w14:textFill>
            <w14:solidFill>
              <w14:srgbClr w14:val="595959"/>
            </w14:solidFill>
          </w14:textFill>
        </w:rPr>
        <w:t>May 2026</w:t>
      </w:r>
    </w:p>
    <w:p>
      <w:pPr>
        <w:pStyle w:val="Body"/>
        <w:bidi w:val="0"/>
      </w:pPr>
      <w:r>
        <w:rPr>
          <w:rFonts w:ascii="Arial" w:hAnsi="Arial"/>
          <w:b w:val="1"/>
          <w:bCs w:val="1"/>
          <w:outline w:val="0"/>
          <w:color w:val="595959"/>
          <w:sz w:val="20"/>
          <w:szCs w:val="20"/>
          <w:u w:color="595959"/>
          <w:rtl w:val="0"/>
          <w:lang w:val="en-US"/>
          <w14:textFill>
            <w14:solidFill>
              <w14:srgbClr w14:val="595959"/>
            </w14:solidFill>
          </w14:textFill>
        </w:rPr>
        <w:t>CONFIDENTIAL</w:t>
      </w:r>
    </w:p>
    <w:p>
      <w:pPr>
        <w:pStyle w:val="Body"/>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14" w:hRule="atLeast"/>
        </w:trPr>
        <w:tc>
          <w:tcPr>
            <w:tcW w:type="dxa" w:w="9360"/>
            <w:tcBorders>
              <w:top w:val="single" w:color="0070c0" w:sz="8" w:space="0" w:shadow="0" w:frame="0"/>
              <w:left w:val="single" w:color="0070c0" w:sz="8" w:space="0" w:shadow="0" w:frame="0"/>
              <w:bottom w:val="single" w:color="0070c0" w:sz="8" w:space="0" w:shadow="0" w:frame="0"/>
              <w:right w:val="single" w:color="0070c0" w:sz="8"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0070c0"/>
                <w:sz w:val="20"/>
                <w:szCs w:val="20"/>
                <w:u w:color="0070c0"/>
                <w:shd w:val="nil" w:color="auto" w:fill="auto"/>
                <w:rtl w:val="0"/>
                <w:lang w:val="en-US"/>
                <w14:textFill>
                  <w14:solidFill>
                    <w14:srgbClr w14:val="0070C0"/>
                  </w14:solidFill>
                </w14:textFill>
              </w:rPr>
              <w:t xml:space="preserve">Reading guide:  </w:t>
            </w:r>
            <w:r>
              <w:rPr>
                <w:rFonts w:ascii="Arial" w:hAnsi="Arial"/>
                <w:outline w:val="0"/>
                <w:color w:val="111111"/>
                <w:sz w:val="20"/>
                <w:szCs w:val="20"/>
                <w:u w:color="111111"/>
                <w:shd w:val="nil" w:color="auto" w:fill="auto"/>
                <w:rtl w:val="0"/>
                <w:lang w:val="en-US"/>
                <w14:textFill>
                  <w14:solidFill>
                    <w14:srgbClr w14:val="111111"/>
                  </w14:solidFill>
                </w14:textFill>
              </w:rPr>
              <w:t xml:space="preserve">Key insights appear in </w:t>
            </w:r>
            <w:r>
              <w:rPr>
                <w:rFonts w:ascii="Arial" w:hAnsi="Arial"/>
                <w:b w:val="1"/>
                <w:bCs w:val="1"/>
                <w:outline w:val="0"/>
                <w:color w:val="111111"/>
                <w:sz w:val="20"/>
                <w:szCs w:val="20"/>
                <w:u w:color="111111"/>
                <w:shd w:val="clear" w:color="auto" w:fill="ffff00"/>
                <w:rtl w:val="0"/>
                <w:lang w:val="en-US"/>
                <w14:textFill>
                  <w14:solidFill>
                    <w14:srgbClr w14:val="111111"/>
                  </w14:solidFill>
                </w14:textFill>
              </w:rPr>
              <w:t>bold yellow highlight</w:t>
            </w:r>
            <w:r>
              <w:rPr>
                <w:rFonts w:ascii="Arial" w:hAnsi="Arial"/>
                <w:outline w:val="0"/>
                <w:color w:val="111111"/>
                <w:sz w:val="20"/>
                <w:szCs w:val="20"/>
                <w:u w:color="111111"/>
                <w:shd w:val="nil" w:color="auto" w:fill="auto"/>
                <w:rtl w:val="0"/>
                <w:lang w:val="en-US"/>
                <w14:textFill>
                  <w14:solidFill>
                    <w14:srgbClr w14:val="111111"/>
                  </w14:solidFill>
                </w14:textFill>
              </w:rPr>
              <w:t xml:space="preserve">.  Architectural principles appear in </w:t>
            </w:r>
            <w:r>
              <w:rPr>
                <w:rFonts w:ascii="Arial" w:hAnsi="Arial"/>
                <w:b w:val="1"/>
                <w:bCs w:val="1"/>
                <w:outline w:val="0"/>
                <w:color w:val="1a3a1a"/>
                <w:sz w:val="20"/>
                <w:szCs w:val="20"/>
                <w:u w:color="1a3a1a"/>
                <w:shd w:val="clear" w:color="auto" w:fill="00ff00"/>
                <w:rtl w:val="0"/>
                <w:lang w:val="en-US"/>
                <w14:textFill>
                  <w14:solidFill>
                    <w14:srgbClr w14:val="1A3A1A"/>
                  </w14:solidFill>
                </w14:textFill>
              </w:rPr>
              <w:t>bold green highlight</w:t>
            </w:r>
            <w:r>
              <w:rPr>
                <w:rFonts w:ascii="Arial" w:hAnsi="Arial"/>
                <w:outline w:val="0"/>
                <w:color w:val="111111"/>
                <w:sz w:val="20"/>
                <w:szCs w:val="20"/>
                <w:u w:color="111111"/>
                <w:shd w:val="nil" w:color="auto" w:fill="auto"/>
                <w:rtl w:val="0"/>
                <w:lang w:val="en-US"/>
                <w14:textFill>
                  <w14:solidFill>
                    <w14:srgbClr w14:val="111111"/>
                  </w14:solidFill>
                </w14:textFill>
              </w:rPr>
              <w:t xml:space="preserve">.  Technical terms appear in </w:t>
            </w:r>
            <w:r>
              <w:rPr>
                <w:rFonts w:ascii="Courier New" w:hAnsi="Courier New"/>
                <w:outline w:val="0"/>
                <w:color w:val="4a2a8a"/>
                <w:sz w:val="20"/>
                <w:szCs w:val="20"/>
                <w:u w:color="4a2a8a"/>
                <w:shd w:val="nil" w:color="auto" w:fill="auto"/>
                <w:rtl w:val="0"/>
                <w:lang w:val="it-IT"/>
                <w14:textFill>
                  <w14:solidFill>
                    <w14:srgbClr w14:val="4A2A8A"/>
                  </w14:solidFill>
                </w14:textFill>
              </w:rPr>
              <w:t>monospace</w:t>
            </w:r>
            <w:r>
              <w:rPr>
                <w:rFonts w:ascii="Arial" w:hAnsi="Arial"/>
                <w:outline w:val="0"/>
                <w:color w:val="111111"/>
                <w:sz w:val="20"/>
                <w:szCs w:val="20"/>
                <w:u w:color="111111"/>
                <w:shd w:val="nil" w:color="auto" w:fill="auto"/>
                <w:rtl w:val="0"/>
                <w14:textFill>
                  <w14:solidFill>
                    <w14:srgbClr w14:val="111111"/>
                  </w14:solidFill>
                </w14:textFill>
              </w:rPr>
              <w: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Unicode MS" w:cs="Arial Unicode MS" w:hAnsi="Arial Unicode MS" w:eastAsia="Arial Unicode MS"/>
          <w:b w:val="0"/>
          <w:bCs w:val="0"/>
          <w:i w:val="0"/>
          <w:iCs w:val="0"/>
        </w:rPr>
        <w:br w:type="page"/>
      </w:r>
    </w:p>
    <w:p>
      <w:pPr>
        <w:pStyle w:val="Heading"/>
      </w:pPr>
      <w:r>
        <w:rPr>
          <w:outline w:val="0"/>
          <w:color w:val="003087"/>
          <w:u w:color="003087"/>
          <w:rtl w:val="0"/>
          <w:lang w:val="en-US"/>
          <w14:textFill>
            <w14:solidFill>
              <w14:srgbClr w14:val="003087"/>
            </w14:solidFill>
          </w14:textFill>
        </w:rPr>
        <w:t xml:space="preserve">1.  The Core Problem </w:t>
      </w:r>
      <w:r>
        <w:rPr>
          <w:outline w:val="0"/>
          <w:color w:val="003087"/>
          <w:u w:color="003087"/>
          <w:rtl w:val="0"/>
          <w:lang w:val="en-US"/>
          <w14:textFill>
            <w14:solidFill>
              <w14:srgbClr w14:val="003087"/>
            </w14:solidFill>
          </w14:textFill>
        </w:rPr>
        <w:t xml:space="preserve">— </w:t>
      </w:r>
      <w:r>
        <w:rPr>
          <w:outline w:val="0"/>
          <w:color w:val="003087"/>
          <w:u w:color="003087"/>
          <w:rtl w:val="0"/>
          <w:lang w:val="en-US"/>
          <w14:textFill>
            <w14:solidFill>
              <w14:srgbClr w14:val="003087"/>
            </w14:solidFill>
          </w14:textFill>
        </w:rPr>
        <w:t>Why Process Replication Fails</w:t>
      </w:r>
    </w:p>
    <w:p>
      <w:pPr>
        <w:pStyle w:val="Heading"/>
      </w:pPr>
    </w:p>
    <w:p>
      <w:pPr>
        <w:pStyle w:val="Heading"/>
      </w:pPr>
      <w:r>
        <w:rPr>
          <w:outline w:val="0"/>
          <w:color w:val="111111"/>
          <w:sz w:val="22"/>
          <w:szCs w:val="22"/>
          <w:u w:color="111111"/>
          <w:rtl w:val="0"/>
          <w:lang w:val="en-US"/>
          <w14:textFill>
            <w14:solidFill>
              <w14:srgbClr w14:val="111111"/>
            </w14:solidFill>
          </w14:textFill>
        </w:rPr>
        <w:t>Every conventional enterprise architecture replicates process. A pharmaceutical compounding procedure exists in a paper SOP, then in the MES batch record template, then in the ERP production order structure, then in the LIMS method definition, then in the QMS deviation classification schema, then in a BPM workflow tool trying to orchestrate across all of them. Each copy diverges. Process becomes the source of the very inconsistencies the architecture was supposed to prevent.</w:t>
      </w:r>
    </w:p>
    <w:p>
      <w:pPr>
        <w:pStyle w:val="Heading"/>
      </w:pPr>
    </w:p>
    <w:p>
      <w:pPr>
        <w:pStyle w:val="Heading"/>
      </w:pPr>
      <w:r>
        <w:rPr>
          <w:outline w:val="0"/>
          <w:color w:val="111111"/>
          <w:sz w:val="22"/>
          <w:szCs w:val="22"/>
          <w:u w:color="111111"/>
          <w:shd w:val="clear" w:color="auto" w:fill="ffff00"/>
          <w:rtl w:val="0"/>
          <w:lang w:val="en-US"/>
          <w14:textFill>
            <w14:solidFill>
              <w14:srgbClr w14:val="111111"/>
            </w14:solidFill>
          </w14:textFill>
        </w:rPr>
        <w:t xml:space="preserve">The holonic architecture solves this not by finding a better single repository for process, but by recognizing that process is not a document or a workflow definition </w:t>
      </w:r>
      <w:r>
        <w:rPr>
          <w:outline w:val="0"/>
          <w:color w:val="111111"/>
          <w:sz w:val="22"/>
          <w:szCs w:val="22"/>
          <w:u w:color="111111"/>
          <w:shd w:val="clear" w:color="auto" w:fill="ffff00"/>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it is a governed relationship between state transitions.</w:t>
      </w:r>
      <w:r>
        <w:rPr>
          <w:outline w:val="0"/>
          <w:color w:val="111111"/>
          <w:sz w:val="22"/>
          <w:szCs w:val="22"/>
          <w:u w:color="111111"/>
          <w:rtl w:val="0"/>
          <w:lang w:val="en-US"/>
          <w14:textFill>
            <w14:solidFill>
              <w14:srgbClr w14:val="111111"/>
            </w14:solidFill>
          </w14:textFill>
        </w:rPr>
        <w:t xml:space="preserve"> What you store is the governance contract for those transitions. The process itself executes in the physical world; only its rules, its history, and its current state exist in the digital layer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at three different holonic levels that are never collapsed into a single representation.</w:t>
      </w:r>
    </w:p>
    <w:p>
      <w:pPr>
        <w:pStyle w:val="Heading"/>
      </w:pPr>
    </w:p>
    <w:p>
      <w:pPr>
        <w:pStyle w:val="Heading"/>
      </w:pPr>
      <w:r>
        <w:rPr>
          <w:outline w:val="0"/>
          <w:color w:val="111111"/>
          <w:sz w:val="22"/>
          <w:szCs w:val="22"/>
          <w:u w:color="111111"/>
          <w:rtl w:val="0"/>
          <w:lang w:val="en-US"/>
          <w14:textFill>
            <w14:solidFill>
              <w14:srgbClr w14:val="111111"/>
            </w14:solidFill>
          </w14:textFill>
        </w:rPr>
        <w:t>The traditional approach and its failure modes:</w:t>
      </w:r>
    </w:p>
    <w:p>
      <w:pPr>
        <w:pStyle w:val="List Paragraph"/>
        <w:numPr>
          <w:ilvl w:val="0"/>
          <w:numId w:val="2"/>
        </w:numPr>
        <w:spacing w:before="60" w:after="60"/>
        <w:rPr>
          <w:sz w:val="22"/>
          <w:szCs w:val="22"/>
          <w:lang w:val="en-US"/>
        </w:rPr>
      </w:pPr>
      <w:r>
        <w:rPr>
          <w:rFonts w:ascii="Arial" w:hAnsi="Arial"/>
          <w:b w:val="1"/>
          <w:bCs w:val="1"/>
          <w:outline w:val="0"/>
          <w:color w:val="8b0000"/>
          <w:sz w:val="22"/>
          <w:szCs w:val="22"/>
          <w:u w:color="8b0000"/>
          <w:rtl w:val="0"/>
          <w:lang w:val="en-US"/>
          <w14:textFill>
            <w14:solidFill>
              <w14:srgbClr w14:val="8B0000"/>
            </w14:solidFill>
          </w14:textFill>
        </w:rPr>
        <w:t xml:space="preserve">Replication drift:  </w:t>
      </w:r>
      <w:r>
        <w:rPr>
          <w:rFonts w:ascii="Arial" w:hAnsi="Arial"/>
          <w:outline w:val="0"/>
          <w:color w:val="111111"/>
          <w:sz w:val="22"/>
          <w:szCs w:val="22"/>
          <w:u w:color="111111"/>
          <w:rtl w:val="0"/>
          <w:lang w:val="en-US"/>
          <w14:textFill>
            <w14:solidFill>
              <w14:srgbClr w14:val="111111"/>
            </w14:solidFill>
          </w14:textFill>
        </w:rPr>
        <w:t>SOP, MES batch record, ERP order, LIMS method, and BPM workflow each hold a copy of process logic. Changes propagate incompletely. After two years, no two copies agree.</w:t>
      </w:r>
    </w:p>
    <w:p>
      <w:pPr>
        <w:pStyle w:val="List Paragraph"/>
        <w:numPr>
          <w:ilvl w:val="0"/>
          <w:numId w:val="2"/>
        </w:numPr>
        <w:spacing w:before="60" w:after="60"/>
        <w:rPr>
          <w:sz w:val="22"/>
          <w:szCs w:val="22"/>
          <w:lang w:val="en-US"/>
        </w:rPr>
      </w:pPr>
      <w:r>
        <w:rPr>
          <w:rFonts w:ascii="Arial" w:hAnsi="Arial"/>
          <w:b w:val="1"/>
          <w:bCs w:val="1"/>
          <w:outline w:val="0"/>
          <w:color w:val="8b0000"/>
          <w:sz w:val="22"/>
          <w:szCs w:val="22"/>
          <w:u w:color="8b0000"/>
          <w:rtl w:val="0"/>
          <w:lang w:val="en-US"/>
          <w14:textFill>
            <w14:solidFill>
              <w14:srgbClr w14:val="8B0000"/>
            </w14:solidFill>
          </w14:textFill>
        </w:rPr>
        <w:t xml:space="preserve">Validation re-work:  </w:t>
      </w:r>
      <w:r>
        <w:rPr>
          <w:rFonts w:ascii="Arial" w:hAnsi="Arial"/>
          <w:outline w:val="0"/>
          <w:color w:val="111111"/>
          <w:sz w:val="22"/>
          <w:szCs w:val="22"/>
          <w:u w:color="111111"/>
          <w:rtl w:val="0"/>
          <w:lang w:val="en-US"/>
          <w14:textFill>
            <w14:solidFill>
              <w14:srgbClr w14:val="111111"/>
            </w14:solidFill>
          </w14:textFill>
        </w:rPr>
        <w:t>Every copy in a GxP context requires independent validation. Process improvements must be implemented and validated in N systems rather than one.</w:t>
      </w:r>
    </w:p>
    <w:p>
      <w:pPr>
        <w:pStyle w:val="List Paragraph"/>
        <w:numPr>
          <w:ilvl w:val="0"/>
          <w:numId w:val="2"/>
        </w:numPr>
        <w:spacing w:before="60" w:after="60"/>
        <w:rPr>
          <w:sz w:val="22"/>
          <w:szCs w:val="22"/>
          <w:lang w:val="en-US"/>
        </w:rPr>
      </w:pPr>
      <w:r>
        <w:rPr>
          <w:rFonts w:ascii="Arial" w:hAnsi="Arial"/>
          <w:b w:val="1"/>
          <w:bCs w:val="1"/>
          <w:outline w:val="0"/>
          <w:color w:val="8b0000"/>
          <w:sz w:val="22"/>
          <w:szCs w:val="22"/>
          <w:u w:color="8b0000"/>
          <w:rtl w:val="0"/>
          <w:lang w:val="en-US"/>
          <w14:textFill>
            <w14:solidFill>
              <w14:srgbClr w14:val="8B0000"/>
            </w14:solidFill>
          </w14:textFill>
        </w:rPr>
        <w:t xml:space="preserve">Invisible emergence:  </w:t>
      </w:r>
      <w:r>
        <w:rPr>
          <w:rFonts w:ascii="Arial" w:hAnsi="Arial"/>
          <w:outline w:val="0"/>
          <w:color w:val="111111"/>
          <w:sz w:val="22"/>
          <w:szCs w:val="22"/>
          <w:u w:color="111111"/>
          <w:rtl w:val="0"/>
          <w:lang w:val="en-US"/>
          <w14:textFill>
            <w14:solidFill>
              <w14:srgbClr w14:val="111111"/>
            </w14:solidFill>
          </w14:textFill>
        </w:rPr>
        <w:t>When a technician discovers a better technique, it stays in their head or in a lab notebook. The system has no governed mechanism to absorb improvement without replication creating another divergence point.</w:t>
      </w:r>
    </w:p>
    <w:p>
      <w:pPr>
        <w:pStyle w:val="List Paragraph"/>
        <w:numPr>
          <w:ilvl w:val="0"/>
          <w:numId w:val="2"/>
        </w:numPr>
        <w:spacing w:before="60" w:after="60"/>
        <w:rPr>
          <w:sz w:val="22"/>
          <w:szCs w:val="22"/>
          <w:lang w:val="en-US"/>
        </w:rPr>
      </w:pPr>
      <w:r>
        <w:rPr>
          <w:rFonts w:ascii="Arial" w:hAnsi="Arial"/>
          <w:b w:val="1"/>
          <w:bCs w:val="1"/>
          <w:outline w:val="0"/>
          <w:color w:val="8b0000"/>
          <w:sz w:val="22"/>
          <w:szCs w:val="22"/>
          <w:u w:color="8b0000"/>
          <w:rtl w:val="0"/>
          <w:lang w:val="en-US"/>
          <w14:textFill>
            <w14:solidFill>
              <w14:srgbClr w14:val="8B0000"/>
            </w14:solidFill>
          </w14:textFill>
        </w:rPr>
        <w:t xml:space="preserve">Audit fragility:  </w:t>
      </w:r>
      <w:r>
        <w:rPr>
          <w:rFonts w:ascii="Arial" w:hAnsi="Arial"/>
          <w:outline w:val="0"/>
          <w:color w:val="111111"/>
          <w:sz w:val="22"/>
          <w:szCs w:val="22"/>
          <w:u w:color="111111"/>
          <w:rtl w:val="0"/>
          <w:lang w:val="en-US"/>
          <w14:textFill>
            <w14:solidFill>
              <w14:srgbClr w14:val="111111"/>
            </w14:solidFill>
          </w14:textFill>
        </w:rPr>
        <w:t>An FDA inspector asking 'which process was in effect for this batch?' must be answered by cross-referencing multiple system copies, hoping they agree. They frequently do not.</w:t>
      </w:r>
    </w:p>
    <w:p>
      <w:pPr>
        <w:pStyle w:val="List Paragraph"/>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22" w:hRule="atLeast"/>
        </w:trPr>
        <w:tc>
          <w:tcPr>
            <w:tcW w:type="dxa" w:w="9360"/>
            <w:tcBorders>
              <w:top w:val="single" w:color="003087" w:sz="8" w:space="0" w:shadow="0" w:frame="0"/>
              <w:left w:val="single" w:color="003087" w:sz="8" w:space="0" w:shadow="0" w:frame="0"/>
              <w:bottom w:val="single" w:color="003087" w:sz="8" w:space="0" w:shadow="0" w:frame="0"/>
              <w:right w:val="single" w:color="003087" w:sz="8" w:space="0" w:shadow="0" w:frame="0"/>
            </w:tcBorders>
            <w:shd w:val="clear" w:color="auto" w:fill="e8ee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003087"/>
                <w:sz w:val="20"/>
                <w:szCs w:val="20"/>
                <w:u w:color="003087"/>
                <w:shd w:val="nil" w:color="auto" w:fill="auto"/>
                <w:rtl w:val="0"/>
                <w:lang w:val="en-US"/>
                <w14:textFill>
                  <w14:solidFill>
                    <w14:srgbClr w14:val="003087"/>
                  </w14:solidFill>
                </w14:textFill>
              </w:rPr>
              <w:t xml:space="preserve">The holonic answer:  </w:t>
            </w:r>
            <w:r>
              <w:rPr>
                <w:rFonts w:ascii="Arial" w:hAnsi="Arial"/>
                <w:i w:val="1"/>
                <w:iCs w:val="1"/>
                <w:outline w:val="0"/>
                <w:color w:val="0a1828"/>
                <w:sz w:val="20"/>
                <w:szCs w:val="20"/>
                <w:u w:color="0a1828"/>
                <w:shd w:val="nil" w:color="auto" w:fill="auto"/>
                <w:rtl w:val="0"/>
                <w:lang w:val="en-US"/>
                <w14:textFill>
                  <w14:solidFill>
                    <w14:srgbClr w14:val="0A1828"/>
                  </w14:solidFill>
                </w14:textFill>
              </w:rPr>
              <w:t xml:space="preserve">Process is represented once at each holonic level </w:t>
            </w:r>
            <w:r>
              <w:rPr>
                <w:rFonts w:ascii="Arial" w:hAnsi="Arial" w:hint="default"/>
                <w:i w:val="1"/>
                <w:iCs w:val="1"/>
                <w:outline w:val="0"/>
                <w:color w:val="0a1828"/>
                <w:sz w:val="20"/>
                <w:szCs w:val="20"/>
                <w:u w:color="0a1828"/>
                <w:shd w:val="nil" w:color="auto" w:fill="auto"/>
                <w:rtl w:val="0"/>
                <w:lang w:val="en-US"/>
                <w14:textFill>
                  <w14:solidFill>
                    <w14:srgbClr w14:val="0A1828"/>
                  </w14:solidFill>
                </w14:textFill>
              </w:rPr>
              <w:t xml:space="preserve">— </w:t>
            </w:r>
            <w:r>
              <w:rPr>
                <w:rFonts w:ascii="Arial" w:hAnsi="Arial"/>
                <w:i w:val="1"/>
                <w:iCs w:val="1"/>
                <w:outline w:val="0"/>
                <w:color w:val="0a1828"/>
                <w:sz w:val="20"/>
                <w:szCs w:val="20"/>
                <w:u w:color="0a1828"/>
                <w:shd w:val="nil" w:color="auto" w:fill="auto"/>
                <w:rtl w:val="0"/>
                <w:lang w:val="en-US"/>
                <w14:textFill>
                  <w14:solidFill>
                    <w14:srgbClr w14:val="0A1828"/>
                  </w14:solidFill>
                </w14:textFill>
              </w:rPr>
              <w:t>not as a copy of the same document, but as a complementary aspect. The governance layer holds the rules. The knowledge graph holds the history. The digital twin holds the current state. The physical layer holds the execution. These four aspects are orthogonal, not redundant.</w:t>
            </w:r>
          </w:p>
        </w:tc>
      </w:tr>
    </w:tbl>
    <w:p>
      <w:pPr>
        <w:pStyle w:val="List Paragraph"/>
        <w:widowControl w:val="0"/>
        <w:spacing w:before="60" w:after="60"/>
      </w:pPr>
    </w:p>
    <w:p>
      <w:pPr>
        <w:pStyle w:val="List Paragraph"/>
        <w:widowControl w:val="0"/>
        <w:spacing w:before="60" w:after="60"/>
      </w:pPr>
      <w:r>
        <w:rPr>
          <w:rFonts w:ascii="Arial Unicode MS" w:cs="Arial Unicode MS" w:hAnsi="Arial Unicode MS" w:eastAsia="Arial Unicode MS"/>
          <w:b w:val="0"/>
          <w:bCs w:val="0"/>
          <w:i w:val="0"/>
          <w:iCs w:val="0"/>
        </w:rPr>
        <w:br w:type="page"/>
      </w:r>
    </w:p>
    <w:p>
      <w:pPr>
        <w:pStyle w:val="Heading"/>
      </w:pPr>
      <w:r>
        <w:rPr>
          <w:outline w:val="0"/>
          <w:color w:val="003087"/>
          <w:u w:color="003087"/>
          <w:rtl w:val="0"/>
          <w:lang w:val="en-US"/>
          <w14:textFill>
            <w14:solidFill>
              <w14:srgbClr w14:val="003087"/>
            </w14:solidFill>
          </w14:textFill>
        </w:rPr>
        <w:t>2.  The Five-Level Process Architecture</w:t>
      </w:r>
    </w:p>
    <w:p>
      <w:pPr>
        <w:pStyle w:val="Heading"/>
      </w:pPr>
    </w:p>
    <w:p>
      <w:pPr>
        <w:pStyle w:val="Heading"/>
      </w:pPr>
      <w:r>
        <w:rPr>
          <w:outline w:val="0"/>
          <w:color w:val="111111"/>
          <w:sz w:val="22"/>
          <w:szCs w:val="22"/>
          <w:u w:color="111111"/>
          <w:rtl w:val="0"/>
          <w:lang w:val="en-US"/>
          <w14:textFill>
            <w14:solidFill>
              <w14:srgbClr w14:val="111111"/>
            </w14:solidFill>
          </w14:textFill>
        </w:rPr>
        <w:t xml:space="preserve">A process in the holonic architecture exists simultaneously at five levels, each holding a different aspect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not a copy, but a complementary perspective</w:t>
      </w:r>
      <w:r>
        <w:rPr>
          <w:outline w:val="0"/>
          <w:color w:val="111111"/>
          <w:sz w:val="22"/>
          <w:szCs w:val="22"/>
          <w:u w:color="111111"/>
          <w:rtl w:val="0"/>
          <w:lang w:val="en-US"/>
          <w14:textFill>
            <w14:solidFill>
              <w14:srgbClr w14:val="111111"/>
            </w14:solidFill>
          </w14:textFill>
        </w:rPr>
        <w:t>. Each level holds the kind of authority that naturally belongs to it and has no business replicating what belongs to another level.</w:t>
      </w:r>
    </w:p>
    <w:p>
      <w:pPr>
        <w:pStyle w:val="Heading"/>
      </w:pPr>
    </w:p>
    <w:p>
      <w:pPr>
        <w:pStyle w:val="Heading"/>
      </w:pPr>
      <w:r>
        <w:rPr>
          <w:outline w:val="0"/>
          <w:color w:val="000000"/>
          <w:u w:color="000000"/>
          <w14:textFill>
            <w14:solidFill>
              <w14:srgbClr w14:val="000000"/>
            </w14:solidFill>
          </w14:textFill>
        </w:rPr>
        <w:drawing xmlns:a="http://schemas.openxmlformats.org/drawingml/2006/main">
          <wp:inline distT="0" distB="0" distL="0" distR="0">
            <wp:extent cx="6172073" cy="3817190"/>
            <wp:effectExtent l="0" t="0" r="0" b="0"/>
            <wp:docPr id="1073741825" name="officeArt object" descr="caab2b815ed6894ffcdfb86dbf23c9b2a11261a5.png"/>
            <wp:cNvGraphicFramePr/>
            <a:graphic xmlns:a="http://schemas.openxmlformats.org/drawingml/2006/main">
              <a:graphicData uri="http://schemas.openxmlformats.org/drawingml/2006/picture">
                <pic:pic xmlns:pic="http://schemas.openxmlformats.org/drawingml/2006/picture">
                  <pic:nvPicPr>
                    <pic:cNvPr id="1073741825" name="caab2b815ed6894ffcdfb86dbf23c9b2a11261a5.png" descr="caab2b815ed6894ffcdfb86dbf23c9b2a11261a5.png"/>
                    <pic:cNvPicPr>
                      <a:picLocks noChangeAspect="1"/>
                    </pic:cNvPicPr>
                  </pic:nvPicPr>
                  <pic:blipFill>
                    <a:blip r:embed="rId4">
                      <a:extLst/>
                    </a:blip>
                    <a:stretch>
                      <a:fillRect/>
                    </a:stretch>
                  </pic:blipFill>
                  <pic:spPr>
                    <a:xfrm>
                      <a:off x="0" y="0"/>
                      <a:ext cx="6172073" cy="3817190"/>
                    </a:xfrm>
                    <a:prstGeom prst="rect">
                      <a:avLst/>
                    </a:prstGeom>
                    <a:ln w="12700" cap="flat">
                      <a:noFill/>
                      <a:miter lim="400000"/>
                    </a:ln>
                    <a:effectLst/>
                  </pic:spPr>
                </pic:pic>
              </a:graphicData>
            </a:graphic>
          </wp:inline>
        </w:drawing>
      </w:r>
    </w:p>
    <w:p>
      <w:pPr>
        <w:pStyle w:val="Heading"/>
      </w:pPr>
      <w:r>
        <w:rPr>
          <w:i w:val="1"/>
          <w:iCs w:val="1"/>
          <w:outline w:val="0"/>
          <w:color w:val="595959"/>
          <w:sz w:val="18"/>
          <w:szCs w:val="18"/>
          <w:u w:color="595959"/>
          <w:rtl w:val="0"/>
          <w:lang w:val="en-US"/>
          <w14:textFill>
            <w14:solidFill>
              <w14:srgbClr w14:val="595959"/>
            </w14:solidFill>
          </w14:textFill>
        </w:rPr>
        <w:t xml:space="preserve">Figure 1: The Five-Level Process Architecture </w:t>
      </w:r>
      <w:r>
        <w:rPr>
          <w:i w:val="1"/>
          <w:iCs w:val="1"/>
          <w:outline w:val="0"/>
          <w:color w:val="595959"/>
          <w:sz w:val="18"/>
          <w:szCs w:val="18"/>
          <w:u w:color="595959"/>
          <w:rtl w:val="0"/>
          <w:lang w:val="en-US"/>
          <w14:textFill>
            <w14:solidFill>
              <w14:srgbClr w14:val="595959"/>
            </w14:solidFill>
          </w14:textFill>
        </w:rPr>
        <w:t xml:space="preserve">— </w:t>
      </w:r>
      <w:r>
        <w:rPr>
          <w:i w:val="1"/>
          <w:iCs w:val="1"/>
          <w:outline w:val="0"/>
          <w:color w:val="595959"/>
          <w:sz w:val="18"/>
          <w:szCs w:val="18"/>
          <w:u w:color="595959"/>
          <w:rtl w:val="0"/>
          <w:lang w:val="en-US"/>
          <w14:textFill>
            <w14:solidFill>
              <w14:srgbClr w14:val="595959"/>
            </w14:solidFill>
          </w14:textFill>
        </w:rPr>
        <w:t>Five complementary aspects, no replication</w:t>
      </w:r>
    </w:p>
    <w:p>
      <w:pPr>
        <w:pStyle w:val="Heading"/>
      </w:pPr>
    </w:p>
    <w:p>
      <w:pPr>
        <w:pStyle w:val="Heading 2"/>
      </w:pPr>
      <w:r>
        <w:rPr>
          <w:outline w:val="0"/>
          <w:color w:val="0070c0"/>
          <w:u w:color="0070c0"/>
          <w:rtl w:val="0"/>
          <w:lang w:val="en-US"/>
          <w14:textFill>
            <w14:solidFill>
              <w14:srgbClr w14:val="0070C0"/>
            </w14:solidFill>
          </w14:textFill>
        </w:rPr>
        <w:t xml:space="preserve">Layer 5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Semantic Governance: Process DEFINITION</w:t>
      </w:r>
    </w:p>
    <w:p>
      <w:pPr>
        <w:pStyle w:val="Heading 2"/>
      </w:pPr>
      <w:r>
        <w:rPr>
          <w:outline w:val="0"/>
          <w:color w:val="111111"/>
          <w:sz w:val="22"/>
          <w:szCs w:val="22"/>
          <w:u w:color="111111"/>
          <w:rtl w:val="0"/>
          <w:lang w:val="en-US"/>
          <w14:textFill>
            <w14:solidFill>
              <w14:srgbClr w14:val="111111"/>
            </w14:solidFill>
          </w14:textFill>
        </w:rPr>
        <w:t xml:space="preserve">Layer 5 holds the </w:t>
      </w:r>
      <w:r>
        <w:rPr>
          <w:outline w:val="0"/>
          <w:color w:val="111111"/>
          <w:sz w:val="22"/>
          <w:szCs w:val="22"/>
          <w:u w:color="111111"/>
          <w:shd w:val="clear" w:color="auto" w:fill="ffff00"/>
          <w:rtl w:val="0"/>
          <w:lang w:val="en-US"/>
          <w14:textFill>
            <w14:solidFill>
              <w14:srgbClr w14:val="111111"/>
            </w14:solidFill>
          </w14:textFill>
        </w:rPr>
        <w:t>definition of what the process IS and what rules govern it</w:t>
      </w:r>
      <w:r>
        <w:rPr>
          <w:outline w:val="0"/>
          <w:color w:val="111111"/>
          <w:sz w:val="22"/>
          <w:szCs w:val="22"/>
          <w:u w:color="111111"/>
          <w:rtl w:val="0"/>
          <w:lang w:val="en-US"/>
          <w14:textFill>
            <w14:solidFill>
              <w14:srgbClr w14:val="111111"/>
            </w14:solidFill>
          </w14:textFill>
        </w:rPr>
        <w:t xml:space="preserve">. This is expressed in three formal languages that work together: </w:t>
      </w:r>
      <w:r>
        <w:rPr>
          <w:rFonts w:ascii="Courier New" w:hAnsi="Courier New"/>
          <w:outline w:val="0"/>
          <w:color w:val="4a2a8a"/>
          <w:sz w:val="20"/>
          <w:szCs w:val="20"/>
          <w:u w:color="4a2a8a"/>
          <w:rtl w:val="0"/>
          <w:lang w:val="en-US"/>
          <w14:textFill>
            <w14:solidFill>
              <w14:srgbClr w14:val="4A2A8A"/>
            </w14:solidFill>
          </w14:textFill>
        </w:rPr>
        <w:t>OWL 2</w:t>
      </w:r>
      <w:r>
        <w:rPr>
          <w:outline w:val="0"/>
          <w:color w:val="111111"/>
          <w:sz w:val="22"/>
          <w:szCs w:val="22"/>
          <w:u w:color="111111"/>
          <w:rtl w:val="0"/>
          <w:lang w:val="en-US"/>
          <w14:textFill>
            <w14:solidFill>
              <w14:srgbClr w14:val="111111"/>
            </w14:solidFill>
          </w14:textFill>
        </w:rPr>
        <w:t xml:space="preserve"> class definitions (the ontological identity of the process concept), </w:t>
      </w:r>
      <w:r>
        <w:rPr>
          <w:rFonts w:ascii="Courier New" w:hAnsi="Courier New"/>
          <w:outline w:val="0"/>
          <w:color w:val="4a2a8a"/>
          <w:sz w:val="20"/>
          <w:szCs w:val="20"/>
          <w:u w:color="4a2a8a"/>
          <w:rtl w:val="0"/>
          <w:lang w:val="de-DE"/>
          <w14:textFill>
            <w14:solidFill>
              <w14:srgbClr w14:val="4A2A8A"/>
            </w14:solidFill>
          </w14:textFill>
        </w:rPr>
        <w:t>SHACL</w:t>
      </w:r>
      <w:r>
        <w:rPr>
          <w:outline w:val="0"/>
          <w:color w:val="111111"/>
          <w:sz w:val="22"/>
          <w:szCs w:val="22"/>
          <w:u w:color="111111"/>
          <w:rtl w:val="0"/>
          <w:lang w:val="en-US"/>
          <w14:textFill>
            <w14:solidFill>
              <w14:srgbClr w14:val="111111"/>
            </w14:solidFill>
          </w14:textFill>
        </w:rPr>
        <w:t xml:space="preserve"> constraint shapes (the formal specification of what valid process instances look like), and </w:t>
      </w:r>
      <w:r>
        <w:rPr>
          <w:rFonts w:ascii="Courier New" w:hAnsi="Courier New"/>
          <w:outline w:val="0"/>
          <w:color w:val="4a2a8a"/>
          <w:sz w:val="20"/>
          <w:szCs w:val="20"/>
          <w:u w:color="4a2a8a"/>
          <w:rtl w:val="0"/>
          <w14:textFill>
            <w14:solidFill>
              <w14:srgbClr w14:val="4A2A8A"/>
            </w14:solidFill>
          </w14:textFill>
        </w:rPr>
        <w:t>LKIF</w:t>
      </w:r>
      <w:r>
        <w:rPr>
          <w:outline w:val="0"/>
          <w:color w:val="111111"/>
          <w:sz w:val="22"/>
          <w:szCs w:val="22"/>
          <w:u w:color="111111"/>
          <w:rtl w:val="0"/>
          <w:lang w:val="en-US"/>
          <w14:textFill>
            <w14:solidFill>
              <w14:srgbClr w14:val="111111"/>
            </w14:solidFill>
          </w14:textFill>
        </w:rPr>
        <w:t xml:space="preserve"> deontic norms (the prescriptive obligations, permissions, and prohibitions that govern process behavior). The Compounding Process class in the OWL ontology defines the concept. The SHACL shape specifies that pH must remain between 6.8 and 7.2 during the mixing phase. The LKIF obligation states that every parameter change must be logged. None of this contains execution logic. It is governance specification only.</w:t>
      </w:r>
    </w:p>
    <w:p>
      <w:pPr>
        <w:pStyle w:val="Heading 2"/>
      </w:pPr>
    </w:p>
    <w:p>
      <w:pPr>
        <w:pStyle w:val="Heading 2"/>
      </w:pPr>
      <w:r>
        <w:rPr>
          <w:outline w:val="0"/>
          <w:color w:val="0070c0"/>
          <w:u w:color="0070c0"/>
          <w:rtl w:val="0"/>
          <w:lang w:val="en-US"/>
          <w14:textFill>
            <w14:solidFill>
              <w14:srgbClr w14:val="0070C0"/>
            </w14:solidFill>
          </w14:textFill>
        </w:rPr>
        <w:t xml:space="preserve">Layer 4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Knowledge Graph: Process HISTORY &amp; CONTEXT</w:t>
      </w:r>
    </w:p>
    <w:p>
      <w:pPr>
        <w:pStyle w:val="Heading 2"/>
      </w:pPr>
      <w:r>
        <w:rPr>
          <w:outline w:val="0"/>
          <w:color w:val="111111"/>
          <w:sz w:val="22"/>
          <w:szCs w:val="22"/>
          <w:u w:color="111111"/>
          <w:rtl w:val="0"/>
          <w:lang w:val="en-US"/>
          <w14:textFill>
            <w14:solidFill>
              <w14:srgbClr w14:val="111111"/>
            </w14:solidFill>
          </w14:textFill>
        </w:rPr>
        <w:t xml:space="preserve">Layer 4 holds </w:t>
      </w:r>
      <w:r>
        <w:rPr>
          <w:outline w:val="0"/>
          <w:color w:val="111111"/>
          <w:sz w:val="22"/>
          <w:szCs w:val="22"/>
          <w:u w:color="111111"/>
          <w:shd w:val="clear" w:color="auto" w:fill="ffff00"/>
          <w:rtl w:val="0"/>
          <w:lang w:val="en-US"/>
          <w14:textFill>
            <w14:solidFill>
              <w14:srgbClr w14:val="111111"/>
            </w14:solidFill>
          </w14:textFill>
        </w:rPr>
        <w:t xml:space="preserve">every process instance ever run </w:t>
      </w:r>
      <w:r>
        <w:rPr>
          <w:outline w:val="0"/>
          <w:color w:val="111111"/>
          <w:sz w:val="22"/>
          <w:szCs w:val="22"/>
          <w:u w:color="111111"/>
          <w:shd w:val="clear" w:color="auto" w:fill="ffff00"/>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its parameters, its outcomes, its genealogy connections, its deviations, and its regulatory relationships</w:t>
      </w:r>
      <w:r>
        <w:rPr>
          <w:outline w:val="0"/>
          <w:color w:val="111111"/>
          <w:sz w:val="22"/>
          <w:szCs w:val="22"/>
          <w:u w:color="111111"/>
          <w:rtl w:val="0"/>
          <w:lang w:val="en-US"/>
          <w14:textFill>
            <w14:solidFill>
              <w14:srgbClr w14:val="111111"/>
            </w14:solidFill>
          </w14:textFill>
        </w:rPr>
        <w:t xml:space="preserve">. This is Wymore's </w:t>
      </w:r>
      <w:r>
        <w:rPr>
          <w:rFonts w:ascii="Courier New" w:hAnsi="Courier New"/>
          <w:outline w:val="0"/>
          <w:color w:val="4a2a8a"/>
          <w:sz w:val="20"/>
          <w:szCs w:val="20"/>
          <w:u w:color="4a2a8a"/>
          <w:rtl w:val="0"/>
          <w:lang w:val="de-DE"/>
          <w14:textFill>
            <w14:solidFill>
              <w14:srgbClr w14:val="4A2A8A"/>
            </w14:solidFill>
          </w14:textFill>
        </w:rPr>
        <w:t>W</w:t>
      </w:r>
      <w:r>
        <w:rPr>
          <w:outline w:val="0"/>
          <w:color w:val="111111"/>
          <w:sz w:val="22"/>
          <w:szCs w:val="22"/>
          <w:u w:color="111111"/>
          <w:rtl w:val="0"/>
          <w:lang w:val="en-US"/>
          <w14:textFill>
            <w14:solidFill>
              <w14:srgbClr w14:val="111111"/>
            </w14:solidFill>
          </w14:textFill>
        </w:rPr>
        <w:t xml:space="preserve"> (the state space)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 xml:space="preserve">the complete set of valid historical and current states available for reasoning. When a scientist asks which prior compounding batches shared a specific excipient lot with batches that failed dissolution testing, </w:t>
      </w:r>
      <w:r>
        <w:rPr>
          <w:outline w:val="0"/>
          <w:color w:val="111111"/>
          <w:sz w:val="22"/>
          <w:szCs w:val="22"/>
          <w:u w:color="111111"/>
          <w:shd w:val="clear" w:color="auto" w:fill="ffff00"/>
          <w:rtl w:val="0"/>
          <w:lang w:val="en-US"/>
          <w14:textFill>
            <w14:solidFill>
              <w14:srgbClr w14:val="111111"/>
            </w14:solidFill>
          </w14:textFill>
        </w:rPr>
        <w:t>the Knowledge Graph answers this in seconds without touching any source system</w:t>
      </w:r>
      <w:r>
        <w:rPr>
          <w:outline w:val="0"/>
          <w:color w:val="111111"/>
          <w:sz w:val="22"/>
          <w:szCs w:val="22"/>
          <w:u w:color="111111"/>
          <w:rtl w:val="0"/>
          <w:lang w:val="en-US"/>
          <w14:textFill>
            <w14:solidFill>
              <w14:srgbClr w14:val="111111"/>
            </w14:solidFill>
          </w14:textFill>
        </w:rPr>
        <w:t xml:space="preserve">. The six named graphs (R&amp;D, Clinical, Manufacturing, Supply Chain, Regulatory, Governance) provide provenance isolation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process data from one domain is queryable alongside data from other domains without those domains being merged.</w:t>
      </w:r>
    </w:p>
    <w:p>
      <w:pPr>
        <w:pStyle w:val="Heading 2"/>
      </w:pPr>
    </w:p>
    <w:p>
      <w:pPr>
        <w:pStyle w:val="Heading 2"/>
      </w:pPr>
      <w:r>
        <w:rPr>
          <w:outline w:val="0"/>
          <w:color w:val="0070c0"/>
          <w:u w:color="0070c0"/>
          <w:rtl w:val="0"/>
          <w:lang w:val="en-US"/>
          <w14:textFill>
            <w14:solidFill>
              <w14:srgbClr w14:val="0070C0"/>
            </w14:solidFill>
          </w14:textFill>
        </w:rPr>
        <w:t xml:space="preserve">Layer 3 </w:t>
      </w:r>
      <w:r>
        <w:rPr>
          <w:outline w:val="0"/>
          <w:color w:val="0070c0"/>
          <w:u w:color="0070c0"/>
          <w:rtl w:val="0"/>
          <w:lang w:val="en-US"/>
          <w14:textFill>
            <w14:solidFill>
              <w14:srgbClr w14:val="0070C0"/>
            </w14:solidFill>
          </w14:textFill>
        </w:rPr>
        <w:t xml:space="preserve">— </w:t>
      </w:r>
      <w:r>
        <w:rPr>
          <w:outline w:val="0"/>
          <w:color w:val="0070c0"/>
          <w:u w:color="0070c0"/>
          <w:rtl w:val="0"/>
          <w:lang w:val="de-DE"/>
          <w14:textFill>
            <w14:solidFill>
              <w14:srgbClr w14:val="0070C0"/>
            </w14:solidFill>
          </w14:textFill>
        </w:rPr>
        <w:t>PEP / RDSG Gateway: Process GOVERNANCE PROTOCOL</w:t>
      </w:r>
    </w:p>
    <w:p>
      <w:pPr>
        <w:pStyle w:val="Heading 2"/>
      </w:pPr>
      <w:r>
        <w:rPr>
          <w:outline w:val="0"/>
          <w:color w:val="111111"/>
          <w:sz w:val="22"/>
          <w:szCs w:val="22"/>
          <w:u w:color="111111"/>
          <w:rtl w:val="0"/>
          <w:lang w:val="en-US"/>
          <w14:textFill>
            <w14:solidFill>
              <w14:srgbClr w14:val="111111"/>
            </w14:solidFill>
          </w14:textFill>
        </w:rPr>
        <w:t xml:space="preserve">Layer 3 is the most architecturally consequential layer. It holds Wymore's </w:t>
      </w:r>
      <w:r>
        <w:rPr>
          <w:rFonts w:ascii="Courier New" w:hAnsi="Courier New" w:hint="default"/>
          <w:outline w:val="0"/>
          <w:color w:val="4a2a8a"/>
          <w:sz w:val="20"/>
          <w:szCs w:val="20"/>
          <w:u w:color="4a2a8a"/>
          <w:rtl w:val="0"/>
          <w14:textFill>
            <w14:solidFill>
              <w14:srgbClr w14:val="4A2A8A"/>
            </w14:solidFill>
          </w14:textFill>
        </w:rPr>
        <w:t>Δ</w:t>
      </w:r>
      <w:r>
        <w:rPr>
          <w:outline w:val="0"/>
          <w:color w:val="111111"/>
          <w:sz w:val="22"/>
          <w:szCs w:val="22"/>
          <w:u w:color="111111"/>
          <w:rtl w:val="0"/>
          <w:lang w:val="en-US"/>
          <w14:textFill>
            <w14:solidFill>
              <w14:srgbClr w14:val="111111"/>
            </w14:solidFill>
          </w14:textFill>
        </w:rPr>
        <w:t xml:space="preserve"> — </w:t>
      </w:r>
      <w:r>
        <w:rPr>
          <w:outline w:val="0"/>
          <w:color w:val="111111"/>
          <w:sz w:val="22"/>
          <w:szCs w:val="22"/>
          <w:u w:color="111111"/>
          <w:rtl w:val="0"/>
          <w:lang w:val="en-US"/>
          <w14:textFill>
            <w14:solidFill>
              <w14:srgbClr w14:val="111111"/>
            </w14:solidFill>
          </w14:textFill>
        </w:rPr>
        <w:t xml:space="preserve">the state transition function. </w:t>
      </w:r>
      <w:r>
        <w:rPr>
          <w:outline w:val="0"/>
          <w:color w:val="111111"/>
          <w:sz w:val="22"/>
          <w:szCs w:val="22"/>
          <w:u w:color="111111"/>
          <w:shd w:val="clear" w:color="auto" w:fill="ffff00"/>
          <w:rtl w:val="0"/>
          <w:lang w:val="en-US"/>
          <w14:textFill>
            <w14:solidFill>
              <w14:srgbClr w14:val="111111"/>
            </w14:solidFill>
          </w14:textFill>
        </w:rPr>
        <w:t xml:space="preserve">Every proposed change to process state </w:t>
      </w:r>
      <w:r>
        <w:rPr>
          <w:outline w:val="0"/>
          <w:color w:val="111111"/>
          <w:sz w:val="22"/>
          <w:szCs w:val="22"/>
          <w:u w:color="111111"/>
          <w:shd w:val="clear" w:color="auto" w:fill="ffff00"/>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 xml:space="preserve">whether from a human, an AI agent, an automated service, a robotic system, or a sensor event </w:t>
      </w:r>
      <w:r>
        <w:rPr>
          <w:outline w:val="0"/>
          <w:color w:val="111111"/>
          <w:sz w:val="22"/>
          <w:szCs w:val="22"/>
          <w:u w:color="111111"/>
          <w:shd w:val="clear" w:color="auto" w:fill="ffff00"/>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must pass through the six-stage RDSG traversal before the transition completes.</w:t>
      </w:r>
      <w:r>
        <w:rPr>
          <w:outline w:val="0"/>
          <w:color w:val="111111"/>
          <w:sz w:val="22"/>
          <w:szCs w:val="22"/>
          <w:u w:color="111111"/>
          <w:rtl w:val="0"/>
          <w:lang w:val="en-US"/>
          <w14:textFill>
            <w14:solidFill>
              <w14:srgbClr w14:val="111111"/>
            </w14:solidFill>
          </w14:textFill>
        </w:rPr>
        <w:t xml:space="preserve"> The RDSG does not know what the process does physically. It knows what rules the process must satisfy. This is the formal definition of structural governance: it is not possible to bypass the governance layer because the governance layer is the transition mechanism.</w:t>
      </w:r>
    </w:p>
    <w:p>
      <w:pPr>
        <w:pStyle w:val="Heading 2"/>
      </w:pPr>
    </w:p>
    <w:p>
      <w:pPr>
        <w:pStyle w:val="Heading 2"/>
      </w:pPr>
      <w:r>
        <w:rPr>
          <w:outline w:val="0"/>
          <w:color w:val="0070c0"/>
          <w:u w:color="0070c0"/>
          <w:rtl w:val="0"/>
          <w:lang w:val="en-US"/>
          <w14:textFill>
            <w14:solidFill>
              <w14:srgbClr w14:val="0070C0"/>
            </w14:solidFill>
          </w14:textFill>
        </w:rPr>
        <w:t xml:space="preserve">Layer 2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Digital Twin / AAS: Process CURRENT STATE</w:t>
      </w:r>
    </w:p>
    <w:p>
      <w:pPr>
        <w:pStyle w:val="Heading 2"/>
      </w:pPr>
      <w:r>
        <w:rPr>
          <w:outline w:val="0"/>
          <w:color w:val="111111"/>
          <w:sz w:val="22"/>
          <w:szCs w:val="22"/>
          <w:u w:color="111111"/>
          <w:rtl w:val="0"/>
          <w:lang w:val="en-US"/>
          <w14:textFill>
            <w14:solidFill>
              <w14:srgbClr w14:val="111111"/>
            </w14:solidFill>
          </w14:textFill>
        </w:rPr>
        <w:t xml:space="preserve">Layer 2 holds the live semantic state of process execution through the Asset Administration Shell. The AAS </w:t>
      </w:r>
      <w:r>
        <w:rPr>
          <w:rFonts w:ascii="Courier New" w:hAnsi="Courier New"/>
          <w:outline w:val="0"/>
          <w:color w:val="4a2a8a"/>
          <w:sz w:val="20"/>
          <w:szCs w:val="20"/>
          <w:u w:color="4a2a8a"/>
          <w:rtl w:val="0"/>
          <w:lang w:val="en-US"/>
          <w14:textFill>
            <w14:solidFill>
              <w14:srgbClr w14:val="4A2A8A"/>
            </w14:solidFill>
          </w14:textFill>
        </w:rPr>
        <w:t>ProcessPhaseLog</w:t>
      </w:r>
      <w:r>
        <w:rPr>
          <w:outline w:val="0"/>
          <w:color w:val="111111"/>
          <w:sz w:val="22"/>
          <w:szCs w:val="22"/>
          <w:u w:color="111111"/>
          <w:rtl w:val="0"/>
          <w:lang w:val="en-US"/>
          <w14:textFill>
            <w14:solidFill>
              <w14:srgbClr w14:val="111111"/>
            </w14:solidFill>
          </w14:textFill>
        </w:rPr>
        <w:t xml:space="preserve"> submodel carries real-time telemetry </w:t>
      </w:r>
      <w:r>
        <w:rPr>
          <w:outline w:val="0"/>
          <w:color w:val="111111"/>
          <w:sz w:val="22"/>
          <w:szCs w:val="22"/>
          <w:u w:color="111111"/>
          <w:rtl w:val="0"/>
          <w:lang w:val="en-US"/>
          <w14:textFill>
            <w14:solidFill>
              <w14:srgbClr w14:val="111111"/>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currentPhaseState : PhaseState_Mixing</w:t>
      </w:r>
      <w:r>
        <w:rPr>
          <w:outline w:val="0"/>
          <w:color w:val="111111"/>
          <w:sz w:val="22"/>
          <w:szCs w:val="22"/>
          <w:u w:color="111111"/>
          <w:rtl w:val="0"/>
          <w14:textFill>
            <w14:solidFill>
              <w14:srgbClr w14:val="111111"/>
            </w14:solidFill>
          </w14:textFill>
        </w:rPr>
        <w:t xml:space="preserve">, </w:t>
      </w:r>
      <w:r>
        <w:rPr>
          <w:rFonts w:ascii="Courier New" w:hAnsi="Courier New"/>
          <w:outline w:val="0"/>
          <w:color w:val="4a2a8a"/>
          <w:sz w:val="20"/>
          <w:szCs w:val="20"/>
          <w:u w:color="4a2a8a"/>
          <w:rtl w:val="0"/>
          <w:lang w:val="fr-FR"/>
          <w14:textFill>
            <w14:solidFill>
              <w14:srgbClr w14:val="4A2A8A"/>
            </w14:solidFill>
          </w14:textFill>
        </w:rPr>
        <w:t>hasTemperature : 37.2 [</w:t>
      </w:r>
      <w:r>
        <w:rPr>
          <w:rFonts w:ascii="Courier New" w:hAnsi="Courier New" w:hint="default"/>
          <w:outline w:val="0"/>
          <w:color w:val="4a2a8a"/>
          <w:sz w:val="20"/>
          <w:szCs w:val="20"/>
          <w:u w:color="4a2a8a"/>
          <w:rtl w:val="0"/>
          <w:lang w:val="it-IT"/>
          <w14:textFill>
            <w14:solidFill>
              <w14:srgbClr w14:val="4A2A8A"/>
            </w14:solidFill>
          </w14:textFill>
        </w:rPr>
        <w:t>°</w:t>
      </w:r>
      <w:r>
        <w:rPr>
          <w:rFonts w:ascii="Courier New" w:hAnsi="Courier New"/>
          <w:outline w:val="0"/>
          <w:color w:val="4a2a8a"/>
          <w:sz w:val="20"/>
          <w:szCs w:val="20"/>
          <w:u w:color="4a2a8a"/>
          <w:rtl w:val="0"/>
          <w:lang w:val="pt-PT"/>
          <w14:textFill>
            <w14:solidFill>
              <w14:srgbClr w14:val="4A2A8A"/>
            </w14:solidFill>
          </w14:textFill>
        </w:rPr>
        <w:t>C]</w:t>
      </w:r>
      <w:r>
        <w:rPr>
          <w:outline w:val="0"/>
          <w:color w:val="111111"/>
          <w:sz w:val="22"/>
          <w:szCs w:val="22"/>
          <w:u w:color="111111"/>
          <w:rtl w:val="0"/>
          <w14:textFill>
            <w14:solidFill>
              <w14:srgbClr w14:val="111111"/>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hasImpellerSpeed : 250 [RPM]</w:t>
      </w:r>
      <w:r>
        <w:rPr>
          <w:outline w:val="0"/>
          <w:color w:val="111111"/>
          <w:sz w:val="22"/>
          <w:szCs w:val="22"/>
          <w:u w:color="111111"/>
          <w:rtl w:val="0"/>
          <w:lang w:val="en-US"/>
          <w14:textFill>
            <w14:solidFill>
              <w14:srgbClr w14:val="111111"/>
            </w14:solidFill>
          </w14:textFill>
        </w:rPr>
        <w:t xml:space="preserve"> — </w:t>
      </w:r>
      <w:r>
        <w:rPr>
          <w:outline w:val="0"/>
          <w:color w:val="111111"/>
          <w:sz w:val="22"/>
          <w:szCs w:val="22"/>
          <w:u w:color="111111"/>
          <w:rtl w:val="0"/>
          <w:lang w:val="en-US"/>
          <w14:textFill>
            <w14:solidFill>
              <w14:srgbClr w14:val="111111"/>
            </w14:solidFill>
          </w14:textFill>
        </w:rPr>
        <w:t xml:space="preserve">generated from the OPC-UA signal stream via Siemens IOX and converted to typed RDF triples. </w:t>
      </w:r>
      <w:r>
        <w:rPr>
          <w:outline w:val="0"/>
          <w:color w:val="111111"/>
          <w:sz w:val="22"/>
          <w:szCs w:val="22"/>
          <w:u w:color="111111"/>
          <w:shd w:val="clear" w:color="auto" w:fill="ffff00"/>
          <w:rtl w:val="0"/>
          <w:lang w:val="en-US"/>
          <w14:textFill>
            <w14:solidFill>
              <w14:srgbClr w14:val="111111"/>
            </w14:solidFill>
          </w14:textFill>
        </w:rPr>
        <w:t>The AAS is the semantic bridge between physical execution and digital governance</w:t>
      </w:r>
      <w:r>
        <w:rPr>
          <w:outline w:val="0"/>
          <w:color w:val="111111"/>
          <w:sz w:val="22"/>
          <w:szCs w:val="22"/>
          <w:u w:color="111111"/>
          <w:rtl w:val="0"/>
          <w:lang w:val="en-US"/>
          <w14:textFill>
            <w14:solidFill>
              <w14:srgbClr w14:val="111111"/>
            </w14:solidFill>
          </w14:textFill>
        </w:rPr>
        <w:t>. It does not replicate the MES batch record. It provides a typed, ontology-conformant representation of current physical state that the Knowledge Graph and RDSG can reason over.</w:t>
      </w:r>
    </w:p>
    <w:p>
      <w:pPr>
        <w:pStyle w:val="Heading 2"/>
      </w:pPr>
    </w:p>
    <w:p>
      <w:pPr>
        <w:pStyle w:val="Heading 2"/>
      </w:pPr>
      <w:r>
        <w:rPr>
          <w:outline w:val="0"/>
          <w:color w:val="0070c0"/>
          <w:u w:color="0070c0"/>
          <w:rtl w:val="0"/>
          <w:lang w:val="en-US"/>
          <w14:textFill>
            <w14:solidFill>
              <w14:srgbClr w14:val="0070C0"/>
            </w14:solidFill>
          </w14:textFill>
        </w:rPr>
        <w:t xml:space="preserve">Layer 1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Physical Holons: Process EXECUTION</w:t>
      </w:r>
    </w:p>
    <w:p>
      <w:pPr>
        <w:pStyle w:val="Heading 2"/>
      </w:pPr>
      <w:r>
        <w:rPr>
          <w:outline w:val="0"/>
          <w:color w:val="111111"/>
          <w:sz w:val="22"/>
          <w:szCs w:val="22"/>
          <w:u w:color="111111"/>
          <w:rtl w:val="0"/>
          <w:lang w:val="en-US"/>
          <w14:textFill>
            <w14:solidFill>
              <w14:srgbClr w14:val="111111"/>
            </w14:solidFill>
          </w14:textFill>
        </w:rPr>
        <w:t xml:space="preserve">Layer 1 is the physical reality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 xml:space="preserve">bioreactors running, robots moving, instruments measuring, environmental systems monitoring. </w:t>
      </w:r>
      <w:r>
        <w:rPr>
          <w:outline w:val="0"/>
          <w:color w:val="1a3a1a"/>
          <w:sz w:val="22"/>
          <w:szCs w:val="22"/>
          <w:u w:color="1a3a1a"/>
          <w:shd w:val="clear" w:color="auto" w:fill="00ff00"/>
          <w:rtl w:val="0"/>
          <w:lang w:val="en-US"/>
          <w14:textFill>
            <w14:solidFill>
              <w14:srgbClr w14:val="1A3A1A"/>
            </w14:solidFill>
          </w14:textFill>
        </w:rPr>
        <w:t>The physical layer does not know about OWL ontologies or SHACL constraints. It publishes OPC-UA signals and receives actuation commands. Authority over physical execution stays here and was already validated through equipment qualification.</w:t>
      </w:r>
      <w:r>
        <w:rPr>
          <w:outline w:val="0"/>
          <w:color w:val="111111"/>
          <w:sz w:val="22"/>
          <w:szCs w:val="22"/>
          <w:u w:color="111111"/>
          <w:rtl w:val="0"/>
          <w:lang w:val="en-US"/>
          <w14:textFill>
            <w14:solidFill>
              <w14:srgbClr w14:val="111111"/>
            </w14:solidFill>
          </w14:textFill>
        </w:rPr>
        <w:t xml:space="preserve"> Nothing in the holonic architecture modifies how the physical layer operates internally. This is why </w:t>
      </w:r>
      <w:r>
        <w:rPr>
          <w:outline w:val="0"/>
          <w:color w:val="1a3a1a"/>
          <w:sz w:val="22"/>
          <w:szCs w:val="22"/>
          <w:u w:color="1a3a1a"/>
          <w:shd w:val="clear" w:color="auto" w:fill="00ff00"/>
          <w:rtl w:val="0"/>
          <w:lang w:val="en-US"/>
          <w14:textFill>
            <w14:solidFill>
              <w14:srgbClr w14:val="1A3A1A"/>
            </w14:solidFill>
          </w14:textFill>
        </w:rPr>
        <w:t>no GxP equipment qualification is invalidated by FABRIC integration.</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03087"/>
          <w:u w:color="003087"/>
          <w:rtl w:val="0"/>
          <w:lang w:val="en-US"/>
          <w14:textFill>
            <w14:solidFill>
              <w14:srgbClr w14:val="003087"/>
            </w14:solidFill>
          </w14:textFill>
        </w:rPr>
        <w:t xml:space="preserve">3.  The Formal Standards Bridge </w:t>
      </w:r>
      <w:r>
        <w:rPr>
          <w:outline w:val="0"/>
          <w:color w:val="003087"/>
          <w:u w:color="003087"/>
          <w:rtl w:val="0"/>
          <w:lang w:val="en-US"/>
          <w14:textFill>
            <w14:solidFill>
              <w14:srgbClr w14:val="003087"/>
            </w14:solidFill>
          </w14:textFill>
        </w:rPr>
        <w:t xml:space="preserve">— </w:t>
      </w:r>
      <w:r>
        <w:rPr>
          <w:outline w:val="0"/>
          <w:color w:val="003087"/>
          <w:u w:color="003087"/>
          <w:rtl w:val="0"/>
          <w:lang w:val="en-US"/>
          <w14:textFill>
            <w14:solidFill>
              <w14:srgbClr w14:val="003087"/>
            </w14:solidFill>
          </w14:textFill>
        </w:rPr>
        <w:t>VDI/VDE 3682, ISA-88, and Wymore Model M</w:t>
      </w:r>
    </w:p>
    <w:p>
      <w:pPr>
        <w:pStyle w:val="Heading"/>
      </w:pPr>
    </w:p>
    <w:p>
      <w:pPr>
        <w:pStyle w:val="Heading"/>
      </w:pPr>
      <w:r>
        <w:rPr>
          <w:outline w:val="0"/>
          <w:color w:val="111111"/>
          <w:sz w:val="22"/>
          <w:szCs w:val="22"/>
          <w:u w:color="111111"/>
          <w:rtl w:val="0"/>
          <w:lang w:val="en-US"/>
          <w14:textFill>
            <w14:solidFill>
              <w14:srgbClr w14:val="111111"/>
            </w14:solidFill>
          </w14:textFill>
        </w:rPr>
        <w:t xml:space="preserve">Three formal frameworks provide the structural vocabulary for process in the holonic architecture. </w:t>
      </w:r>
      <w:r>
        <w:rPr>
          <w:outline w:val="0"/>
          <w:color w:val="111111"/>
          <w:sz w:val="22"/>
          <w:szCs w:val="22"/>
          <w:u w:color="111111"/>
          <w:shd w:val="clear" w:color="auto" w:fill="ffff00"/>
          <w:rtl w:val="0"/>
          <w:lang w:val="en-US"/>
          <w14:textFill>
            <w14:solidFill>
              <w14:srgbClr w14:val="111111"/>
            </w14:solidFill>
          </w14:textFill>
        </w:rPr>
        <w:t>Their alignment eliminates the translation overhead that conventional multi-standard approaches require</w:t>
      </w:r>
      <w:r>
        <w:rPr>
          <w:outline w:val="0"/>
          <w:color w:val="111111"/>
          <w:sz w:val="22"/>
          <w:szCs w:val="22"/>
          <w:u w:color="111111"/>
          <w:rtl w:val="0"/>
          <w:lang w:val="en-US"/>
          <w14:textFill>
            <w14:solidFill>
              <w14:srgbClr w14:val="111111"/>
            </w14:solidFill>
          </w14:textFill>
        </w:rPr>
        <w:t xml:space="preserve"> — </w:t>
      </w:r>
      <w:r>
        <w:rPr>
          <w:outline w:val="0"/>
          <w:color w:val="111111"/>
          <w:sz w:val="22"/>
          <w:szCs w:val="22"/>
          <w:u w:color="111111"/>
          <w:rtl w:val="0"/>
          <w:lang w:val="en-US"/>
          <w14:textFill>
            <w14:solidFill>
              <w14:srgbClr w14:val="111111"/>
            </w14:solidFill>
          </w14:textFill>
        </w:rPr>
        <w:t>they describe the same governed process at the ontological, procedural, and formal-mathematical levels respectively.</w:t>
      </w:r>
    </w:p>
    <w:p>
      <w:pPr>
        <w:pStyle w:val="Heading"/>
      </w:pPr>
    </w:p>
    <w:p>
      <w:pPr>
        <w:pStyle w:val="Heading"/>
      </w:pPr>
      <w:r>
        <w:rPr>
          <w:outline w:val="0"/>
          <w:color w:val="000000"/>
          <w:u w:color="000000"/>
          <w14:textFill>
            <w14:solidFill>
              <w14:srgbClr w14:val="000000"/>
            </w14:solidFill>
          </w14:textFill>
        </w:rPr>
        <w:drawing xmlns:a="http://schemas.openxmlformats.org/drawingml/2006/main">
          <wp:inline distT="0" distB="0" distL="0" distR="0">
            <wp:extent cx="6172073" cy="3114523"/>
            <wp:effectExtent l="0" t="0" r="0" b="0"/>
            <wp:docPr id="1073741826" name="officeArt object" descr="001f08438179ac57e353a1c10fee5fede3246cd3.png"/>
            <wp:cNvGraphicFramePr/>
            <a:graphic xmlns:a="http://schemas.openxmlformats.org/drawingml/2006/main">
              <a:graphicData uri="http://schemas.openxmlformats.org/drawingml/2006/picture">
                <pic:pic xmlns:pic="http://schemas.openxmlformats.org/drawingml/2006/picture">
                  <pic:nvPicPr>
                    <pic:cNvPr id="1073741826" name="001f08438179ac57e353a1c10fee5fede3246cd3.png" descr="001f08438179ac57e353a1c10fee5fede3246cd3.png"/>
                    <pic:cNvPicPr>
                      <a:picLocks noChangeAspect="1"/>
                    </pic:cNvPicPr>
                  </pic:nvPicPr>
                  <pic:blipFill>
                    <a:blip r:embed="rId5">
                      <a:extLst/>
                    </a:blip>
                    <a:stretch>
                      <a:fillRect/>
                    </a:stretch>
                  </pic:blipFill>
                  <pic:spPr>
                    <a:xfrm>
                      <a:off x="0" y="0"/>
                      <a:ext cx="6172073" cy="3114523"/>
                    </a:xfrm>
                    <a:prstGeom prst="rect">
                      <a:avLst/>
                    </a:prstGeom>
                    <a:ln w="12700" cap="flat">
                      <a:noFill/>
                      <a:miter lim="400000"/>
                    </a:ln>
                    <a:effectLst/>
                  </pic:spPr>
                </pic:pic>
              </a:graphicData>
            </a:graphic>
          </wp:inline>
        </w:drawing>
      </w:r>
    </w:p>
    <w:p>
      <w:pPr>
        <w:pStyle w:val="Heading"/>
      </w:pPr>
      <w:r>
        <w:rPr>
          <w:i w:val="1"/>
          <w:iCs w:val="1"/>
          <w:outline w:val="0"/>
          <w:color w:val="595959"/>
          <w:sz w:val="18"/>
          <w:szCs w:val="18"/>
          <w:u w:color="595959"/>
          <w:rtl w:val="0"/>
          <w:lang w:val="en-US"/>
          <w14:textFill>
            <w14:solidFill>
              <w14:srgbClr w14:val="595959"/>
            </w14:solidFill>
          </w14:textFill>
        </w:rPr>
        <w:t xml:space="preserve">Figure 2: VDI/VDE 3682 + ISA-88 + Wymore Model M </w:t>
      </w:r>
      <w:r>
        <w:rPr>
          <w:i w:val="1"/>
          <w:iCs w:val="1"/>
          <w:outline w:val="0"/>
          <w:color w:val="595959"/>
          <w:sz w:val="18"/>
          <w:szCs w:val="18"/>
          <w:u w:color="595959"/>
          <w:rtl w:val="0"/>
          <w:lang w:val="en-US"/>
          <w14:textFill>
            <w14:solidFill>
              <w14:srgbClr w14:val="595959"/>
            </w14:solidFill>
          </w14:textFill>
        </w:rPr>
        <w:t xml:space="preserve">— </w:t>
      </w:r>
      <w:r>
        <w:rPr>
          <w:i w:val="1"/>
          <w:iCs w:val="1"/>
          <w:outline w:val="0"/>
          <w:color w:val="595959"/>
          <w:sz w:val="18"/>
          <w:szCs w:val="18"/>
          <w:u w:color="595959"/>
          <w:rtl w:val="0"/>
          <w:lang w:val="en-US"/>
          <w14:textFill>
            <w14:solidFill>
              <w14:srgbClr w14:val="595959"/>
            </w14:solidFill>
          </w14:textFill>
        </w:rPr>
        <w:t>Three frameworks, one coherent architecture</w:t>
      </w:r>
    </w:p>
    <w:p>
      <w:pPr>
        <w:pStyle w:val="Heading"/>
      </w:pPr>
    </w:p>
    <w:p>
      <w:pPr>
        <w:pStyle w:val="Heading 2"/>
      </w:pPr>
      <w:r>
        <w:rPr>
          <w:outline w:val="0"/>
          <w:color w:val="0070c0"/>
          <w:u w:color="0070c0"/>
          <w:rtl w:val="0"/>
          <w:lang w:val="en-US"/>
          <w14:textFill>
            <w14:solidFill>
              <w14:srgbClr w14:val="0070C0"/>
            </w14:solidFill>
          </w14:textFill>
        </w:rPr>
        <w:t xml:space="preserve">VDI/VDE 3682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Process Ontology</w:t>
      </w:r>
    </w:p>
    <w:p>
      <w:pPr>
        <w:pStyle w:val="Heading 2"/>
      </w:pPr>
      <w:r>
        <w:rPr>
          <w:outline w:val="0"/>
          <w:color w:val="111111"/>
          <w:sz w:val="22"/>
          <w:szCs w:val="22"/>
          <w:u w:color="111111"/>
          <w:rtl w:val="0"/>
          <w:lang w:val="en-US"/>
          <w14:textFill>
            <w14:solidFill>
              <w14:srgbClr w14:val="111111"/>
            </w14:solidFill>
          </w14:textFill>
        </w:rPr>
        <w:t>VDI/VDE 3682 represents manufacturing processes as formal models with four components: inputs (raw materials, energy, information entering the process), outputs (finished products, waste, data produced), operators (equipment, humans, agents), and the process itself as the transformative relationship. In the holonic architecture, this maps onto the OWL 2 process class hierarchy: every process has typed input slots, typed output slots, designated equipment operators linked to AAS shells, and a formal state machine governing its phases.</w:t>
      </w:r>
    </w:p>
    <w:p>
      <w:pPr>
        <w:pStyle w:val="Heading 2"/>
      </w:pPr>
    </w:p>
    <w:p>
      <w:pPr>
        <w:pStyle w:val="Heading 2"/>
      </w:pPr>
      <w:r>
        <w:rPr>
          <w:outline w:val="0"/>
          <w:color w:val="111111"/>
          <w:sz w:val="22"/>
          <w:szCs w:val="22"/>
          <w:u w:color="111111"/>
          <w:rtl w:val="0"/>
          <w:lang w:val="en-US"/>
          <w14:textFill>
            <w14:solidFill>
              <w14:srgbClr w14:val="111111"/>
            </w14:solidFill>
          </w14:textFill>
        </w:rPr>
        <w:t xml:space="preserve">The Compounding Process OWL class carries </w:t>
      </w:r>
      <w:r>
        <w:rPr>
          <w:rFonts w:ascii="Courier New" w:hAnsi="Courier New"/>
          <w:outline w:val="0"/>
          <w:color w:val="4a2a8a"/>
          <w:sz w:val="20"/>
          <w:szCs w:val="20"/>
          <w:u w:color="4a2a8a"/>
          <w:rtl w:val="0"/>
          <w:lang w:val="en-US"/>
          <w14:textFill>
            <w14:solidFill>
              <w14:srgbClr w14:val="4A2A8A"/>
            </w14:solidFill>
          </w14:textFill>
        </w:rPr>
        <w:t xml:space="preserve">hasInput </w:t>
      </w:r>
      <w:r>
        <w:rPr>
          <w:rFonts w:ascii="Courier New" w:hAnsi="Courier New" w:hint="default"/>
          <w:outline w:val="0"/>
          <w:color w:val="4a2a8a"/>
          <w:sz w:val="20"/>
          <w:szCs w:val="20"/>
          <w:u w:color="4a2a8a"/>
          <w:rtl w:val="0"/>
          <w14:textFill>
            <w14:solidFill>
              <w14:srgbClr w14:val="4A2A8A"/>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RawMaterial (API, excipient, solvent)</w:t>
      </w:r>
      <w:r>
        <w:rPr>
          <w:outline w:val="0"/>
          <w:color w:val="111111"/>
          <w:sz w:val="22"/>
          <w:szCs w:val="22"/>
          <w:u w:color="111111"/>
          <w:rtl w:val="0"/>
          <w14:textFill>
            <w14:solidFill>
              <w14:srgbClr w14:val="111111"/>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 xml:space="preserve">hasOutput </w:t>
      </w:r>
      <w:r>
        <w:rPr>
          <w:rFonts w:ascii="Courier New" w:hAnsi="Courier New" w:hint="default"/>
          <w:outline w:val="0"/>
          <w:color w:val="4a2a8a"/>
          <w:sz w:val="20"/>
          <w:szCs w:val="20"/>
          <w:u w:color="4a2a8a"/>
          <w:rtl w:val="0"/>
          <w14:textFill>
            <w14:solidFill>
              <w14:srgbClr w14:val="4A2A8A"/>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IntermediateProduct</w:t>
      </w:r>
      <w:r>
        <w:rPr>
          <w:outline w:val="0"/>
          <w:color w:val="111111"/>
          <w:sz w:val="22"/>
          <w:szCs w:val="22"/>
          <w:u w:color="111111"/>
          <w:rtl w:val="0"/>
          <w14:textFill>
            <w14:solidFill>
              <w14:srgbClr w14:val="111111"/>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 xml:space="preserve">operatedBy </w:t>
      </w:r>
      <w:r>
        <w:rPr>
          <w:rFonts w:ascii="Courier New" w:hAnsi="Courier New" w:hint="default"/>
          <w:outline w:val="0"/>
          <w:color w:val="4a2a8a"/>
          <w:sz w:val="20"/>
          <w:szCs w:val="20"/>
          <w:u w:color="4a2a8a"/>
          <w:rtl w:val="0"/>
          <w14:textFill>
            <w14:solidFill>
              <w14:srgbClr w14:val="4A2A8A"/>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BioreactorEquipmentClass</w:t>
      </w:r>
      <w:r>
        <w:rPr>
          <w:outline w:val="0"/>
          <w:color w:val="111111"/>
          <w:sz w:val="22"/>
          <w:szCs w:val="22"/>
          <w:u w:color="111111"/>
          <w:rtl w:val="0"/>
          <w:lang w:val="en-US"/>
          <w14:textFill>
            <w14:solidFill>
              <w14:srgbClr w14:val="111111"/>
            </w14:solidFill>
          </w14:textFill>
        </w:rPr>
        <w:t xml:space="preserve">, and </w:t>
      </w:r>
      <w:r>
        <w:rPr>
          <w:rFonts w:ascii="Courier New" w:hAnsi="Courier New"/>
          <w:outline w:val="0"/>
          <w:color w:val="4a2a8a"/>
          <w:sz w:val="20"/>
          <w:szCs w:val="20"/>
          <w:u w:color="4a2a8a"/>
          <w:rtl w:val="0"/>
          <w:lang w:val="en-US"/>
          <w14:textFill>
            <w14:solidFill>
              <w14:srgbClr w14:val="4A2A8A"/>
            </w14:solidFill>
          </w14:textFill>
        </w:rPr>
        <w:t xml:space="preserve">hasPhaseSequence </w:t>
      </w:r>
      <w:r>
        <w:rPr>
          <w:rFonts w:ascii="Courier New" w:hAnsi="Courier New" w:hint="default"/>
          <w:outline w:val="0"/>
          <w:color w:val="4a2a8a"/>
          <w:sz w:val="20"/>
          <w:szCs w:val="20"/>
          <w:u w:color="4a2a8a"/>
          <w:rtl w:val="0"/>
          <w14:textFill>
            <w14:solidFill>
              <w14:srgbClr w14:val="4A2A8A"/>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[Charging, Mixing, Sampling, Transfer]</w:t>
      </w:r>
      <w:r>
        <w:rPr>
          <w:outline w:val="0"/>
          <w:color w:val="111111"/>
          <w:sz w:val="22"/>
          <w:szCs w:val="22"/>
          <w:u w:color="111111"/>
          <w:rtl w:val="0"/>
          <w:lang w:val="en-US"/>
          <w14:textFill>
            <w14:solidFill>
              <w14:srgbClr w14:val="111111"/>
            </w14:solidFill>
          </w14:textFill>
        </w:rPr>
        <w:t>. These are not attributes on a database record. They are formal ontological relationships that every process instance inherits and that the SHACL engine validates every instance against.</w:t>
      </w:r>
    </w:p>
    <w:p>
      <w:pPr>
        <w:pStyle w:val="Heading 2"/>
      </w:pPr>
    </w:p>
    <w:p>
      <w:pPr>
        <w:pStyle w:val="Heading 2"/>
      </w:pPr>
      <w:r>
        <w:rPr>
          <w:outline w:val="0"/>
          <w:color w:val="0070c0"/>
          <w:u w:color="0070c0"/>
          <w:rtl w:val="0"/>
          <w:lang w:val="de-DE"/>
          <w14:textFill>
            <w14:solidFill>
              <w14:srgbClr w14:val="0070C0"/>
            </w14:solidFill>
          </w14:textFill>
        </w:rPr>
        <w:t xml:space="preserve">ISA-88 </w:t>
      </w:r>
      <w:r>
        <w:rPr>
          <w:outline w:val="0"/>
          <w:color w:val="0070c0"/>
          <w:u w:color="0070c0"/>
          <w:rtl w:val="0"/>
          <w:lang w:val="en-US"/>
          <w14:textFill>
            <w14:solidFill>
              <w14:srgbClr w14:val="0070C0"/>
            </w14:solidFill>
          </w14:textFill>
        </w:rPr>
        <w:t xml:space="preserve">— </w:t>
      </w:r>
      <w:r>
        <w:rPr>
          <w:outline w:val="0"/>
          <w:color w:val="0070c0"/>
          <w:u w:color="0070c0"/>
          <w:rtl w:val="0"/>
          <w:lang w:val="nl-NL"/>
          <w14:textFill>
            <w14:solidFill>
              <w14:srgbClr w14:val="0070C0"/>
            </w14:solidFill>
          </w14:textFill>
        </w:rPr>
        <w:t>Procedural Hierarchy</w:t>
      </w:r>
    </w:p>
    <w:p>
      <w:pPr>
        <w:pStyle w:val="Heading 2"/>
      </w:pPr>
      <w:r>
        <w:rPr>
          <w:outline w:val="0"/>
          <w:color w:val="111111"/>
          <w:sz w:val="22"/>
          <w:szCs w:val="22"/>
          <w:u w:color="111111"/>
          <w:rtl w:val="0"/>
          <w:lang w:val="en-US"/>
          <w14:textFill>
            <w14:solidFill>
              <w14:srgbClr w14:val="111111"/>
            </w14:solidFill>
          </w14:textFill>
        </w:rPr>
        <w:t>ISA-88 provides the procedural hierarchy that maps to holonic levels with precision:</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Procedures </w:t>
      </w:r>
      <w:r>
        <w:rPr>
          <w:rFonts w:ascii="Arial" w:hAnsi="Arial"/>
          <w:outline w:val="0"/>
          <w:color w:val="111111"/>
          <w:sz w:val="22"/>
          <w:szCs w:val="22"/>
          <w:u w:color="111111"/>
          <w:rtl w:val="0"/>
          <w14:textFill>
            <w14:solidFill>
              <w14:srgbClr w14:val="111111"/>
            </w14:solidFill>
          </w14:textFill>
        </w:rPr>
        <w:t xml:space="preserve">(L4/L5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 xml:space="preserve">Knowledge Graph + Semantic Governance): The top-level process definition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phase sequence specification and inter-phase dependencies. Stored once in the ontology. Every batch run is an instance of the Procedure class.</w:t>
      </w:r>
    </w:p>
    <w:p>
      <w:pPr>
        <w:pStyle w:val="List Paragraph"/>
        <w:numPr>
          <w:ilvl w:val="0"/>
          <w:numId w:val="2"/>
        </w:numPr>
        <w:spacing w:before="60" w:after="60"/>
        <w:rPr>
          <w:sz w:val="22"/>
          <w:szCs w:val="22"/>
          <w:lang w:val="fr-FR"/>
        </w:rPr>
      </w:pPr>
      <w:r>
        <w:rPr>
          <w:rFonts w:ascii="Arial" w:hAnsi="Arial"/>
          <w:b w:val="1"/>
          <w:bCs w:val="1"/>
          <w:outline w:val="0"/>
          <w:color w:val="0070c0"/>
          <w:sz w:val="22"/>
          <w:szCs w:val="22"/>
          <w:u w:color="0070c0"/>
          <w:rtl w:val="0"/>
          <w:lang w:val="fr-FR"/>
          <w14:textFill>
            <w14:solidFill>
              <w14:srgbClr w14:val="0070C0"/>
            </w14:solidFill>
          </w14:textFill>
        </w:rPr>
        <w:t xml:space="preserve">Operations </w:t>
      </w:r>
      <w:r>
        <w:rPr>
          <w:rFonts w:ascii="Arial" w:hAnsi="Arial"/>
          <w:outline w:val="0"/>
          <w:color w:val="111111"/>
          <w:sz w:val="22"/>
          <w:szCs w:val="22"/>
          <w:u w:color="111111"/>
          <w:rtl w:val="0"/>
          <w14:textFill>
            <w14:solidFill>
              <w14:srgbClr w14:val="111111"/>
            </w14:solidFill>
          </w14:textFill>
        </w:rPr>
        <w:t xml:space="preserve">(L3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RDSG Gateway): The governed sequences within which phase transitions are validated. The RDSG enforces ISA-88 operation-level logic as SHACL constraints on the transition sequence.</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Phases </w:t>
      </w:r>
      <w:r>
        <w:rPr>
          <w:rFonts w:ascii="Arial" w:hAnsi="Arial"/>
          <w:outline w:val="0"/>
          <w:color w:val="111111"/>
          <w:sz w:val="22"/>
          <w:szCs w:val="22"/>
          <w:u w:color="111111"/>
          <w:rtl w:val="0"/>
          <w14:textFill>
            <w14:solidFill>
              <w14:srgbClr w14:val="111111"/>
            </w14:solidFill>
          </w14:textFill>
        </w:rPr>
        <w:t xml:space="preserve">(L2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AAS Digital Twin): The current state of execution. The AAS ProcessPhaseLog submodel holds the live phase state, updated in real time from OPC-UA telemetry.</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Actions and Steps </w:t>
      </w:r>
      <w:r>
        <w:rPr>
          <w:rFonts w:ascii="Arial" w:hAnsi="Arial"/>
          <w:outline w:val="0"/>
          <w:color w:val="111111"/>
          <w:sz w:val="22"/>
          <w:szCs w:val="22"/>
          <w:u w:color="111111"/>
          <w:rtl w:val="0"/>
          <w14:textFill>
            <w14:solidFill>
              <w14:srgbClr w14:val="111111"/>
            </w14:solidFill>
          </w14:textFill>
        </w:rPr>
        <w:t xml:space="preserve">(L1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Physical): PLC sequences, robotic motion primitives, instrument commands. Stays in the control system. Not modified by FABRIC.</w:t>
      </w:r>
    </w:p>
    <w:p>
      <w:pPr>
        <w:pStyle w:val="List Paragraph"/>
        <w:spacing w:before="60" w:after="60"/>
      </w:pPr>
    </w:p>
    <w:p>
      <w:pPr>
        <w:pStyle w:val="Heading 2"/>
      </w:pPr>
      <w:r>
        <w:rPr>
          <w:outline w:val="0"/>
          <w:color w:val="0070c0"/>
          <w:u w:color="0070c0"/>
          <w:rtl w:val="0"/>
          <w:lang w:val="en-US"/>
          <w14:textFill>
            <w14:solidFill>
              <w14:srgbClr w14:val="0070C0"/>
            </w14:solidFill>
          </w14:textFill>
        </w:rPr>
        <w:t xml:space="preserve">Wymore Model M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Formal Mathematical Specification</w:t>
      </w:r>
    </w:p>
    <w:p>
      <w:pPr>
        <w:pStyle w:val="Heading 2"/>
      </w:pPr>
      <w:r>
        <w:rPr>
          <w:outline w:val="0"/>
          <w:color w:val="111111"/>
          <w:sz w:val="22"/>
          <w:szCs w:val="22"/>
          <w:u w:color="111111"/>
          <w:rtl w:val="0"/>
          <w:lang w:val="en-US"/>
          <w14:textFill>
            <w14:solidFill>
              <w14:srgbClr w14:val="111111"/>
            </w14:solidFill>
          </w14:textFill>
        </w:rPr>
        <w:t>Wymore's system model (</w:t>
      </w:r>
      <w:r>
        <w:rPr>
          <w:rFonts w:ascii="Courier New" w:hAnsi="Courier New"/>
          <w:outline w:val="0"/>
          <w:color w:val="4a2a8a"/>
          <w:sz w:val="20"/>
          <w:szCs w:val="20"/>
          <w:u w:color="4a2a8a"/>
          <w:rtl w:val="0"/>
          <w:lang w:val="en-US"/>
          <w14:textFill>
            <w14:solidFill>
              <w14:srgbClr w14:val="4A2A8A"/>
            </w14:solidFill>
          </w14:textFill>
        </w:rPr>
        <w:t xml:space="preserve">M = (X, Y, W, S, </w:t>
      </w:r>
      <w:r>
        <w:rPr>
          <w:rFonts w:ascii="Courier New" w:hAnsi="Courier New" w:hint="default"/>
          <w:outline w:val="0"/>
          <w:color w:val="4a2a8a"/>
          <w:sz w:val="20"/>
          <w:szCs w:val="20"/>
          <w:u w:color="4a2a8a"/>
          <w:rtl w:val="0"/>
          <w14:textFill>
            <w14:solidFill>
              <w14:srgbClr w14:val="4A2A8A"/>
            </w14:solidFill>
          </w14:textFill>
        </w:rPr>
        <w:t>Δ</w:t>
      </w:r>
      <w:r>
        <w:rPr>
          <w:rFonts w:ascii="Courier New" w:hAnsi="Courier New"/>
          <w:outline w:val="0"/>
          <w:color w:val="4a2a8a"/>
          <w:sz w:val="20"/>
          <w:szCs w:val="20"/>
          <w:u w:color="4a2a8a"/>
          <w:rtl w:val="0"/>
          <w14:textFill>
            <w14:solidFill>
              <w14:srgbClr w14:val="4A2A8A"/>
            </w14:solidFill>
          </w14:textFill>
        </w:rPr>
        <w:t xml:space="preserve">, </w:t>
      </w:r>
      <w:r>
        <w:rPr>
          <w:rFonts w:ascii="Courier New" w:hAnsi="Courier New" w:hint="default"/>
          <w:outline w:val="0"/>
          <w:color w:val="4a2a8a"/>
          <w:sz w:val="20"/>
          <w:szCs w:val="20"/>
          <w:u w:color="4a2a8a"/>
          <w:rtl w:val="0"/>
          <w14:textFill>
            <w14:solidFill>
              <w14:srgbClr w14:val="4A2A8A"/>
            </w14:solidFill>
          </w14:textFill>
        </w:rPr>
        <w:t>Λ</w:t>
      </w:r>
      <w:r>
        <w:rPr>
          <w:rFonts w:ascii="Courier New" w:hAnsi="Courier New"/>
          <w:outline w:val="0"/>
          <w:color w:val="4a2a8a"/>
          <w:sz w:val="20"/>
          <w:szCs w:val="20"/>
          <w:u w:color="4a2a8a"/>
          <w:rtl w:val="0"/>
          <w14:textFill>
            <w14:solidFill>
              <w14:srgbClr w14:val="4A2A8A"/>
            </w14:solidFill>
          </w14:textFill>
        </w:rPr>
        <w:t>, R)</w:t>
      </w:r>
      <w:r>
        <w:rPr>
          <w:outline w:val="0"/>
          <w:color w:val="111111"/>
          <w:sz w:val="22"/>
          <w:szCs w:val="22"/>
          <w:u w:color="111111"/>
          <w:rtl w:val="0"/>
          <w:lang w:val="en-US"/>
          <w14:textFill>
            <w14:solidFill>
              <w14:srgbClr w14:val="111111"/>
            </w14:solidFill>
          </w14:textFill>
        </w:rPr>
        <w:t>) provides the formal mathematical guarantee that process behavior is well-defined at every holonic level:</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7160"/>
      </w:tblGrid>
      <w:tr>
        <w:tblPrEx>
          <w:shd w:val="clear" w:color="auto" w:fill="ced7e7"/>
        </w:tblPrEx>
        <w:trPr>
          <w:trHeight w:val="749"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3087"/>
                <w:sz w:val="19"/>
                <w:szCs w:val="19"/>
                <w:u w:color="003087"/>
                <w:shd w:val="nil" w:color="auto" w:fill="auto"/>
                <w:rtl w:val="0"/>
                <w:lang w:val="da-DK"/>
                <w14:textFill>
                  <w14:solidFill>
                    <w14:srgbClr w14:val="003087"/>
                  </w14:solidFill>
                </w14:textFill>
              </w:rPr>
              <w:t xml:space="preserve">X </w:t>
            </w:r>
            <w:r>
              <w:rPr>
                <w:rFonts w:ascii="Arial" w:hAnsi="Arial" w:hint="default"/>
                <w:b w:val="1"/>
                <w:bCs w:val="1"/>
                <w:outline w:val="0"/>
                <w:color w:val="003087"/>
                <w:sz w:val="19"/>
                <w:szCs w:val="19"/>
                <w:u w:color="003087"/>
                <w:shd w:val="nil" w:color="auto" w:fill="auto"/>
                <w:rtl w:val="0"/>
                <w:lang w:val="en-US"/>
                <w14:textFill>
                  <w14:solidFill>
                    <w14:srgbClr w14:val="003087"/>
                  </w14:solidFill>
                </w14:textFill>
              </w:rPr>
              <w:t xml:space="preserve">— </w:t>
            </w:r>
            <w:r>
              <w:rPr>
                <w:rFonts w:ascii="Arial" w:hAnsi="Arial"/>
                <w:b w:val="1"/>
                <w:bCs w:val="1"/>
                <w:outline w:val="0"/>
                <w:color w:val="003087"/>
                <w:sz w:val="19"/>
                <w:szCs w:val="19"/>
                <w:u w:color="003087"/>
                <w:shd w:val="nil" w:color="auto" w:fill="auto"/>
                <w:rtl w:val="0"/>
                <w:lang w:val="en-US"/>
                <w14:textFill>
                  <w14:solidFill>
                    <w14:srgbClr w14:val="003087"/>
                  </w14:solidFill>
                </w14:textFill>
              </w:rPr>
              <w:t>Input Space</w:t>
            </w:r>
          </w:p>
        </w:tc>
        <w:tc>
          <w:tcPr>
            <w:tcW w:type="dxa" w:w="7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All typed inputs the process can legally receive: OPC-UA telemetry streams, human commands via Mendix HITL, AI agent proposals via RDSG RCB. Anything not typed and admitted by Layer 2 does not enter the architecture.</w:t>
            </w:r>
          </w:p>
        </w:tc>
      </w:tr>
      <w:tr>
        <w:tblPrEx>
          <w:shd w:val="clear" w:color="auto" w:fill="ced7e7"/>
        </w:tblPrEx>
        <w:trPr>
          <w:trHeight w:val="749"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3087"/>
                <w:sz w:val="19"/>
                <w:szCs w:val="19"/>
                <w:u w:color="003087"/>
                <w:shd w:val="nil" w:color="auto" w:fill="auto"/>
                <w:rtl w:val="0"/>
                <w:lang w:val="es-ES_tradnl"/>
                <w14:textFill>
                  <w14:solidFill>
                    <w14:srgbClr w14:val="003087"/>
                  </w14:solidFill>
                </w14:textFill>
              </w:rPr>
              <w:t xml:space="preserve">Y </w:t>
            </w:r>
            <w:r>
              <w:rPr>
                <w:rFonts w:ascii="Arial" w:hAnsi="Arial" w:hint="default"/>
                <w:b w:val="1"/>
                <w:bCs w:val="1"/>
                <w:outline w:val="0"/>
                <w:color w:val="003087"/>
                <w:sz w:val="19"/>
                <w:szCs w:val="19"/>
                <w:u w:color="003087"/>
                <w:shd w:val="nil" w:color="auto" w:fill="auto"/>
                <w:rtl w:val="0"/>
                <w:lang w:val="en-US"/>
                <w14:textFill>
                  <w14:solidFill>
                    <w14:srgbClr w14:val="003087"/>
                  </w14:solidFill>
                </w14:textFill>
              </w:rPr>
              <w:t xml:space="preserve">— </w:t>
            </w:r>
            <w:r>
              <w:rPr>
                <w:rFonts w:ascii="Arial" w:hAnsi="Arial"/>
                <w:b w:val="1"/>
                <w:bCs w:val="1"/>
                <w:outline w:val="0"/>
                <w:color w:val="003087"/>
                <w:sz w:val="19"/>
                <w:szCs w:val="19"/>
                <w:u w:color="003087"/>
                <w:shd w:val="nil" w:color="auto" w:fill="auto"/>
                <w:rtl w:val="0"/>
                <w:lang w:val="en-US"/>
                <w14:textFill>
                  <w14:solidFill>
                    <w14:srgbClr w14:val="003087"/>
                  </w14:solidFill>
                </w14:textFill>
              </w:rPr>
              <w:t>Output Space</w:t>
            </w:r>
          </w:p>
        </w:tc>
        <w:tc>
          <w:tcPr>
            <w:tcW w:type="dxa" w:w="7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All typed outputs the process produces: validated batch records, RDF triples to the Knowledge Graph, KGCL change records, actuation commands to physical systems, regulatory evidence packages.</w:t>
            </w:r>
          </w:p>
        </w:tc>
      </w:tr>
      <w:tr>
        <w:tblPrEx>
          <w:shd w:val="clear" w:color="auto" w:fill="ced7e7"/>
        </w:tblPrEx>
        <w:trPr>
          <w:trHeight w:val="749"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3087"/>
                <w:sz w:val="19"/>
                <w:szCs w:val="19"/>
                <w:u w:color="003087"/>
                <w:shd w:val="nil" w:color="auto" w:fill="auto"/>
                <w:rtl w:val="0"/>
                <w14:textFill>
                  <w14:solidFill>
                    <w14:srgbClr w14:val="003087"/>
                  </w14:solidFill>
                </w14:textFill>
              </w:rPr>
              <w:t xml:space="preserve">W </w:t>
            </w:r>
            <w:r>
              <w:rPr>
                <w:rFonts w:ascii="Arial" w:hAnsi="Arial" w:hint="default"/>
                <w:b w:val="1"/>
                <w:bCs w:val="1"/>
                <w:outline w:val="0"/>
                <w:color w:val="003087"/>
                <w:sz w:val="19"/>
                <w:szCs w:val="19"/>
                <w:u w:color="003087"/>
                <w:shd w:val="nil" w:color="auto" w:fill="auto"/>
                <w:rtl w:val="0"/>
                <w:lang w:val="en-US"/>
                <w14:textFill>
                  <w14:solidFill>
                    <w14:srgbClr w14:val="003087"/>
                  </w14:solidFill>
                </w14:textFill>
              </w:rPr>
              <w:t xml:space="preserve">— </w:t>
            </w:r>
            <w:r>
              <w:rPr>
                <w:rFonts w:ascii="Arial" w:hAnsi="Arial"/>
                <w:b w:val="1"/>
                <w:bCs w:val="1"/>
                <w:outline w:val="0"/>
                <w:color w:val="003087"/>
                <w:sz w:val="19"/>
                <w:szCs w:val="19"/>
                <w:u w:color="003087"/>
                <w:shd w:val="nil" w:color="auto" w:fill="auto"/>
                <w:rtl w:val="0"/>
                <w:lang w:val="en-US"/>
                <w14:textFill>
                  <w14:solidFill>
                    <w14:srgbClr w14:val="003087"/>
                  </w14:solidFill>
                </w14:textFill>
              </w:rPr>
              <w:t>State Space</w:t>
            </w:r>
          </w:p>
        </w:tc>
        <w:tc>
          <w:tcPr>
            <w:tcW w:type="dxa" w:w="7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The complete set of valid process states across all instances and all time. Implemented in the Knowledge Graph (L4). Every valid process configuration and historical outcome.</w:t>
            </w:r>
          </w:p>
        </w:tc>
      </w:tr>
      <w:tr>
        <w:tblPrEx>
          <w:shd w:val="clear" w:color="auto" w:fill="ced7e7"/>
        </w:tblPrEx>
        <w:trPr>
          <w:trHeight w:val="749"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3087"/>
                <w:sz w:val="19"/>
                <w:szCs w:val="19"/>
                <w:u w:color="003087"/>
                <w:shd w:val="nil" w:color="auto" w:fill="auto"/>
                <w:rtl w:val="0"/>
                <w14:textFill>
                  <w14:solidFill>
                    <w14:srgbClr w14:val="003087"/>
                  </w14:solidFill>
                </w14:textFill>
              </w:rPr>
              <w:t xml:space="preserve">S </w:t>
            </w:r>
            <w:r>
              <w:rPr>
                <w:rFonts w:ascii="Arial" w:hAnsi="Arial" w:hint="default"/>
                <w:b w:val="1"/>
                <w:bCs w:val="1"/>
                <w:outline w:val="0"/>
                <w:color w:val="003087"/>
                <w:sz w:val="19"/>
                <w:szCs w:val="19"/>
                <w:u w:color="003087"/>
                <w:shd w:val="nil" w:color="auto" w:fill="auto"/>
                <w:rtl w:val="0"/>
                <w:lang w:val="en-US"/>
                <w14:textFill>
                  <w14:solidFill>
                    <w14:srgbClr w14:val="003087"/>
                  </w14:solidFill>
                </w14:textFill>
              </w:rPr>
              <w:t xml:space="preserve">— </w:t>
            </w:r>
            <w:r>
              <w:rPr>
                <w:rFonts w:ascii="Arial" w:hAnsi="Arial"/>
                <w:b w:val="1"/>
                <w:bCs w:val="1"/>
                <w:outline w:val="0"/>
                <w:color w:val="003087"/>
                <w:sz w:val="19"/>
                <w:szCs w:val="19"/>
                <w:u w:color="003087"/>
                <w:shd w:val="nil" w:color="auto" w:fill="auto"/>
                <w:rtl w:val="0"/>
                <w14:textFill>
                  <w14:solidFill>
                    <w14:srgbClr w14:val="003087"/>
                  </w14:solidFill>
                </w14:textFill>
              </w:rPr>
              <w:t>Stimulus Segments</w:t>
            </w:r>
          </w:p>
        </w:tc>
        <w:tc>
          <w:tcPr>
            <w:tcW w:type="dxa" w:w="7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 xml:space="preserve">Admissible input sequences </w:t>
            </w:r>
            <w:r>
              <w:rPr>
                <w:rFonts w:ascii="Arial" w:hAnsi="Arial" w:hint="default"/>
                <w:outline w:val="0"/>
                <w:color w:val="111111"/>
                <w:sz w:val="19"/>
                <w:szCs w:val="19"/>
                <w:u w:color="111111"/>
                <w:shd w:val="nil" w:color="auto" w:fill="auto"/>
                <w:rtl w:val="0"/>
                <w:lang w:val="en-US"/>
                <w14:textFill>
                  <w14:solidFill>
                    <w14:srgbClr w14:val="111111"/>
                  </w14:solidFill>
                </w14:textFill>
              </w:rPr>
              <w:t xml:space="preserve">— </w:t>
            </w:r>
            <w:r>
              <w:rPr>
                <w:rFonts w:ascii="Arial" w:hAnsi="Arial"/>
                <w:outline w:val="0"/>
                <w:color w:val="111111"/>
                <w:sz w:val="19"/>
                <w:szCs w:val="19"/>
                <w:u w:color="111111"/>
                <w:shd w:val="nil" w:color="auto" w:fill="auto"/>
                <w:rtl w:val="0"/>
                <w:lang w:val="en-US"/>
                <w14:textFill>
                  <w14:solidFill>
                    <w14:srgbClr w14:val="111111"/>
                  </w14:solidFill>
                </w14:textFill>
              </w:rPr>
              <w:t>the specific patterns of telemetry and commands that the process governance architecture recognizes and accepts. Defined by SHACL input constraints.</w:t>
            </w:r>
          </w:p>
        </w:tc>
      </w:tr>
      <w:tr>
        <w:tblPrEx>
          <w:shd w:val="clear" w:color="auto" w:fill="ced7e7"/>
        </w:tblPrEx>
        <w:trPr>
          <w:trHeight w:val="749"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hint="default"/>
                <w:b w:val="1"/>
                <w:bCs w:val="1"/>
                <w:outline w:val="0"/>
                <w:color w:val="003087"/>
                <w:sz w:val="19"/>
                <w:szCs w:val="19"/>
                <w:u w:color="003087"/>
                <w:shd w:val="nil" w:color="auto" w:fill="auto"/>
                <w:rtl w:val="0"/>
                <w:lang w:val="en-US"/>
                <w14:textFill>
                  <w14:solidFill>
                    <w14:srgbClr w14:val="003087"/>
                  </w14:solidFill>
                </w14:textFill>
              </w:rPr>
              <w:t xml:space="preserve">Δ — </w:t>
            </w:r>
            <w:r>
              <w:rPr>
                <w:rFonts w:ascii="Arial" w:hAnsi="Arial"/>
                <w:b w:val="1"/>
                <w:bCs w:val="1"/>
                <w:outline w:val="0"/>
                <w:color w:val="003087"/>
                <w:sz w:val="19"/>
                <w:szCs w:val="19"/>
                <w:u w:color="003087"/>
                <w:shd w:val="nil" w:color="auto" w:fill="auto"/>
                <w:rtl w:val="0"/>
                <w:lang w:val="en-US"/>
                <w14:textFill>
                  <w14:solidFill>
                    <w14:srgbClr w14:val="003087"/>
                  </w14:solidFill>
                </w14:textFill>
              </w:rPr>
              <w:t>Transition Function</w:t>
            </w:r>
          </w:p>
        </w:tc>
        <w:tc>
          <w:tcPr>
            <w:tcW w:type="dxa" w:w="7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The RDSG six-stage traversal. Every state change from W to W</w:t>
            </w:r>
            <w:r>
              <w:rPr>
                <w:rFonts w:ascii="Arial" w:hAnsi="Arial" w:hint="default"/>
                <w:outline w:val="0"/>
                <w:color w:val="111111"/>
                <w:sz w:val="19"/>
                <w:szCs w:val="19"/>
                <w:u w:color="111111"/>
                <w:shd w:val="nil" w:color="auto" w:fill="auto"/>
                <w:rtl w:val="0"/>
                <w14:textFill>
                  <w14:solidFill>
                    <w14:srgbClr w14:val="111111"/>
                  </w14:solidFill>
                </w14:textFill>
              </w:rPr>
              <w:t xml:space="preserve">′ </w:t>
            </w:r>
            <w:r>
              <w:rPr>
                <w:rFonts w:ascii="Arial" w:hAnsi="Arial"/>
                <w:outline w:val="0"/>
                <w:color w:val="111111"/>
                <w:sz w:val="19"/>
                <w:szCs w:val="19"/>
                <w:u w:color="111111"/>
                <w:shd w:val="nil" w:color="auto" w:fill="auto"/>
                <w:rtl w:val="0"/>
                <w:lang w:val="en-US"/>
                <w14:textFill>
                  <w14:solidFill>
                    <w14:srgbClr w14:val="111111"/>
                  </w14:solidFill>
                </w14:textFill>
              </w:rPr>
              <w:t xml:space="preserve">is governed here. Non-compliant transitions are blocked. This is structural governance </w:t>
            </w:r>
            <w:r>
              <w:rPr>
                <w:rFonts w:ascii="Arial" w:hAnsi="Arial" w:hint="default"/>
                <w:outline w:val="0"/>
                <w:color w:val="111111"/>
                <w:sz w:val="19"/>
                <w:szCs w:val="19"/>
                <w:u w:color="111111"/>
                <w:shd w:val="nil" w:color="auto" w:fill="auto"/>
                <w:rtl w:val="0"/>
                <w:lang w:val="en-US"/>
                <w14:textFill>
                  <w14:solidFill>
                    <w14:srgbClr w14:val="111111"/>
                  </w14:solidFill>
                </w14:textFill>
              </w:rPr>
              <w:t xml:space="preserve">— Δ </w:t>
            </w:r>
            <w:r>
              <w:rPr>
                <w:rFonts w:ascii="Arial" w:hAnsi="Arial"/>
                <w:outline w:val="0"/>
                <w:color w:val="111111"/>
                <w:sz w:val="19"/>
                <w:szCs w:val="19"/>
                <w:u w:color="111111"/>
                <w:shd w:val="nil" w:color="auto" w:fill="auto"/>
                <w:rtl w:val="0"/>
                <w:lang w:val="en-US"/>
                <w14:textFill>
                  <w14:solidFill>
                    <w14:srgbClr w14:val="111111"/>
                  </w14:solidFill>
                </w14:textFill>
              </w:rPr>
              <w:t>is the governance, not a filter on top of it.</w:t>
            </w:r>
          </w:p>
        </w:tc>
      </w:tr>
      <w:tr>
        <w:tblPrEx>
          <w:shd w:val="clear" w:color="auto" w:fill="ced7e7"/>
        </w:tblPrEx>
        <w:trPr>
          <w:trHeight w:val="749"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hint="default"/>
                <w:b w:val="1"/>
                <w:bCs w:val="1"/>
                <w:outline w:val="0"/>
                <w:color w:val="003087"/>
                <w:sz w:val="19"/>
                <w:szCs w:val="19"/>
                <w:u w:color="003087"/>
                <w:shd w:val="nil" w:color="auto" w:fill="auto"/>
                <w:rtl w:val="0"/>
                <w:lang w:val="en-US"/>
                <w14:textFill>
                  <w14:solidFill>
                    <w14:srgbClr w14:val="003087"/>
                  </w14:solidFill>
                </w14:textFill>
              </w:rPr>
              <w:t xml:space="preserve">Λ — </w:t>
            </w:r>
            <w:r>
              <w:rPr>
                <w:rFonts w:ascii="Arial" w:hAnsi="Arial"/>
                <w:b w:val="1"/>
                <w:bCs w:val="1"/>
                <w:outline w:val="0"/>
                <w:color w:val="003087"/>
                <w:sz w:val="19"/>
                <w:szCs w:val="19"/>
                <w:u w:color="003087"/>
                <w:shd w:val="nil" w:color="auto" w:fill="auto"/>
                <w:rtl w:val="0"/>
                <w:lang w:val="en-US"/>
                <w14:textFill>
                  <w14:solidFill>
                    <w14:srgbClr w14:val="003087"/>
                  </w14:solidFill>
                </w14:textFill>
              </w:rPr>
              <w:t>Output Function</w:t>
            </w:r>
          </w:p>
        </w:tc>
        <w:tc>
          <w:tcPr>
            <w:tcW w:type="dxa" w:w="7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The semantic transformation from current state to governed outputs: AAS RDF triples, Knowledge Graph updates, HITL alerts, compiled AI directives, physical actuation commands.</w:t>
            </w:r>
          </w:p>
        </w:tc>
      </w:tr>
      <w:tr>
        <w:tblPrEx>
          <w:shd w:val="clear" w:color="auto" w:fill="ced7e7"/>
        </w:tblPrEx>
        <w:trPr>
          <w:trHeight w:val="749"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3087"/>
                <w:sz w:val="19"/>
                <w:szCs w:val="19"/>
                <w:u w:color="003087"/>
                <w:shd w:val="nil" w:color="auto" w:fill="auto"/>
                <w:rtl w:val="0"/>
                <w:lang w:val="de-DE"/>
                <w14:textFill>
                  <w14:solidFill>
                    <w14:srgbClr w14:val="003087"/>
                  </w14:solidFill>
                </w14:textFill>
              </w:rPr>
              <w:t xml:space="preserve">R </w:t>
            </w:r>
            <w:r>
              <w:rPr>
                <w:rFonts w:ascii="Arial" w:hAnsi="Arial" w:hint="default"/>
                <w:b w:val="1"/>
                <w:bCs w:val="1"/>
                <w:outline w:val="0"/>
                <w:color w:val="003087"/>
                <w:sz w:val="19"/>
                <w:szCs w:val="19"/>
                <w:u w:color="003087"/>
                <w:shd w:val="nil" w:color="auto" w:fill="auto"/>
                <w:rtl w:val="0"/>
                <w:lang w:val="en-US"/>
                <w14:textFill>
                  <w14:solidFill>
                    <w14:srgbClr w14:val="003087"/>
                  </w14:solidFill>
                </w14:textFill>
              </w:rPr>
              <w:t xml:space="preserve">— </w:t>
            </w:r>
            <w:r>
              <w:rPr>
                <w:rFonts w:ascii="Arial" w:hAnsi="Arial"/>
                <w:b w:val="1"/>
                <w:bCs w:val="1"/>
                <w:outline w:val="0"/>
                <w:color w:val="003087"/>
                <w:sz w:val="19"/>
                <w:szCs w:val="19"/>
                <w:u w:color="003087"/>
                <w:shd w:val="nil" w:color="auto" w:fill="auto"/>
                <w:rtl w:val="0"/>
                <w:lang w:val="en-US"/>
                <w14:textFill>
                  <w14:solidFill>
                    <w14:srgbClr w14:val="003087"/>
                  </w14:solidFill>
                </w14:textFill>
              </w:rPr>
              <w:t>Performance Specs</w:t>
            </w:r>
          </w:p>
        </w:tc>
        <w:tc>
          <w:tcPr>
            <w:tcW w:type="dxa" w:w="7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The SHACL constraint library + LKIF deontic norm library. The complete formal specification of what must be true of every state transition. Authored at L5, enforced at L3.</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03087"/>
          <w:u w:color="003087"/>
          <w:rtl w:val="0"/>
          <w:lang w:val="en-US"/>
          <w14:textFill>
            <w14:solidFill>
              <w14:srgbClr w14:val="003087"/>
            </w14:solidFill>
          </w14:textFill>
        </w:rPr>
        <w:t xml:space="preserve">4.  RDSG Insertion Points </w:t>
      </w:r>
      <w:r>
        <w:rPr>
          <w:outline w:val="0"/>
          <w:color w:val="003087"/>
          <w:u w:color="003087"/>
          <w:rtl w:val="0"/>
          <w:lang w:val="en-US"/>
          <w14:textFill>
            <w14:solidFill>
              <w14:srgbClr w14:val="003087"/>
            </w14:solidFill>
          </w14:textFill>
        </w:rPr>
        <w:t xml:space="preserve">— </w:t>
      </w:r>
      <w:r>
        <w:rPr>
          <w:outline w:val="0"/>
          <w:color w:val="003087"/>
          <w:u w:color="003087"/>
          <w:rtl w:val="0"/>
          <w:lang w:val="en-US"/>
          <w14:textFill>
            <w14:solidFill>
              <w14:srgbClr w14:val="003087"/>
            </w14:solidFill>
          </w14:textFill>
        </w:rPr>
        <w:t>Where Automation Enters and Exits</w:t>
      </w:r>
    </w:p>
    <w:p>
      <w:pPr>
        <w:pStyle w:val="Heading"/>
      </w:pPr>
    </w:p>
    <w:p>
      <w:pPr>
        <w:pStyle w:val="Heading"/>
      </w:pPr>
      <w:r>
        <w:rPr>
          <w:outline w:val="0"/>
          <w:color w:val="111111"/>
          <w:sz w:val="22"/>
          <w:szCs w:val="22"/>
          <w:u w:color="111111"/>
          <w:shd w:val="clear" w:color="auto" w:fill="ffff00"/>
          <w:rtl w:val="0"/>
          <w:lang w:val="en-US"/>
          <w14:textFill>
            <w14:solidFill>
              <w14:srgbClr w14:val="111111"/>
            </w14:solidFill>
          </w14:textFill>
        </w:rPr>
        <w:t>The six stages of the RDSG are the natural, formal insertion points for every category of automation</w:t>
      </w:r>
      <w:r>
        <w:rPr>
          <w:outline w:val="0"/>
          <w:color w:val="111111"/>
          <w:sz w:val="22"/>
          <w:szCs w:val="22"/>
          <w:u w:color="111111"/>
          <w:rtl w:val="0"/>
          <w:lang w:val="en-US"/>
          <w14:textFill>
            <w14:solidFill>
              <w14:srgbClr w14:val="111111"/>
            </w14:solidFill>
          </w14:textFill>
        </w:rPr>
        <w:t xml:space="preserve"> — </w:t>
      </w:r>
      <w:r>
        <w:rPr>
          <w:outline w:val="0"/>
          <w:color w:val="111111"/>
          <w:sz w:val="22"/>
          <w:szCs w:val="22"/>
          <w:u w:color="111111"/>
          <w:rtl w:val="0"/>
          <w:lang w:val="en-US"/>
          <w14:textFill>
            <w14:solidFill>
              <w14:srgbClr w14:val="111111"/>
            </w14:solidFill>
          </w14:textFill>
        </w:rPr>
        <w:t xml:space="preserve">services, UX components, AI agents, robotics, and ML systems. They are not arbitrary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 xml:space="preserve">they correspond to the six distinct governance boundaries that any automated system must cross when proposing or executing a process intervention. </w:t>
      </w:r>
      <w:r>
        <w:rPr>
          <w:outline w:val="0"/>
          <w:color w:val="111111"/>
          <w:sz w:val="22"/>
          <w:szCs w:val="22"/>
          <w:u w:color="111111"/>
          <w:shd w:val="clear" w:color="auto" w:fill="ffff00"/>
          <w:rtl w:val="0"/>
          <w:lang w:val="en-US"/>
          <w14:textFill>
            <w14:solidFill>
              <w14:srgbClr w14:val="111111"/>
            </w14:solidFill>
          </w14:textFill>
        </w:rPr>
        <w:t>Nothing enters or exits the holarchy except through these six stages.</w:t>
      </w:r>
      <w:r>
        <w:rPr>
          <w:outline w:val="0"/>
          <w:color w:val="111111"/>
          <w:sz w:val="22"/>
          <w:szCs w:val="22"/>
          <w:u w:color="111111"/>
          <w:rtl w:val="0"/>
          <w:lang w:val="en-US"/>
          <w14:textFill>
            <w14:solidFill>
              <w14:srgbClr w14:val="111111"/>
            </w14:solidFill>
          </w14:textFill>
        </w:rPr>
        <w:t xml:space="preserve"> This is what makes governance structural rather than procedural.</w:t>
      </w:r>
    </w:p>
    <w:p>
      <w:pPr>
        <w:pStyle w:val="Heading"/>
      </w:pPr>
    </w:p>
    <w:p>
      <w:pPr>
        <w:pStyle w:val="Heading"/>
      </w:pPr>
      <w:r>
        <w:rPr>
          <w:outline w:val="0"/>
          <w:color w:val="000000"/>
          <w:u w:color="000000"/>
          <w14:textFill>
            <w14:solidFill>
              <w14:srgbClr w14:val="000000"/>
            </w14:solidFill>
          </w14:textFill>
        </w:rPr>
        <w:drawing xmlns:a="http://schemas.openxmlformats.org/drawingml/2006/main">
          <wp:inline distT="0" distB="0" distL="0" distR="0">
            <wp:extent cx="6172073" cy="3114523"/>
            <wp:effectExtent l="0" t="0" r="0" b="0"/>
            <wp:docPr id="1073741827" name="officeArt object" descr="70792187492d4dc8da7b3d52fb400b652351c0a4.png"/>
            <wp:cNvGraphicFramePr/>
            <a:graphic xmlns:a="http://schemas.openxmlformats.org/drawingml/2006/main">
              <a:graphicData uri="http://schemas.openxmlformats.org/drawingml/2006/picture">
                <pic:pic xmlns:pic="http://schemas.openxmlformats.org/drawingml/2006/picture">
                  <pic:nvPicPr>
                    <pic:cNvPr id="1073741827" name="70792187492d4dc8da7b3d52fb400b652351c0a4.png" descr="70792187492d4dc8da7b3d52fb400b652351c0a4.png"/>
                    <pic:cNvPicPr>
                      <a:picLocks noChangeAspect="1"/>
                    </pic:cNvPicPr>
                  </pic:nvPicPr>
                  <pic:blipFill>
                    <a:blip r:embed="rId6">
                      <a:extLst/>
                    </a:blip>
                    <a:stretch>
                      <a:fillRect/>
                    </a:stretch>
                  </pic:blipFill>
                  <pic:spPr>
                    <a:xfrm>
                      <a:off x="0" y="0"/>
                      <a:ext cx="6172073" cy="3114523"/>
                    </a:xfrm>
                    <a:prstGeom prst="rect">
                      <a:avLst/>
                    </a:prstGeom>
                    <a:ln w="12700" cap="flat">
                      <a:noFill/>
                      <a:miter lim="400000"/>
                    </a:ln>
                    <a:effectLst/>
                  </pic:spPr>
                </pic:pic>
              </a:graphicData>
            </a:graphic>
          </wp:inline>
        </w:drawing>
      </w:r>
    </w:p>
    <w:p>
      <w:pPr>
        <w:pStyle w:val="Heading"/>
      </w:pPr>
      <w:r>
        <w:rPr>
          <w:i w:val="1"/>
          <w:iCs w:val="1"/>
          <w:outline w:val="0"/>
          <w:color w:val="595959"/>
          <w:sz w:val="18"/>
          <w:szCs w:val="18"/>
          <w:u w:color="595959"/>
          <w:rtl w:val="0"/>
          <w:lang w:val="de-DE"/>
          <w14:textFill>
            <w14:solidFill>
              <w14:srgbClr w14:val="595959"/>
            </w14:solidFill>
          </w14:textFill>
        </w:rPr>
        <w:t xml:space="preserve">Figure 3: RDSG v2.0 Six-Stage Traversal </w:t>
      </w:r>
      <w:r>
        <w:rPr>
          <w:i w:val="1"/>
          <w:iCs w:val="1"/>
          <w:outline w:val="0"/>
          <w:color w:val="595959"/>
          <w:sz w:val="18"/>
          <w:szCs w:val="18"/>
          <w:u w:color="595959"/>
          <w:rtl w:val="0"/>
          <w:lang w:val="en-US"/>
          <w14:textFill>
            <w14:solidFill>
              <w14:srgbClr w14:val="595959"/>
            </w14:solidFill>
          </w14:textFill>
        </w:rPr>
        <w:t xml:space="preserve">— </w:t>
      </w:r>
      <w:r>
        <w:rPr>
          <w:i w:val="1"/>
          <w:iCs w:val="1"/>
          <w:outline w:val="0"/>
          <w:color w:val="595959"/>
          <w:sz w:val="18"/>
          <w:szCs w:val="18"/>
          <w:u w:color="595959"/>
          <w:rtl w:val="0"/>
          <w:lang w:val="en-US"/>
          <w14:textFill>
            <w14:solidFill>
              <w14:srgbClr w14:val="595959"/>
            </w14:solidFill>
          </w14:textFill>
        </w:rPr>
        <w:t>The formal insertion points for all automation categories</w:t>
      </w:r>
    </w:p>
    <w:p>
      <w:pPr>
        <w:pStyle w:val="Heading"/>
      </w:pPr>
    </w:p>
    <w:p>
      <w:pPr>
        <w:pStyle w:val="Heading 2"/>
      </w:pPr>
      <w:r>
        <w:rPr>
          <w:outline w:val="0"/>
          <w:color w:val="0070c0"/>
          <w:u w:color="0070c0"/>
          <w:rtl w:val="0"/>
          <w:lang w:val="fr-FR"/>
          <w14:textFill>
            <w14:solidFill>
              <w14:srgbClr w14:val="0070C0"/>
            </w14:solidFill>
          </w14:textFill>
        </w:rPr>
        <w:t xml:space="preserve">Stage 0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RCB Assembly: AI and Conversational Intent</w:t>
      </w:r>
    </w:p>
    <w:p>
      <w:pPr>
        <w:pStyle w:val="Heading 2"/>
      </w:pPr>
      <w:r>
        <w:rPr>
          <w:outline w:val="0"/>
          <w:color w:val="111111"/>
          <w:sz w:val="22"/>
          <w:szCs w:val="22"/>
          <w:u w:color="111111"/>
          <w:rtl w:val="0"/>
          <w:lang w:val="en-US"/>
          <w14:textFill>
            <w14:solidFill>
              <w14:srgbClr w14:val="111111"/>
            </w14:solidFill>
          </w14:textFill>
        </w:rPr>
        <w:t xml:space="preserve">Stage 0 is the insertion point for </w:t>
      </w:r>
      <w:r>
        <w:rPr>
          <w:outline w:val="0"/>
          <w:color w:val="111111"/>
          <w:sz w:val="22"/>
          <w:szCs w:val="22"/>
          <w:u w:color="111111"/>
          <w:shd w:val="clear" w:color="auto" w:fill="ffff00"/>
          <w:rtl w:val="0"/>
          <w:lang w:val="en-US"/>
          <w14:textFill>
            <w14:solidFill>
              <w14:srgbClr w14:val="111111"/>
            </w14:solidFill>
          </w14:textFill>
        </w:rPr>
        <w:t>AI agents that interpret human intent and decompose it into governed process context</w:t>
      </w:r>
      <w:r>
        <w:rPr>
          <w:outline w:val="0"/>
          <w:color w:val="111111"/>
          <w:sz w:val="22"/>
          <w:szCs w:val="22"/>
          <w:u w:color="111111"/>
          <w:rtl w:val="0"/>
          <w:lang w:val="en-US"/>
          <w14:textFill>
            <w14:solidFill>
              <w14:srgbClr w14:val="111111"/>
            </w14:solidFill>
          </w14:textFill>
        </w:rPr>
        <w:t xml:space="preserve">. The LangGraph formulation synthesis agent, a voice-activated lab assistant, a scientist's natural language query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all of these enter the holarchy at Stage 0. The incoming request is decomposed into its five relevancy dimensions (</w:t>
      </w:r>
      <w:r>
        <w:rPr>
          <w:rFonts w:ascii="Courier New" w:hAnsi="Courier New"/>
          <w:outline w:val="0"/>
          <w:color w:val="4a2a8a"/>
          <w:sz w:val="20"/>
          <w:szCs w:val="20"/>
          <w:u w:color="4a2a8a"/>
          <w:rtl w:val="0"/>
          <w:lang w:val="de-DE"/>
          <w14:textFill>
            <w14:solidFill>
              <w14:srgbClr w14:val="4A2A8A"/>
            </w14:solidFill>
          </w14:textFill>
        </w:rPr>
        <w:t>WHO</w:t>
      </w:r>
      <w:r>
        <w:rPr>
          <w:outline w:val="0"/>
          <w:color w:val="111111"/>
          <w:sz w:val="22"/>
          <w:szCs w:val="22"/>
          <w:u w:color="111111"/>
          <w:rtl w:val="0"/>
          <w14:textFill>
            <w14:solidFill>
              <w14:srgbClr w14:val="111111"/>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WHAT</w:t>
      </w:r>
      <w:r>
        <w:rPr>
          <w:outline w:val="0"/>
          <w:color w:val="111111"/>
          <w:sz w:val="22"/>
          <w:szCs w:val="22"/>
          <w:u w:color="111111"/>
          <w:rtl w:val="0"/>
          <w14:textFill>
            <w14:solidFill>
              <w14:srgbClr w14:val="111111"/>
            </w14:solidFill>
          </w14:textFill>
        </w:rPr>
        <w:t xml:space="preserve">, </w:t>
      </w:r>
      <w:r>
        <w:rPr>
          <w:rFonts w:ascii="Courier New" w:hAnsi="Courier New"/>
          <w:outline w:val="0"/>
          <w:color w:val="4a2a8a"/>
          <w:sz w:val="20"/>
          <w:szCs w:val="20"/>
          <w:u w:color="4a2a8a"/>
          <w:rtl w:val="0"/>
          <w:lang w:val="de-DE"/>
          <w14:textFill>
            <w14:solidFill>
              <w14:srgbClr w14:val="4A2A8A"/>
            </w14:solidFill>
          </w14:textFill>
        </w:rPr>
        <w:t>WHEN</w:t>
      </w:r>
      <w:r>
        <w:rPr>
          <w:outline w:val="0"/>
          <w:color w:val="111111"/>
          <w:sz w:val="22"/>
          <w:szCs w:val="22"/>
          <w:u w:color="111111"/>
          <w:rtl w:val="0"/>
          <w14:textFill>
            <w14:solidFill>
              <w14:srgbClr w14:val="111111"/>
            </w14:solidFill>
          </w14:textFill>
        </w:rPr>
        <w:t xml:space="preserve">, </w:t>
      </w:r>
      <w:r>
        <w:rPr>
          <w:rFonts w:ascii="Courier New" w:hAnsi="Courier New"/>
          <w:outline w:val="0"/>
          <w:color w:val="4a2a8a"/>
          <w:sz w:val="20"/>
          <w:szCs w:val="20"/>
          <w:u w:color="4a2a8a"/>
          <w:rtl w:val="0"/>
          <w:lang w:val="de-DE"/>
          <w14:textFill>
            <w14:solidFill>
              <w14:srgbClr w14:val="4A2A8A"/>
            </w14:solidFill>
          </w14:textFill>
        </w:rPr>
        <w:t>WHERE</w:t>
      </w:r>
      <w:r>
        <w:rPr>
          <w:outline w:val="0"/>
          <w:color w:val="111111"/>
          <w:sz w:val="22"/>
          <w:szCs w:val="22"/>
          <w:u w:color="111111"/>
          <w:rtl w:val="0"/>
          <w14:textFill>
            <w14:solidFill>
              <w14:srgbClr w14:val="111111"/>
            </w14:solidFill>
          </w14:textFill>
        </w:rPr>
        <w:t xml:space="preserve">, </w:t>
      </w:r>
      <w:r>
        <w:rPr>
          <w:rFonts w:ascii="Courier New" w:hAnsi="Courier New"/>
          <w:outline w:val="0"/>
          <w:color w:val="4a2a8a"/>
          <w:sz w:val="20"/>
          <w:szCs w:val="20"/>
          <w:u w:color="4a2a8a"/>
          <w:rtl w:val="0"/>
          <w:lang w:val="en-US"/>
          <w14:textFill>
            <w14:solidFill>
              <w14:srgbClr w14:val="4A2A8A"/>
            </w14:solidFill>
          </w14:textFill>
        </w:rPr>
        <w:t>WHY</w:t>
      </w:r>
      <w:r>
        <w:rPr>
          <w:outline w:val="0"/>
          <w:color w:val="111111"/>
          <w:sz w:val="22"/>
          <w:szCs w:val="22"/>
          <w:u w:color="111111"/>
          <w:rtl w:val="0"/>
          <w:lang w:val="en-US"/>
          <w14:textFill>
            <w14:solidFill>
              <w14:srgbClr w14:val="111111"/>
            </w14:solidFill>
          </w14:textFill>
        </w:rPr>
        <w:t>) and translated into a Requirement Context Bundle that activates the appropriate domain process holons. The scientist does not navigate the ontology manually. The RCB Assembly translates intent into structured governance context.</w:t>
      </w:r>
    </w:p>
    <w:p>
      <w:pPr>
        <w:pStyle w:val="Heading 2"/>
      </w:pPr>
    </w:p>
    <w:p>
      <w:pPr>
        <w:pStyle w:val="Heading 2"/>
      </w:pPr>
      <w:r>
        <w:rPr>
          <w:outline w:val="0"/>
          <w:color w:val="0070c0"/>
          <w:u w:color="0070c0"/>
          <w:rtl w:val="0"/>
          <w:lang w:val="en-US"/>
          <w14:textFill>
            <w14:solidFill>
              <w14:srgbClr w14:val="0070C0"/>
            </w14:solidFill>
          </w14:textFill>
        </w:rPr>
        <w:t xml:space="preserve">Step 1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SHACL Enforcement: Rule-Based Compliance Services</w:t>
      </w:r>
    </w:p>
    <w:p>
      <w:pPr>
        <w:pStyle w:val="Heading 2"/>
      </w:pPr>
      <w:r>
        <w:rPr>
          <w:outline w:val="0"/>
          <w:color w:val="111111"/>
          <w:sz w:val="22"/>
          <w:szCs w:val="22"/>
          <w:u w:color="111111"/>
          <w:rtl w:val="0"/>
          <w:lang w:val="en-US"/>
          <w14:textFill>
            <w14:solidFill>
              <w14:srgbClr w14:val="111111"/>
            </w14:solidFill>
          </w14:textFill>
        </w:rPr>
        <w:t xml:space="preserve">Step 1 is the insertion point for </w:t>
      </w:r>
      <w:r>
        <w:rPr>
          <w:outline w:val="0"/>
          <w:color w:val="111111"/>
          <w:sz w:val="22"/>
          <w:szCs w:val="22"/>
          <w:u w:color="111111"/>
          <w:shd w:val="clear" w:color="auto" w:fill="ffff00"/>
          <w:rtl w:val="0"/>
          <w:lang w:val="en-US"/>
          <w14:textFill>
            <w14:solidFill>
              <w14:srgbClr w14:val="111111"/>
            </w14:solidFill>
          </w14:textFill>
        </w:rPr>
        <w:t>any service that proposes a process state change</w:t>
      </w:r>
      <w:r>
        <w:rPr>
          <w:outline w:val="0"/>
          <w:color w:val="111111"/>
          <w:sz w:val="22"/>
          <w:szCs w:val="22"/>
          <w:u w:color="111111"/>
          <w:rtl w:val="0"/>
          <w:lang w:val="en-US"/>
          <w14:textFill>
            <w14:solidFill>
              <w14:srgbClr w14:val="111111"/>
            </w14:solidFill>
          </w14:textFill>
        </w:rPr>
        <w:t xml:space="preserve"> — </w:t>
      </w:r>
      <w:r>
        <w:rPr>
          <w:outline w:val="0"/>
          <w:color w:val="111111"/>
          <w:sz w:val="22"/>
          <w:szCs w:val="22"/>
          <w:u w:color="111111"/>
          <w:rtl w:val="0"/>
          <w:lang w:val="en-US"/>
          <w14:textFill>
            <w14:solidFill>
              <w14:srgbClr w14:val="111111"/>
            </w14:solidFill>
          </w14:textFill>
        </w:rPr>
        <w:t xml:space="preserve">a formulation optimization service, a scheduling system, a LIMS interface proposing to advance a sample, a UX component offering a confirmation button. All proposed state transitions are automatically evaluated against the 200+ SHACL shapes in the constraint library. </w:t>
      </w:r>
      <w:r>
        <w:rPr>
          <w:outline w:val="0"/>
          <w:color w:val="1a3a1a"/>
          <w:sz w:val="22"/>
          <w:szCs w:val="22"/>
          <w:u w:color="1a3a1a"/>
          <w:shd w:val="clear" w:color="auto" w:fill="00ff00"/>
          <w:rtl w:val="0"/>
          <w:lang w:val="en-US"/>
          <w14:textFill>
            <w14:solidFill>
              <w14:srgbClr w14:val="1A3A1A"/>
            </w14:solidFill>
          </w14:textFill>
        </w:rPr>
        <w:t xml:space="preserve">This check is structural </w:t>
      </w:r>
      <w:r>
        <w:rPr>
          <w:outline w:val="0"/>
          <w:color w:val="1a3a1a"/>
          <w:sz w:val="22"/>
          <w:szCs w:val="22"/>
          <w:u w:color="1a3a1a"/>
          <w:shd w:val="clear" w:color="auto" w:fill="00ff00"/>
          <w:rtl w:val="0"/>
          <w:lang w:val="en-US"/>
          <w14:textFill>
            <w14:solidFill>
              <w14:srgbClr w14:val="1A3A1A"/>
            </w14:solidFill>
          </w14:textFill>
        </w:rPr>
        <w:t xml:space="preserve">— </w:t>
      </w:r>
      <w:r>
        <w:rPr>
          <w:outline w:val="0"/>
          <w:color w:val="1a3a1a"/>
          <w:sz w:val="22"/>
          <w:szCs w:val="22"/>
          <w:u w:color="1a3a1a"/>
          <w:shd w:val="clear" w:color="auto" w:fill="00ff00"/>
          <w:rtl w:val="0"/>
          <w:lang w:val="en-US"/>
          <w14:textFill>
            <w14:solidFill>
              <w14:srgbClr w14:val="1A3A1A"/>
            </w14:solidFill>
          </w14:textFill>
        </w:rPr>
        <w:t>it cannot be bypassed because the SHACL enforcement engine is the path through which state change proposals travel.</w:t>
      </w:r>
      <w:r>
        <w:rPr>
          <w:outline w:val="0"/>
          <w:color w:val="111111"/>
          <w:sz w:val="22"/>
          <w:szCs w:val="22"/>
          <w:u w:color="111111"/>
          <w:rtl w:val="0"/>
          <w:lang w:val="en-US"/>
          <w14:textFill>
            <w14:solidFill>
              <w14:srgbClr w14:val="111111"/>
            </w14:solidFill>
          </w14:textFill>
        </w:rPr>
        <w:t xml:space="preserve"> The service does not implement compliance logic. It submits a proposal and receives a governance decision.</w:t>
      </w:r>
    </w:p>
    <w:p>
      <w:pPr>
        <w:pStyle w:val="Heading 2"/>
      </w:pPr>
    </w:p>
    <w:p>
      <w:pPr>
        <w:pStyle w:val="Heading 2"/>
      </w:pPr>
      <w:r>
        <w:rPr>
          <w:outline w:val="0"/>
          <w:color w:val="0070c0"/>
          <w:u w:color="0070c0"/>
          <w:rtl w:val="0"/>
          <w:lang w:val="en-US"/>
          <w14:textFill>
            <w14:solidFill>
              <w14:srgbClr w14:val="0070C0"/>
            </w14:solidFill>
          </w14:textFill>
        </w:rPr>
        <w:t xml:space="preserve">Step 2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SWRL Temporal Rules: Time-Aware Process Reasoning</w:t>
      </w:r>
    </w:p>
    <w:p>
      <w:pPr>
        <w:pStyle w:val="Heading 2"/>
      </w:pPr>
      <w:r>
        <w:rPr>
          <w:outline w:val="0"/>
          <w:color w:val="111111"/>
          <w:sz w:val="22"/>
          <w:szCs w:val="22"/>
          <w:u w:color="111111"/>
          <w:rtl w:val="0"/>
          <w:lang w:val="en-US"/>
          <w14:textFill>
            <w14:solidFill>
              <w14:srgbClr w14:val="111111"/>
            </w14:solidFill>
          </w14:textFill>
        </w:rPr>
        <w:t xml:space="preserve">Step 2 is the insertion point for </w:t>
      </w:r>
      <w:r>
        <w:rPr>
          <w:outline w:val="0"/>
          <w:color w:val="111111"/>
          <w:sz w:val="22"/>
          <w:szCs w:val="22"/>
          <w:u w:color="111111"/>
          <w:shd w:val="clear" w:color="auto" w:fill="ffff00"/>
          <w:rtl w:val="0"/>
          <w:lang w:val="en-US"/>
          <w14:textFill>
            <w14:solidFill>
              <w14:srgbClr w14:val="111111"/>
            </w14:solidFill>
          </w14:textFill>
        </w:rPr>
        <w:t xml:space="preserve">time-sensitive process automation </w:t>
      </w:r>
      <w:r>
        <w:rPr>
          <w:outline w:val="0"/>
          <w:color w:val="111111"/>
          <w:sz w:val="22"/>
          <w:szCs w:val="22"/>
          <w:u w:color="111111"/>
          <w:shd w:val="clear" w:color="auto" w:fill="ffff00"/>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scheduling systems, stability monitoring, equipment qualification management</w:t>
      </w:r>
      <w:r>
        <w:rPr>
          <w:outline w:val="0"/>
          <w:color w:val="111111"/>
          <w:sz w:val="22"/>
          <w:szCs w:val="22"/>
          <w:u w:color="111111"/>
          <w:rtl w:val="0"/>
          <w:lang w:val="en-US"/>
          <w14:textFill>
            <w14:solidFill>
              <w14:srgbClr w14:val="111111"/>
            </w14:solidFill>
          </w14:textFill>
        </w:rPr>
        <w:t>. SWRL temporal rules evaluate whether the proposed state transition is valid at the current point in time: Is the stability interval still within specification? Has the supplier qualification window expired? Is the current batch phase the correct one for the proposed action? A robotic liquid handler proposing to transfer a sample triggers SWRL temporal rule evaluation automatically. The robot does not know the stability protocol intervals. The holarchy applies them.</w:t>
      </w:r>
    </w:p>
    <w:p>
      <w:pPr>
        <w:pStyle w:val="Heading 2"/>
      </w:pPr>
    </w:p>
    <w:p>
      <w:pPr>
        <w:pStyle w:val="Heading 2"/>
      </w:pPr>
      <w:r>
        <w:rPr>
          <w:outline w:val="0"/>
          <w:color w:val="0070c0"/>
          <w:u w:color="0070c0"/>
          <w:rtl w:val="0"/>
          <w:lang w:val="en-US"/>
          <w14:textFill>
            <w14:solidFill>
              <w14:srgbClr w14:val="0070C0"/>
            </w14:solidFill>
          </w14:textFill>
        </w:rPr>
        <w:t xml:space="preserve">Step 3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PEP Compliance Evaluation: Organizational Governance Automation</w:t>
      </w:r>
    </w:p>
    <w:p>
      <w:pPr>
        <w:pStyle w:val="Heading 2"/>
      </w:pPr>
      <w:r>
        <w:rPr>
          <w:outline w:val="0"/>
          <w:color w:val="111111"/>
          <w:sz w:val="22"/>
          <w:szCs w:val="22"/>
          <w:u w:color="111111"/>
          <w:rtl w:val="0"/>
          <w:lang w:val="en-US"/>
          <w14:textFill>
            <w14:solidFill>
              <w14:srgbClr w14:val="111111"/>
            </w14:solidFill>
          </w14:textFill>
        </w:rPr>
        <w:t xml:space="preserve">Step 3 is the insertion point for </w:t>
      </w:r>
      <w:r>
        <w:rPr>
          <w:outline w:val="0"/>
          <w:color w:val="111111"/>
          <w:sz w:val="22"/>
          <w:szCs w:val="22"/>
          <w:u w:color="111111"/>
          <w:shd w:val="clear" w:color="auto" w:fill="ffff00"/>
          <w:rtl w:val="0"/>
          <w:lang w:val="en-US"/>
          <w14:textFill>
            <w14:solidFill>
              <w14:srgbClr w14:val="111111"/>
            </w14:solidFill>
          </w14:textFill>
        </w:rPr>
        <w:t>the six Policy Enforcement Point domains: Compliance (GxP, 21 CFR Part 11), Risk (FMEA/STPA), Legal (IP, contracts), Security (OPA/RBAC), Data Governance (DQS), and AI Governance (MTBH)</w:t>
      </w:r>
      <w:r>
        <w:rPr>
          <w:outline w:val="0"/>
          <w:color w:val="111111"/>
          <w:sz w:val="22"/>
          <w:szCs w:val="22"/>
          <w:u w:color="111111"/>
          <w:rtl w:val="0"/>
          <w:lang w:val="en-US"/>
          <w14:textFill>
            <w14:solidFill>
              <w14:srgbClr w14:val="111111"/>
            </w14:solidFill>
          </w14:textFill>
        </w:rPr>
        <w:t xml:space="preserve">. Each domain evaluates the proposed process action against its LKIF deontic norm set. A UX component presenting a process action to a scientist cannot render the authorization button until Step 3 returns a governance clearance across all six domains. The UX does not implement compliance logic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it renders the governance decision.</w:t>
      </w:r>
    </w:p>
    <w:p>
      <w:pPr>
        <w:pStyle w:val="Heading 2"/>
      </w:pPr>
    </w:p>
    <w:p>
      <w:pPr>
        <w:pStyle w:val="Heading 2"/>
      </w:pPr>
      <w:r>
        <w:rPr>
          <w:outline w:val="0"/>
          <w:color w:val="0070c0"/>
          <w:u w:color="0070c0"/>
          <w:rtl w:val="0"/>
          <w:lang w:val="en-US"/>
          <w14:textFill>
            <w14:solidFill>
              <w14:srgbClr w14:val="0070C0"/>
            </w14:solidFill>
          </w14:textFill>
        </w:rPr>
        <w:t xml:space="preserve">Step 4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STPA/STAMP UCA Boundary: Safety Systems and Robotics</w:t>
      </w:r>
    </w:p>
    <w:p>
      <w:pPr>
        <w:pStyle w:val="Heading 2"/>
      </w:pPr>
      <w:r>
        <w:rPr>
          <w:outline w:val="0"/>
          <w:color w:val="111111"/>
          <w:sz w:val="22"/>
          <w:szCs w:val="22"/>
          <w:u w:color="111111"/>
          <w:rtl w:val="0"/>
          <w:lang w:val="en-US"/>
          <w14:textFill>
            <w14:solidFill>
              <w14:srgbClr w14:val="111111"/>
            </w14:solidFill>
          </w14:textFill>
        </w:rPr>
        <w:t xml:space="preserve">Step 4 is the insertion point for </w:t>
      </w:r>
      <w:r>
        <w:rPr>
          <w:outline w:val="0"/>
          <w:color w:val="111111"/>
          <w:sz w:val="22"/>
          <w:szCs w:val="22"/>
          <w:u w:color="111111"/>
          <w:shd w:val="clear" w:color="auto" w:fill="ffff00"/>
          <w:rtl w:val="0"/>
          <w:lang w:val="en-US"/>
          <w14:textFill>
            <w14:solidFill>
              <w14:srgbClr w14:val="111111"/>
            </w14:solidFill>
          </w14:textFill>
        </w:rPr>
        <w:t>robotic systems, automated lab equipment, and any actuation that could affect physical safety or process integrity</w:t>
      </w:r>
      <w:r>
        <w:rPr>
          <w:outline w:val="0"/>
          <w:color w:val="111111"/>
          <w:sz w:val="22"/>
          <w:szCs w:val="22"/>
          <w:u w:color="111111"/>
          <w:rtl w:val="0"/>
          <w:lang w:val="en-US"/>
          <w14:textFill>
            <w14:solidFill>
              <w14:srgbClr w14:val="111111"/>
            </w14:solidFill>
          </w14:textFill>
        </w:rPr>
        <w:t xml:space="preserve">. Every proposed process action is checked against the Unsafe Control Action specification derived from Systems Theoretic Process Analysis. </w:t>
      </w:r>
      <w:r>
        <w:rPr>
          <w:outline w:val="0"/>
          <w:color w:val="1a3a1a"/>
          <w:sz w:val="22"/>
          <w:szCs w:val="22"/>
          <w:u w:color="1a3a1a"/>
          <w:shd w:val="clear" w:color="auto" w:fill="00ff00"/>
          <w:rtl w:val="0"/>
          <w:lang w:val="en-US"/>
          <w14:textFill>
            <w14:solidFill>
              <w14:srgbClr w14:val="1A3A1A"/>
            </w14:solidFill>
          </w14:textFill>
        </w:rPr>
        <w:t xml:space="preserve">The STPA specification is not embedded in the robot's control logic </w:t>
      </w:r>
      <w:r>
        <w:rPr>
          <w:outline w:val="0"/>
          <w:color w:val="1a3a1a"/>
          <w:sz w:val="22"/>
          <w:szCs w:val="22"/>
          <w:u w:color="1a3a1a"/>
          <w:shd w:val="clear" w:color="auto" w:fill="00ff00"/>
          <w:rtl w:val="0"/>
          <w:lang w:val="en-US"/>
          <w14:textFill>
            <w14:solidFill>
              <w14:srgbClr w14:val="1A3A1A"/>
            </w14:solidFill>
          </w14:textFill>
        </w:rPr>
        <w:t xml:space="preserve">— </w:t>
      </w:r>
      <w:r>
        <w:rPr>
          <w:outline w:val="0"/>
          <w:color w:val="1a3a1a"/>
          <w:sz w:val="22"/>
          <w:szCs w:val="22"/>
          <w:u w:color="1a3a1a"/>
          <w:shd w:val="clear" w:color="auto" w:fill="00ff00"/>
          <w:rtl w:val="0"/>
          <w:lang w:val="en-US"/>
          <w14:textFill>
            <w14:solidFill>
              <w14:srgbClr w14:val="1A3A1A"/>
            </w14:solidFill>
          </w14:textFill>
        </w:rPr>
        <w:t>where re-qualification would be required every time the safety boundary is updated. It is evaluated by the RDSG at the governance boundary.</w:t>
      </w:r>
      <w:r>
        <w:rPr>
          <w:outline w:val="0"/>
          <w:color w:val="111111"/>
          <w:sz w:val="22"/>
          <w:szCs w:val="22"/>
          <w:u w:color="111111"/>
          <w:rtl w:val="0"/>
          <w:lang w:val="en-US"/>
          <w14:textFill>
            <w14:solidFill>
              <w14:srgbClr w14:val="111111"/>
            </w14:solidFill>
          </w14:textFill>
        </w:rPr>
        <w:t xml:space="preserve"> The robot receives only authorized action directives. Safety governance updates are instantaneous across all connected robots without equipment re-qualification.</w:t>
      </w:r>
    </w:p>
    <w:p>
      <w:pPr>
        <w:pStyle w:val="Heading 2"/>
      </w:pPr>
    </w:p>
    <w:p>
      <w:pPr>
        <w:pStyle w:val="Heading 2"/>
      </w:pPr>
      <w:r>
        <w:rPr>
          <w:outline w:val="0"/>
          <w:color w:val="0070c0"/>
          <w:u w:color="0070c0"/>
          <w:rtl w:val="0"/>
          <w:lang w:val="en-US"/>
          <w14:textFill>
            <w14:solidFill>
              <w14:srgbClr w14:val="0070C0"/>
            </w14:solidFill>
          </w14:textFill>
        </w:rPr>
        <w:t xml:space="preserve">Step 5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Compiled AI Directive: LangGraph Agents and LLM Inference</w:t>
      </w:r>
    </w:p>
    <w:p>
      <w:pPr>
        <w:pStyle w:val="Heading 2"/>
      </w:pPr>
      <w:r>
        <w:rPr>
          <w:outline w:val="0"/>
          <w:color w:val="111111"/>
          <w:sz w:val="22"/>
          <w:szCs w:val="22"/>
          <w:u w:color="111111"/>
          <w:rtl w:val="0"/>
          <w:lang w:val="en-US"/>
          <w14:textFill>
            <w14:solidFill>
              <w14:srgbClr w14:val="111111"/>
            </w14:solidFill>
          </w14:textFill>
        </w:rPr>
        <w:t xml:space="preserve">Step 5 is the insertion point for </w:t>
      </w:r>
      <w:r>
        <w:rPr>
          <w:outline w:val="0"/>
          <w:color w:val="111111"/>
          <w:sz w:val="22"/>
          <w:szCs w:val="22"/>
          <w:u w:color="111111"/>
          <w:shd w:val="clear" w:color="auto" w:fill="ffff00"/>
          <w:rtl w:val="0"/>
          <w:lang w:val="en-US"/>
          <w14:textFill>
            <w14:solidFill>
              <w14:srgbClr w14:val="111111"/>
            </w14:solidFill>
          </w14:textFill>
        </w:rPr>
        <w:t xml:space="preserve">AI agents that execute </w:t>
      </w:r>
      <w:r>
        <w:rPr>
          <w:outline w:val="0"/>
          <w:color w:val="111111"/>
          <w:sz w:val="22"/>
          <w:szCs w:val="22"/>
          <w:u w:color="111111"/>
          <w:shd w:val="clear" w:color="auto" w:fill="ffff00"/>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generating recommendations, drafting regulatory text, synthesizing formulation knowledge, performing root cause analysis</w:t>
      </w:r>
      <w:r>
        <w:rPr>
          <w:outline w:val="0"/>
          <w:color w:val="111111"/>
          <w:sz w:val="22"/>
          <w:szCs w:val="22"/>
          <w:u w:color="111111"/>
          <w:rtl w:val="0"/>
          <w:lang w:val="en-US"/>
          <w14:textFill>
            <w14:solidFill>
              <w14:srgbClr w14:val="111111"/>
            </w14:solidFill>
          </w14:textFill>
        </w:rPr>
        <w:t xml:space="preserve">. The agent receives not the user's raw request but a Compiled AI Directive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a governance package carrying the semantic authority of every domain holon touched in Steps 1</w:t>
      </w:r>
      <w:r>
        <w:rPr>
          <w:outline w:val="0"/>
          <w:color w:val="111111"/>
          <w:sz w:val="22"/>
          <w:szCs w:val="22"/>
          <w:u w:color="111111"/>
          <w:rtl w:val="0"/>
          <w14:textFill>
            <w14:solidFill>
              <w14:srgbClr w14:val="111111"/>
            </w14:solidFill>
          </w14:textFill>
        </w:rPr>
        <w:t>–</w:t>
      </w:r>
      <w:r>
        <w:rPr>
          <w:outline w:val="0"/>
          <w:color w:val="111111"/>
          <w:sz w:val="22"/>
          <w:szCs w:val="22"/>
          <w:u w:color="111111"/>
          <w:rtl w:val="0"/>
          <w:lang w:val="en-US"/>
          <w14:textFill>
            <w14:solidFill>
              <w14:srgbClr w14:val="111111"/>
            </w14:solidFill>
          </w14:textFill>
        </w:rPr>
        <w:t xml:space="preserve">4, the ontological context of the current process instance, and the constraints within which the agent is permitted to reason. </w:t>
      </w:r>
      <w:r>
        <w:rPr>
          <w:outline w:val="0"/>
          <w:color w:val="111111"/>
          <w:sz w:val="22"/>
          <w:szCs w:val="22"/>
          <w:u w:color="111111"/>
          <w:shd w:val="clear" w:color="auto" w:fill="ffff00"/>
          <w:rtl w:val="0"/>
          <w:lang w:val="en-US"/>
          <w14:textFill>
            <w14:solidFill>
              <w14:srgbClr w14:val="111111"/>
            </w14:solidFill>
          </w14:textFill>
        </w:rPr>
        <w:t>The agent operates within the holarchy, not on top of it. Hallucination is structurally constrained because the agent can only propose outputs consistent with the governed context it received.</w:t>
      </w:r>
    </w:p>
    <w:p>
      <w:pPr>
        <w:pStyle w:val="Heading 2"/>
      </w:pPr>
    </w:p>
    <w:p>
      <w:pPr>
        <w:pStyle w:val="Heading 2"/>
      </w:pPr>
      <w:r>
        <w:rPr>
          <w:outline w:val="0"/>
          <w:color w:val="0070c0"/>
          <w:u w:color="0070c0"/>
          <w:rtl w:val="0"/>
          <w:lang w:val="en-US"/>
          <w14:textFill>
            <w14:solidFill>
              <w14:srgbClr w14:val="0070C0"/>
            </w14:solidFill>
          </w14:textFill>
        </w:rPr>
        <w:t xml:space="preserve">Service Facade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Delivery Gate: Outputs to Physical and Digital Consumers</w:t>
      </w:r>
    </w:p>
    <w:p>
      <w:pPr>
        <w:pStyle w:val="Heading 2"/>
      </w:pPr>
      <w:r>
        <w:rPr>
          <w:outline w:val="0"/>
          <w:color w:val="111111"/>
          <w:sz w:val="22"/>
          <w:szCs w:val="22"/>
          <w:u w:color="111111"/>
          <w:rtl w:val="0"/>
          <w:lang w:val="en-US"/>
          <w14:textFill>
            <w14:solidFill>
              <w14:srgbClr w14:val="111111"/>
            </w14:solidFill>
          </w14:textFill>
        </w:rPr>
        <w:t xml:space="preserve">The Service Facade is the exit point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 xml:space="preserve">where governed outputs reach their consumers. </w:t>
      </w:r>
      <w:r>
        <w:rPr>
          <w:outline w:val="0"/>
          <w:color w:val="111111"/>
          <w:sz w:val="22"/>
          <w:szCs w:val="22"/>
          <w:u w:color="111111"/>
          <w:shd w:val="clear" w:color="auto" w:fill="ffff00"/>
          <w:rtl w:val="0"/>
          <w:lang w:val="en-US"/>
          <w14:textFill>
            <w14:solidFill>
              <w14:srgbClr w14:val="111111"/>
            </w14:solidFill>
          </w14:textFill>
        </w:rPr>
        <w:t>Robot actuation commands, UX state updates, API responses to downstream systems, Mendix workflow triggers, Teamcenter BOP pushes, SAP BOM updates</w:t>
      </w:r>
      <w:r>
        <w:rPr>
          <w:outline w:val="0"/>
          <w:color w:val="111111"/>
          <w:sz w:val="22"/>
          <w:szCs w:val="22"/>
          <w:u w:color="111111"/>
          <w:rtl w:val="0"/>
          <w:lang w:val="en-US"/>
          <w14:textFill>
            <w14:solidFill>
              <w14:srgbClr w14:val="111111"/>
            </w14:solidFill>
          </w14:textFill>
        </w:rPr>
        <w:t xml:space="preserve"> — </w:t>
      </w:r>
      <w:r>
        <w:rPr>
          <w:outline w:val="0"/>
          <w:color w:val="111111"/>
          <w:sz w:val="22"/>
          <w:szCs w:val="22"/>
          <w:u w:color="111111"/>
          <w:rtl w:val="0"/>
          <w:lang w:val="en-US"/>
          <w14:textFill>
            <w14:solidFill>
              <w14:srgbClr w14:val="111111"/>
            </w14:solidFill>
          </w14:textFill>
        </w:rPr>
        <w:t>all exit through the Service Facade after AcceptanceCriteria validation, MTBH score update, and KGCL audit record commitment. A robotic arm receives an actuation command only after all six governance stages have been traversed. A Mendix dashboard reflects a process state change only after that change has been committed to the Knowledge Graph with full provenance.</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03087"/>
          <w:u w:color="003087"/>
          <w:rtl w:val="0"/>
          <w:lang w:val="en-US"/>
          <w14:textFill>
            <w14:solidFill>
              <w14:srgbClr w14:val="003087"/>
            </w14:solidFill>
          </w14:textFill>
        </w:rPr>
        <w:t xml:space="preserve">5.  The Process Holon Pattern </w:t>
      </w:r>
      <w:r>
        <w:rPr>
          <w:outline w:val="0"/>
          <w:color w:val="003087"/>
          <w:u w:color="003087"/>
          <w:rtl w:val="0"/>
          <w:lang w:val="en-US"/>
          <w14:textFill>
            <w14:solidFill>
              <w14:srgbClr w14:val="003087"/>
            </w14:solidFill>
          </w14:textFill>
        </w:rPr>
        <w:t xml:space="preserve">— </w:t>
      </w:r>
      <w:r>
        <w:rPr>
          <w:outline w:val="0"/>
          <w:color w:val="003087"/>
          <w:u w:color="003087"/>
          <w:rtl w:val="0"/>
          <w:lang w:val="en-US"/>
          <w14:textFill>
            <w14:solidFill>
              <w14:srgbClr w14:val="003087"/>
            </w14:solidFill>
          </w14:textFill>
        </w:rPr>
        <w:t>Whole and Part Simultaneously</w:t>
      </w:r>
    </w:p>
    <w:p>
      <w:pPr>
        <w:pStyle w:val="Heading"/>
      </w:pPr>
    </w:p>
    <w:p>
      <w:pPr>
        <w:pStyle w:val="Heading"/>
      </w:pPr>
      <w:r>
        <w:rPr>
          <w:outline w:val="0"/>
          <w:color w:val="111111"/>
          <w:sz w:val="22"/>
          <w:szCs w:val="22"/>
          <w:u w:color="111111"/>
          <w:rtl w:val="0"/>
          <w:lang w:val="en-US"/>
          <w14:textFill>
            <w14:solidFill>
              <w14:srgbClr w14:val="111111"/>
            </w14:solidFill>
          </w14:textFill>
        </w:rPr>
        <w:t xml:space="preserve">A process in the holonic architecture is a holon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 xml:space="preserve">simultaneously a </w:t>
      </w:r>
      <w:r>
        <w:rPr>
          <w:outline w:val="0"/>
          <w:color w:val="111111"/>
          <w:sz w:val="22"/>
          <w:szCs w:val="22"/>
          <w:u w:color="111111"/>
          <w:shd w:val="clear" w:color="auto" w:fill="ffff00"/>
          <w:rtl w:val="0"/>
          <w:lang w:val="en-US"/>
          <w14:textFill>
            <w14:solidFill>
              <w14:srgbClr w14:val="111111"/>
            </w14:solidFill>
          </w14:textFill>
        </w:rPr>
        <w:t>self-governing whole, bounded by its own SHACL invariants and LKIF obligations</w:t>
      </w:r>
      <w:r>
        <w:rPr>
          <w:outline w:val="0"/>
          <w:color w:val="111111"/>
          <w:sz w:val="22"/>
          <w:szCs w:val="22"/>
          <w:u w:color="111111"/>
          <w:rtl w:val="0"/>
          <w:lang w:val="en-US"/>
          <w14:textFill>
            <w14:solidFill>
              <w14:srgbClr w14:val="111111"/>
            </w14:solidFill>
          </w14:textFill>
        </w:rPr>
        <w:t xml:space="preserve">, and a </w:t>
      </w:r>
      <w:r>
        <w:rPr>
          <w:outline w:val="0"/>
          <w:color w:val="111111"/>
          <w:sz w:val="22"/>
          <w:szCs w:val="22"/>
          <w:u w:color="111111"/>
          <w:shd w:val="clear" w:color="auto" w:fill="ffff00"/>
          <w:rtl w:val="0"/>
          <w:lang w:val="en-US"/>
          <w14:textFill>
            <w14:solidFill>
              <w14:srgbClr w14:val="111111"/>
            </w14:solidFill>
          </w14:textFill>
        </w:rPr>
        <w:t>composable part of a larger process holarchy</w:t>
      </w:r>
      <w:r>
        <w:rPr>
          <w:outline w:val="0"/>
          <w:color w:val="111111"/>
          <w:sz w:val="22"/>
          <w:szCs w:val="22"/>
          <w:u w:color="111111"/>
          <w:rtl w:val="0"/>
          <w:lang w:val="en-US"/>
          <w14:textFill>
            <w14:solidFill>
              <w14:srgbClr w14:val="111111"/>
            </w14:solidFill>
          </w14:textFill>
        </w:rPr>
        <w:t xml:space="preserve">. This dual nature is not a design choice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it is the formal property that makes process scalable without replication.</w:t>
      </w:r>
    </w:p>
    <w:p>
      <w:pPr>
        <w:pStyle w:val="Heading"/>
      </w:pPr>
    </w:p>
    <w:p>
      <w:pPr>
        <w:pStyle w:val="Heading"/>
      </w:pPr>
      <w:r>
        <w:rPr>
          <w:outline w:val="0"/>
          <w:color w:val="000000"/>
          <w:u w:color="000000"/>
          <w14:textFill>
            <w14:solidFill>
              <w14:srgbClr w14:val="000000"/>
            </w14:solidFill>
          </w14:textFill>
        </w:rPr>
        <w:drawing xmlns:a="http://schemas.openxmlformats.org/drawingml/2006/main">
          <wp:inline distT="0" distB="0" distL="0" distR="0">
            <wp:extent cx="6172073" cy="3038560"/>
            <wp:effectExtent l="0" t="0" r="0" b="0"/>
            <wp:docPr id="1073741828" name="officeArt object" descr="440aeda08f23fe28a38eb0fbe6fdd13641d17949.png"/>
            <wp:cNvGraphicFramePr/>
            <a:graphic xmlns:a="http://schemas.openxmlformats.org/drawingml/2006/main">
              <a:graphicData uri="http://schemas.openxmlformats.org/drawingml/2006/picture">
                <pic:pic xmlns:pic="http://schemas.openxmlformats.org/drawingml/2006/picture">
                  <pic:nvPicPr>
                    <pic:cNvPr id="1073741828" name="440aeda08f23fe28a38eb0fbe6fdd13641d17949.png" descr="440aeda08f23fe28a38eb0fbe6fdd13641d17949.png"/>
                    <pic:cNvPicPr>
                      <a:picLocks noChangeAspect="1"/>
                    </pic:cNvPicPr>
                  </pic:nvPicPr>
                  <pic:blipFill>
                    <a:blip r:embed="rId7">
                      <a:extLst/>
                    </a:blip>
                    <a:stretch>
                      <a:fillRect/>
                    </a:stretch>
                  </pic:blipFill>
                  <pic:spPr>
                    <a:xfrm>
                      <a:off x="0" y="0"/>
                      <a:ext cx="6172073" cy="3038560"/>
                    </a:xfrm>
                    <a:prstGeom prst="rect">
                      <a:avLst/>
                    </a:prstGeom>
                    <a:ln w="12700" cap="flat">
                      <a:noFill/>
                      <a:miter lim="400000"/>
                    </a:ln>
                    <a:effectLst/>
                  </pic:spPr>
                </pic:pic>
              </a:graphicData>
            </a:graphic>
          </wp:inline>
        </w:drawing>
      </w:r>
    </w:p>
    <w:p>
      <w:pPr>
        <w:pStyle w:val="Heading"/>
      </w:pPr>
      <w:r>
        <w:rPr>
          <w:i w:val="1"/>
          <w:iCs w:val="1"/>
          <w:outline w:val="0"/>
          <w:color w:val="595959"/>
          <w:sz w:val="18"/>
          <w:szCs w:val="18"/>
          <w:u w:color="595959"/>
          <w:rtl w:val="0"/>
          <w:lang w:val="en-US"/>
          <w14:textFill>
            <w14:solidFill>
              <w14:srgbClr w14:val="595959"/>
            </w14:solidFill>
          </w14:textFill>
        </w:rPr>
        <w:t xml:space="preserve">Figure 4: The Process Holon Pattern </w:t>
      </w:r>
      <w:r>
        <w:rPr>
          <w:i w:val="1"/>
          <w:iCs w:val="1"/>
          <w:outline w:val="0"/>
          <w:color w:val="595959"/>
          <w:sz w:val="18"/>
          <w:szCs w:val="18"/>
          <w:u w:color="595959"/>
          <w:rtl w:val="0"/>
          <w:lang w:val="en-US"/>
          <w14:textFill>
            <w14:solidFill>
              <w14:srgbClr w14:val="595959"/>
            </w14:solidFill>
          </w14:textFill>
        </w:rPr>
        <w:t xml:space="preserve">— </w:t>
      </w:r>
      <w:r>
        <w:rPr>
          <w:i w:val="1"/>
          <w:iCs w:val="1"/>
          <w:outline w:val="0"/>
          <w:color w:val="595959"/>
          <w:sz w:val="18"/>
          <w:szCs w:val="18"/>
          <w:u w:color="595959"/>
          <w:rtl w:val="0"/>
          <w:lang w:val="en-US"/>
          <w14:textFill>
            <w14:solidFill>
              <w14:srgbClr w14:val="595959"/>
            </w14:solidFill>
          </w14:textFill>
        </w:rPr>
        <w:t>One definition governs all instances; holarchic composition without replication</w:t>
      </w:r>
    </w:p>
    <w:p>
      <w:pPr>
        <w:pStyle w:val="Heading"/>
      </w:pPr>
    </w:p>
    <w:p>
      <w:pPr>
        <w:pStyle w:val="Heading 2"/>
      </w:pPr>
      <w:r>
        <w:rPr>
          <w:outline w:val="0"/>
          <w:color w:val="0070c0"/>
          <w:u w:color="0070c0"/>
          <w:rtl w:val="0"/>
          <w:lang w:val="en-US"/>
          <w14:textFill>
            <w14:solidFill>
              <w14:srgbClr w14:val="0070C0"/>
            </w14:solidFill>
          </w14:textFill>
        </w:rPr>
        <w:t>The Compounding Process as a Self-Governing Whole</w:t>
      </w:r>
    </w:p>
    <w:p>
      <w:pPr>
        <w:pStyle w:val="Heading 2"/>
      </w:pPr>
      <w:r>
        <w:rPr>
          <w:outline w:val="0"/>
          <w:color w:val="111111"/>
          <w:sz w:val="22"/>
          <w:szCs w:val="22"/>
          <w:u w:color="111111"/>
          <w:rtl w:val="0"/>
          <w:lang w:val="en-US"/>
          <w14:textFill>
            <w14:solidFill>
              <w14:srgbClr w14:val="111111"/>
            </w14:solidFill>
          </w14:textFill>
        </w:rPr>
        <w:t xml:space="preserve">The Compounding Process holon has its own OWL 2 class definition, its own SHACL shape specifying valid parameter envelopes, its own SWRL temporal rules governing phase durations, and its own LKIF obligations about what must be logged and approved. It is self-governing in Koestler's sense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it can operate correctly (produce valid instances, enforce its constraints, generate its outputs) without reference to any other process. A compounding batch at a new site that has never run this process before is immediately governed correctly, because the process holon definition travels with the AAS shell that identifies it.</w:t>
      </w:r>
    </w:p>
    <w:p>
      <w:pPr>
        <w:pStyle w:val="Heading 2"/>
      </w:pPr>
    </w:p>
    <w:p>
      <w:pPr>
        <w:pStyle w:val="Heading 2"/>
      </w:pPr>
      <w:r>
        <w:rPr>
          <w:outline w:val="0"/>
          <w:color w:val="0070c0"/>
          <w:u w:color="0070c0"/>
          <w:rtl w:val="0"/>
          <w:lang w:val="en-US"/>
          <w14:textFill>
            <w14:solidFill>
              <w14:srgbClr w14:val="0070C0"/>
            </w14:solidFill>
          </w14:textFill>
        </w:rPr>
        <w:t>The Compounding Process as a Composable Part</w:t>
      </w:r>
    </w:p>
    <w:p>
      <w:pPr>
        <w:pStyle w:val="Heading 2"/>
      </w:pPr>
      <w:r>
        <w:rPr>
          <w:outline w:val="0"/>
          <w:color w:val="111111"/>
          <w:sz w:val="22"/>
          <w:szCs w:val="22"/>
          <w:u w:color="111111"/>
          <w:rtl w:val="0"/>
          <w:lang w:val="en-US"/>
          <w14:textFill>
            <w14:solidFill>
              <w14:srgbClr w14:val="111111"/>
            </w14:solidFill>
          </w14:textFill>
        </w:rPr>
        <w:t>The Compounding Process holon is also one operation within the Drug Product Manufacturing Process holarchy, which is itself one phase of the Development-to-Commercial Program holarchy, which is part of the Product Portfolio holarchy. Each level adds governance context without modifying the process holon below it:</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Drug Product Manufacturing Process holarchy  </w:t>
      </w:r>
      <w:r>
        <w:rPr>
          <w:rFonts w:ascii="Arial" w:hAnsi="Arial"/>
          <w:outline w:val="0"/>
          <w:color w:val="111111"/>
          <w:sz w:val="22"/>
          <w:szCs w:val="22"/>
          <w:u w:color="111111"/>
          <w:rtl w:val="0"/>
          <w:lang w:val="en-US"/>
          <w14:textFill>
            <w14:solidFill>
              <w14:srgbClr w14:val="111111"/>
            </w14:solidFill>
          </w14:textFill>
        </w:rPr>
        <w:t xml:space="preserve">defines how compounding relates to filling and lyophilization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the cross-process sequencing constraints and material handoff specifications.</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Development-to-Commercial Program holarchy  </w:t>
      </w:r>
      <w:r>
        <w:rPr>
          <w:rFonts w:ascii="Arial" w:hAnsi="Arial"/>
          <w:outline w:val="0"/>
          <w:color w:val="111111"/>
          <w:sz w:val="22"/>
          <w:szCs w:val="22"/>
          <w:u w:color="111111"/>
          <w:rtl w:val="0"/>
          <w:lang w:val="en-US"/>
          <w14:textFill>
            <w14:solidFill>
              <w14:srgbClr w14:val="111111"/>
            </w14:solidFill>
          </w14:textFill>
        </w:rPr>
        <w:t xml:space="preserve">defines how the manufacturing process relates to the clinical trial that validated the formulation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the lineage that an FDA inspector needs to trace.</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Product Portfolio holarchy  </w:t>
      </w:r>
      <w:r>
        <w:rPr>
          <w:rFonts w:ascii="Arial" w:hAnsi="Arial"/>
          <w:outline w:val="0"/>
          <w:color w:val="111111"/>
          <w:sz w:val="22"/>
          <w:szCs w:val="22"/>
          <w:u w:color="111111"/>
          <w:rtl w:val="0"/>
          <w:lang w:val="en-US"/>
          <w14:textFill>
            <w14:solidFill>
              <w14:srgbClr w14:val="111111"/>
            </w14:solidFill>
          </w14:textFill>
        </w:rPr>
        <w:t xml:space="preserve">defines how this product's manufacturing compares to others sharing equipment or raw material suppliers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the cross-product risk context for supply chain and operations.</w:t>
      </w:r>
    </w:p>
    <w:p>
      <w:pPr>
        <w:pStyle w:val="List Paragraph"/>
        <w:spacing w:before="60" w:after="60"/>
      </w:pPr>
    </w:p>
    <w:p>
      <w:pPr>
        <w:pStyle w:val="List Paragraph"/>
        <w:spacing w:before="60" w:after="60"/>
      </w:pPr>
      <w:r>
        <w:rPr>
          <w:rFonts w:ascii="Arial" w:hAnsi="Arial"/>
          <w:b w:val="1"/>
          <w:bCs w:val="1"/>
          <w:outline w:val="0"/>
          <w:color w:val="1a3a1a"/>
          <w:sz w:val="22"/>
          <w:szCs w:val="22"/>
          <w:u w:color="1a3a1a"/>
          <w:shd w:val="clear" w:color="auto" w:fill="00ff00"/>
          <w:rtl w:val="0"/>
          <w:lang w:val="en-US"/>
          <w14:textFill>
            <w14:solidFill>
              <w14:srgbClr w14:val="1A3A1A"/>
            </w14:solidFill>
          </w14:textFill>
        </w:rPr>
        <w:t>Adding a new manufacturing site does not require rewriting the Compounding Process definition.</w:t>
      </w:r>
      <w:r>
        <w:rPr>
          <w:rFonts w:ascii="Arial" w:hAnsi="Arial"/>
          <w:outline w:val="0"/>
          <w:color w:val="111111"/>
          <w:sz w:val="22"/>
          <w:szCs w:val="22"/>
          <w:u w:color="111111"/>
          <w:rtl w:val="0"/>
          <w:lang w:val="en-US"/>
          <w14:textFill>
            <w14:solidFill>
              <w14:srgbClr w14:val="111111"/>
            </w14:solidFill>
          </w14:textFill>
        </w:rPr>
        <w:t xml:space="preserve"> Adding a new formulation does not duplicate the governance framework. The process holon is defined once at the appropriate holonic level. New instances are governed by the same definition, connected to the holarchy through the AAS-to-Knowledge-Graph bridge, validated by the same SHACL constraints. </w:t>
      </w: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The governance scales structurally </w:t>
      </w:r>
      <w:r>
        <w:rPr>
          <w:rFonts w:ascii="Arial" w:hAnsi="Arial" w:hint="default"/>
          <w:b w:val="1"/>
          <w:bCs w:val="1"/>
          <w:outline w:val="0"/>
          <w:color w:val="111111"/>
          <w:sz w:val="22"/>
          <w:szCs w:val="22"/>
          <w:u w:color="111111"/>
          <w:shd w:val="clear" w:color="auto" w:fill="ffff00"/>
          <w:rtl w:val="0"/>
          <w:lang w:val="en-US"/>
          <w14:textFill>
            <w14:solidFill>
              <w14:srgbClr w14:val="111111"/>
            </w14:solidFill>
          </w14:textFill>
        </w:rPr>
        <w:t xml:space="preserve">— </w:t>
      </w: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it does not add governance overhead proportional to the number of process instances.</w:t>
      </w:r>
    </w:p>
    <w:p>
      <w:pPr>
        <w:pStyle w:val="List Paragraph"/>
        <w:spacing w:before="60" w:after="60"/>
      </w:pPr>
      <w:r>
        <w:rPr>
          <w:rFonts w:ascii="Arial Unicode MS" w:cs="Arial Unicode MS" w:hAnsi="Arial Unicode MS" w:eastAsia="Arial Unicode MS"/>
          <w:b w:val="0"/>
          <w:bCs w:val="0"/>
          <w:i w:val="0"/>
          <w:iCs w:val="0"/>
        </w:rPr>
        <w:br w:type="page"/>
      </w:r>
    </w:p>
    <w:p>
      <w:pPr>
        <w:pStyle w:val="Heading"/>
      </w:pPr>
      <w:r>
        <w:rPr>
          <w:outline w:val="0"/>
          <w:color w:val="003087"/>
          <w:u w:color="003087"/>
          <w:rtl w:val="0"/>
          <w:lang w:val="en-US"/>
          <w14:textFill>
            <w14:solidFill>
              <w14:srgbClr w14:val="003087"/>
            </w14:solidFill>
          </w14:textFill>
        </w:rPr>
        <w:t xml:space="preserve">6.  Governed Emergence </w:t>
      </w:r>
      <w:r>
        <w:rPr>
          <w:outline w:val="0"/>
          <w:color w:val="003087"/>
          <w:u w:color="003087"/>
          <w:rtl w:val="0"/>
          <w:lang w:val="en-US"/>
          <w14:textFill>
            <w14:solidFill>
              <w14:srgbClr w14:val="003087"/>
            </w14:solidFill>
          </w14:textFill>
        </w:rPr>
        <w:t xml:space="preserve">— </w:t>
      </w:r>
      <w:r>
        <w:rPr>
          <w:outline w:val="0"/>
          <w:color w:val="003087"/>
          <w:u w:color="003087"/>
          <w:rtl w:val="0"/>
          <w:lang w:val="en-US"/>
          <w14:textFill>
            <w14:solidFill>
              <w14:srgbClr w14:val="003087"/>
            </w14:solidFill>
          </w14:textFill>
        </w:rPr>
        <w:t>How Bottom-Up Discovery Becomes Top-Down Governance</w:t>
      </w:r>
    </w:p>
    <w:p>
      <w:pPr>
        <w:pStyle w:val="Heading"/>
      </w:pPr>
    </w:p>
    <w:p>
      <w:pPr>
        <w:pStyle w:val="Heading"/>
      </w:pPr>
      <w:r>
        <w:rPr>
          <w:outline w:val="0"/>
          <w:color w:val="111111"/>
          <w:sz w:val="22"/>
          <w:szCs w:val="22"/>
          <w:u w:color="111111"/>
          <w:shd w:val="clear" w:color="auto" w:fill="ffff00"/>
          <w:rtl w:val="0"/>
          <w:lang w:val="fr-FR"/>
          <w14:textFill>
            <w14:solidFill>
              <w14:srgbClr w14:val="111111"/>
            </w14:solidFill>
          </w14:textFill>
        </w:rPr>
        <w:t xml:space="preserve">Emergence </w:t>
      </w:r>
      <w:r>
        <w:rPr>
          <w:outline w:val="0"/>
          <w:color w:val="111111"/>
          <w:sz w:val="22"/>
          <w:szCs w:val="22"/>
          <w:u w:color="111111"/>
          <w:shd w:val="clear" w:color="auto" w:fill="ffff00"/>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 xml:space="preserve">a robot discovering a better mixing parameter, an AI agent identifying a novel stability pattern, a scientist observing an unexpected improvement </w:t>
      </w:r>
      <w:r>
        <w:rPr>
          <w:outline w:val="0"/>
          <w:color w:val="111111"/>
          <w:sz w:val="22"/>
          <w:szCs w:val="22"/>
          <w:u w:color="111111"/>
          <w:shd w:val="clear" w:color="auto" w:fill="ffff00"/>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is absorbed into the holarchy through the KGCL protocol</w:t>
      </w:r>
      <w:r>
        <w:rPr>
          <w:outline w:val="0"/>
          <w:color w:val="111111"/>
          <w:sz w:val="22"/>
          <w:szCs w:val="22"/>
          <w:u w:color="111111"/>
          <w:rtl w:val="0"/>
          <w:lang w:val="en-US"/>
          <w14:textFill>
            <w14:solidFill>
              <w14:srgbClr w14:val="111111"/>
            </w14:solidFill>
          </w14:textFill>
        </w:rPr>
        <w:t>, which is the formal mechanism by which physical discovery becomes semantic governance. The holarchy does not prevent emergence. It governs when emergence becomes operational reality.</w:t>
      </w:r>
    </w:p>
    <w:p>
      <w:pPr>
        <w:pStyle w:val="Heading"/>
      </w:pPr>
    </w:p>
    <w:p>
      <w:pPr>
        <w:pStyle w:val="Heading"/>
      </w:pPr>
      <w:r>
        <w:rPr>
          <w:outline w:val="0"/>
          <w:color w:val="000000"/>
          <w:u w:color="000000"/>
          <w14:textFill>
            <w14:solidFill>
              <w14:srgbClr w14:val="000000"/>
            </w14:solidFill>
          </w14:textFill>
        </w:rPr>
        <w:drawing xmlns:a="http://schemas.openxmlformats.org/drawingml/2006/main">
          <wp:inline distT="0" distB="0" distL="0" distR="0">
            <wp:extent cx="6172073" cy="2896127"/>
            <wp:effectExtent l="0" t="0" r="0" b="0"/>
            <wp:docPr id="1073741829" name="officeArt object" descr="10cbd4107ba152a235f4ec280d3ea6f97892988d.png"/>
            <wp:cNvGraphicFramePr/>
            <a:graphic xmlns:a="http://schemas.openxmlformats.org/drawingml/2006/main">
              <a:graphicData uri="http://schemas.openxmlformats.org/drawingml/2006/picture">
                <pic:pic xmlns:pic="http://schemas.openxmlformats.org/drawingml/2006/picture">
                  <pic:nvPicPr>
                    <pic:cNvPr id="1073741829" name="10cbd4107ba152a235f4ec280d3ea6f97892988d.png" descr="10cbd4107ba152a235f4ec280d3ea6f97892988d.png"/>
                    <pic:cNvPicPr>
                      <a:picLocks noChangeAspect="1"/>
                    </pic:cNvPicPr>
                  </pic:nvPicPr>
                  <pic:blipFill>
                    <a:blip r:embed="rId8">
                      <a:extLst/>
                    </a:blip>
                    <a:stretch>
                      <a:fillRect/>
                    </a:stretch>
                  </pic:blipFill>
                  <pic:spPr>
                    <a:xfrm>
                      <a:off x="0" y="0"/>
                      <a:ext cx="6172073" cy="2896127"/>
                    </a:xfrm>
                    <a:prstGeom prst="rect">
                      <a:avLst/>
                    </a:prstGeom>
                    <a:ln w="12700" cap="flat">
                      <a:noFill/>
                      <a:miter lim="400000"/>
                    </a:ln>
                    <a:effectLst/>
                  </pic:spPr>
                </pic:pic>
              </a:graphicData>
            </a:graphic>
          </wp:inline>
        </w:drawing>
      </w:r>
    </w:p>
    <w:p>
      <w:pPr>
        <w:pStyle w:val="Heading"/>
      </w:pPr>
      <w:r>
        <w:rPr>
          <w:i w:val="1"/>
          <w:iCs w:val="1"/>
          <w:outline w:val="0"/>
          <w:color w:val="595959"/>
          <w:sz w:val="18"/>
          <w:szCs w:val="18"/>
          <w:u w:color="595959"/>
          <w:rtl w:val="0"/>
          <w:lang w:val="en-US"/>
          <w14:textFill>
            <w14:solidFill>
              <w14:srgbClr w14:val="595959"/>
            </w14:solidFill>
          </w14:textFill>
        </w:rPr>
        <w:t xml:space="preserve">Figure 5: Governed Emergence </w:t>
      </w:r>
      <w:r>
        <w:rPr>
          <w:i w:val="1"/>
          <w:iCs w:val="1"/>
          <w:outline w:val="0"/>
          <w:color w:val="595959"/>
          <w:sz w:val="18"/>
          <w:szCs w:val="18"/>
          <w:u w:color="595959"/>
          <w:rtl w:val="0"/>
          <w:lang w:val="en-US"/>
          <w14:textFill>
            <w14:solidFill>
              <w14:srgbClr w14:val="595959"/>
            </w14:solidFill>
          </w14:textFill>
        </w:rPr>
        <w:t xml:space="preserve">— </w:t>
      </w:r>
      <w:r>
        <w:rPr>
          <w:i w:val="1"/>
          <w:iCs w:val="1"/>
          <w:outline w:val="0"/>
          <w:color w:val="595959"/>
          <w:sz w:val="18"/>
          <w:szCs w:val="18"/>
          <w:u w:color="595959"/>
          <w:rtl w:val="0"/>
          <w:lang w:val="en-US"/>
          <w14:textFill>
            <w14:solidFill>
              <w14:srgbClr w14:val="595959"/>
            </w14:solidFill>
          </w14:textFill>
        </w:rPr>
        <w:t>From physical discovery to semantic governance via the KGCL protocol</w:t>
      </w:r>
    </w:p>
    <w:p>
      <w:pPr>
        <w:pStyle w:val="Heading"/>
      </w:pPr>
    </w:p>
    <w:p>
      <w:pPr>
        <w:pStyle w:val="Heading 2"/>
      </w:pPr>
      <w:r>
        <w:rPr>
          <w:outline w:val="0"/>
          <w:color w:val="0070c0"/>
          <w:u w:color="0070c0"/>
          <w:rtl w:val="0"/>
          <w:lang w:val="en-US"/>
          <w14:textFill>
            <w14:solidFill>
              <w14:srgbClr w14:val="0070C0"/>
            </w14:solidFill>
          </w14:textFill>
        </w:rPr>
        <w:t xml:space="preserve">The Compounding Robot Example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Step by Step</w:t>
      </w:r>
    </w:p>
    <w:p>
      <w:pPr>
        <w:pStyle w:val="Heading 2"/>
      </w:pPr>
      <w:r>
        <w:rPr>
          <w:outline w:val="0"/>
          <w:color w:val="111111"/>
          <w:sz w:val="22"/>
          <w:szCs w:val="22"/>
          <w:u w:color="111111"/>
          <w:rtl w:val="0"/>
          <w:lang w:val="en-US"/>
          <w14:textFill>
            <w14:solidFill>
              <w14:srgbClr w14:val="111111"/>
            </w14:solidFill>
          </w14:textFill>
        </w:rPr>
        <w:t>A lab robot running a compounding protocol observes that 280 RPM impeller speed produces 3.2% higher yield than the validated 250 RPM baseline. Here is how the holonic architecture handles this: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749"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55cc"/>
                <w:sz w:val="19"/>
                <w:szCs w:val="19"/>
                <w:u w:color="0055cc"/>
                <w:shd w:val="nil" w:color="auto" w:fill="auto"/>
                <w:rtl w:val="0"/>
                <w:lang w:val="en-US"/>
                <w14:textFill>
                  <w14:solidFill>
                    <w14:srgbClr w14:val="0055CC"/>
                  </w14:solidFill>
                </w14:textFill>
              </w:rPr>
              <w:t>1. Physical Discovery</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Robot's embedded ML identifies the correlation. Packages the observation as an RDF event payload: equipmentID, batchID, proposedImpellerSpeed=280, confidence=0.91, yieldDelta=+3.2%.</w:t>
            </w:r>
          </w:p>
        </w:tc>
      </w:tr>
      <w:tr>
        <w:tblPrEx>
          <w:shd w:val="clear" w:color="auto" w:fill="ced7e7"/>
        </w:tblPrEx>
        <w:trPr>
          <w:trHeight w:val="749"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55cc"/>
                <w:sz w:val="19"/>
                <w:szCs w:val="19"/>
                <w:u w:color="0055cc"/>
                <w:shd w:val="nil" w:color="auto" w:fill="auto"/>
                <w:rtl w:val="0"/>
                <w:lang w:val="en-US"/>
                <w14:textFill>
                  <w14:solidFill>
                    <w14:srgbClr w14:val="0055CC"/>
                  </w14:solidFill>
                </w14:textFill>
              </w:rPr>
              <w:t>2. RDSG Submission</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RDF event submitted to the RDSG Stage 0. RCB assembled: WHO=robot agent, WHAT=ImpellerSpeed, WHEN=current batch phase, WHERE=R&amp;D named graph, WHY=yield optimization intent.</w:t>
            </w:r>
          </w:p>
        </w:tc>
      </w:tr>
      <w:tr>
        <w:tblPrEx>
          <w:shd w:val="clear" w:color="auto" w:fill="ced7e7"/>
        </w:tblPrEx>
        <w:trPr>
          <w:trHeight w:val="749"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55cc"/>
                <w:sz w:val="19"/>
                <w:szCs w:val="19"/>
                <w:u w:color="0055cc"/>
                <w:shd w:val="nil" w:color="auto" w:fill="auto"/>
                <w:rtl w:val="0"/>
                <w:lang w:val="en-US"/>
                <w14:textFill>
                  <w14:solidFill>
                    <w14:srgbClr w14:val="0055CC"/>
                  </w14:solidFill>
                </w14:textFill>
              </w:rPr>
              <w:t>3. SHACL Evaluation (Step 1)</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SHACL checks: is 280 RPM within the validated parameter range? If the current SHACL constraint specifies maxInclusive=300 RPM, it passes. If it specifies maxInclusive=260 RPM, it fails.</w:t>
            </w:r>
          </w:p>
        </w:tc>
      </w:tr>
      <w:tr>
        <w:tblPrEx>
          <w:shd w:val="clear" w:color="auto" w:fill="ced7e7"/>
        </w:tblPrEx>
        <w:trPr>
          <w:trHeight w:val="749"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6b3c"/>
                <w:sz w:val="19"/>
                <w:szCs w:val="19"/>
                <w:u w:color="1a6b3c"/>
                <w:shd w:val="nil" w:color="auto" w:fill="auto"/>
                <w:rtl w:val="0"/>
                <w:lang w:val="en-US"/>
                <w14:textFill>
                  <w14:solidFill>
                    <w14:srgbClr w14:val="1A6B3C"/>
                  </w14:solidFill>
                </w14:textFill>
              </w:rPr>
              <w:t xml:space="preserve">4A. PASS path </w:t>
            </w:r>
            <w:r>
              <w:rPr>
                <w:rFonts w:ascii="Arial" w:hAnsi="Arial" w:hint="default"/>
                <w:b w:val="1"/>
                <w:bCs w:val="1"/>
                <w:outline w:val="0"/>
                <w:color w:val="1a6b3c"/>
                <w:sz w:val="19"/>
                <w:szCs w:val="19"/>
                <w:u w:color="1a6b3c"/>
                <w:shd w:val="nil" w:color="auto" w:fill="auto"/>
                <w:rtl w:val="0"/>
                <w:lang w:val="en-US"/>
                <w14:textFill>
                  <w14:solidFill>
                    <w14:srgbClr w14:val="1A6B3C"/>
                  </w14:solidFill>
                </w14:textFill>
              </w:rPr>
              <w:t xml:space="preserve">— </w:t>
            </w:r>
            <w:r>
              <w:rPr>
                <w:rFonts w:ascii="Arial" w:hAnsi="Arial"/>
                <w:b w:val="1"/>
                <w:bCs w:val="1"/>
                <w:outline w:val="0"/>
                <w:color w:val="1a6b3c"/>
                <w:sz w:val="19"/>
                <w:szCs w:val="19"/>
                <w:u w:color="1a6b3c"/>
                <w:shd w:val="nil" w:color="auto" w:fill="auto"/>
                <w:rtl w:val="0"/>
                <w:lang w:val="en-US"/>
                <w14:textFill>
                  <w14:solidFill>
                    <w14:srgbClr w14:val="1A6B3C"/>
                  </w14:solidFill>
                </w14:textFill>
              </w:rPr>
              <w:t>KGCL record</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Transition approved. KGCL change record created: WHAT (280 RPM now permitted), WHY (yield evidence, confidence score), WHO (robot agent ID), WHEN (timestamp). Knowledge Graph updated.</w:t>
            </w:r>
          </w:p>
        </w:tc>
      </w:tr>
      <w:tr>
        <w:tblPrEx>
          <w:shd w:val="clear" w:color="auto" w:fill="ced7e7"/>
        </w:tblPrEx>
        <w:trPr>
          <w:trHeight w:val="749"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8b3a0a"/>
                <w:sz w:val="19"/>
                <w:szCs w:val="19"/>
                <w:u w:color="8b3a0a"/>
                <w:shd w:val="nil" w:color="auto" w:fill="auto"/>
                <w:rtl w:val="0"/>
                <w:lang w:val="en-US"/>
                <w14:textFill>
                  <w14:solidFill>
                    <w14:srgbClr w14:val="8B3A0A"/>
                  </w14:solidFill>
                </w14:textFill>
              </w:rPr>
              <w:t xml:space="preserve">4B. FAIL path </w:t>
            </w:r>
            <w:r>
              <w:rPr>
                <w:rFonts w:ascii="Arial" w:hAnsi="Arial" w:hint="default"/>
                <w:b w:val="1"/>
                <w:bCs w:val="1"/>
                <w:outline w:val="0"/>
                <w:color w:val="8b3a0a"/>
                <w:sz w:val="19"/>
                <w:szCs w:val="19"/>
                <w:u w:color="8b3a0a"/>
                <w:shd w:val="nil" w:color="auto" w:fill="auto"/>
                <w:rtl w:val="0"/>
                <w:lang w:val="en-US"/>
                <w14:textFill>
                  <w14:solidFill>
                    <w14:srgbClr w14:val="8B3A0A"/>
                  </w14:solidFill>
                </w14:textFill>
              </w:rPr>
              <w:t xml:space="preserve">— </w:t>
            </w:r>
            <w:r>
              <w:rPr>
                <w:rFonts w:ascii="Arial" w:hAnsi="Arial"/>
                <w:b w:val="1"/>
                <w:bCs w:val="1"/>
                <w:outline w:val="0"/>
                <w:color w:val="8b3a0a"/>
                <w:sz w:val="19"/>
                <w:szCs w:val="19"/>
                <w:u w:color="8b3a0a"/>
                <w:shd w:val="nil" w:color="auto" w:fill="auto"/>
                <w:rtl w:val="0"/>
                <w14:textFill>
                  <w14:solidFill>
                    <w14:srgbClr w14:val="8B3A0A"/>
                  </w14:solidFill>
                </w14:textFill>
              </w:rPr>
              <w:t>HITL triggered</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Transition blocked. KGCL violation record created. Mendix HITL workflow routes to R&amp;D scientist and QA Manager. Discovery preserved as a proposed-but-unvalidated improvement artifact in the Knowledge Graph.</w:t>
            </w:r>
          </w:p>
        </w:tc>
      </w:tr>
      <w:tr>
        <w:tblPrEx>
          <w:shd w:val="clear" w:color="auto" w:fill="ced7e7"/>
        </w:tblPrEx>
        <w:trPr>
          <w:trHeight w:val="749"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7b5300"/>
                <w:sz w:val="19"/>
                <w:szCs w:val="19"/>
                <w:u w:color="7b5300"/>
                <w:shd w:val="nil" w:color="auto" w:fill="auto"/>
                <w:rtl w:val="0"/>
                <w:lang w:val="en-US"/>
                <w14:textFill>
                  <w14:solidFill>
                    <w14:srgbClr w14:val="7B5300"/>
                  </w14:solidFill>
                </w14:textFill>
              </w:rPr>
              <w:t>5. Governance review (both paths)</w:t>
            </w:r>
          </w:p>
        </w:tc>
        <w:tc>
          <w:tcPr>
            <w:tcW w:type="dxa" w:w="69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 xml:space="preserve">Ontology Governance Committee reviews the KGCL record at next bi-weekly meeting. If evidence supports formal range extension, the SHACL constraint is updated </w:t>
            </w:r>
            <w:r>
              <w:rPr>
                <w:rFonts w:ascii="Arial" w:hAnsi="Arial" w:hint="default"/>
                <w:outline w:val="0"/>
                <w:color w:val="111111"/>
                <w:sz w:val="19"/>
                <w:szCs w:val="19"/>
                <w:u w:color="111111"/>
                <w:shd w:val="nil" w:color="auto" w:fill="auto"/>
                <w:rtl w:val="0"/>
                <w:lang w:val="en-US"/>
                <w14:textFill>
                  <w14:solidFill>
                    <w14:srgbClr w14:val="111111"/>
                  </w14:solidFill>
                </w14:textFill>
              </w:rPr>
              <w:t xml:space="preserve">— </w:t>
            </w:r>
            <w:r>
              <w:rPr>
                <w:rFonts w:ascii="Arial" w:hAnsi="Arial"/>
                <w:outline w:val="0"/>
                <w:color w:val="111111"/>
                <w:sz w:val="19"/>
                <w:szCs w:val="19"/>
                <w:u w:color="111111"/>
                <w:shd w:val="nil" w:color="auto" w:fill="auto"/>
                <w:rtl w:val="0"/>
                <w:lang w:val="en-US"/>
                <w14:textFill>
                  <w14:solidFill>
                    <w14:srgbClr w14:val="111111"/>
                  </w14:solidFill>
                </w14:textFill>
              </w:rPr>
              <w:t>governed, version-controlled, immediately effective everywhere.</w:t>
            </w:r>
          </w:p>
        </w:tc>
      </w:tr>
    </w:tbl>
    <w:p>
      <w:pPr>
        <w:pStyle w:val="Heading 2"/>
        <w:widowControl w:val="0"/>
      </w:pPr>
    </w:p>
    <w:p>
      <w:pPr>
        <w:pStyle w:val="Heading 2"/>
        <w:widowControl w:val="0"/>
      </w:pPr>
    </w:p>
    <w:p>
      <w:pPr>
        <w:pStyle w:val="Heading 2"/>
        <w:widowControl w:val="0"/>
      </w:pPr>
      <w:r>
        <w:rPr>
          <w:outline w:val="0"/>
          <w:color w:val="111111"/>
          <w:sz w:val="22"/>
          <w:szCs w:val="22"/>
          <w:u w:color="111111"/>
          <w:shd w:val="clear" w:color="auto" w:fill="ffff00"/>
          <w:rtl w:val="0"/>
          <w:lang w:val="en-US"/>
          <w14:textFill>
            <w14:solidFill>
              <w14:srgbClr w14:val="111111"/>
            </w14:solidFill>
          </w14:textFill>
        </w:rPr>
        <w:t>The robot's discovery is preserved regardless of the PASS/FAIL outcome.</w:t>
      </w:r>
      <w:r>
        <w:rPr>
          <w:outline w:val="0"/>
          <w:color w:val="111111"/>
          <w:sz w:val="22"/>
          <w:szCs w:val="22"/>
          <w:u w:color="111111"/>
          <w:rtl w:val="0"/>
          <w:lang w:val="en-US"/>
          <w14:textFill>
            <w14:solidFill>
              <w14:srgbClr w14:val="111111"/>
            </w14:solidFill>
          </w14:textFill>
        </w:rPr>
        <w:t xml:space="preserve"> A failed governance check does not discard the knowledge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 xml:space="preserve">it quarantines it as a proposed improvement pending formal authorization. </w:t>
      </w:r>
      <w:r>
        <w:rPr>
          <w:outline w:val="0"/>
          <w:color w:val="111111"/>
          <w:sz w:val="22"/>
          <w:szCs w:val="22"/>
          <w:u w:color="111111"/>
          <w:shd w:val="clear" w:color="auto" w:fill="ffff00"/>
          <w:rtl w:val="0"/>
          <w:lang w:val="en-US"/>
          <w14:textFill>
            <w14:solidFill>
              <w14:srgbClr w14:val="111111"/>
            </w14:solidFill>
          </w14:textFill>
        </w:rPr>
        <w:t>The physical system continues running. Only the proposed state change to the Knowledge Graph is blocked.</w:t>
      </w:r>
      <w:r>
        <w:rPr>
          <w:outline w:val="0"/>
          <w:color w:val="111111"/>
          <w:sz w:val="22"/>
          <w:szCs w:val="22"/>
          <w:u w:color="111111"/>
          <w:rtl w:val="0"/>
          <w:lang w:val="en-US"/>
          <w14:textFill>
            <w14:solidFill>
              <w14:srgbClr w14:val="111111"/>
            </w14:solidFill>
          </w14:textFill>
        </w:rPr>
        <w:t xml:space="preserve"> This is the formal definition of governed autonomy: machines can discover; only the holarchy can authorize discovery becoming operational standard.</w:t>
      </w: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03087"/>
          <w:u w:color="003087"/>
          <w:rtl w:val="0"/>
          <w:lang w:val="en-US"/>
          <w14:textFill>
            <w14:solidFill>
              <w14:srgbClr w14:val="003087"/>
            </w14:solidFill>
          </w14:textFill>
        </w:rPr>
        <w:t xml:space="preserve">7.  Digital-Physical Process Sharing </w:t>
      </w:r>
      <w:r>
        <w:rPr>
          <w:outline w:val="0"/>
          <w:color w:val="003087"/>
          <w:u w:color="003087"/>
          <w:rtl w:val="0"/>
          <w:lang w:val="en-US"/>
          <w14:textFill>
            <w14:solidFill>
              <w14:srgbClr w14:val="003087"/>
            </w14:solidFill>
          </w14:textFill>
        </w:rPr>
        <w:t xml:space="preserve">— </w:t>
      </w:r>
      <w:r>
        <w:rPr>
          <w:outline w:val="0"/>
          <w:color w:val="003087"/>
          <w:u w:color="003087"/>
          <w:rtl w:val="0"/>
          <w:lang w:val="en-US"/>
          <w14:textFill>
            <w14:solidFill>
              <w14:srgbClr w14:val="003087"/>
            </w14:solidFill>
          </w14:textFill>
        </w:rPr>
        <w:t>The AAS as Semantic Bridge</w:t>
      </w:r>
    </w:p>
    <w:p>
      <w:pPr>
        <w:pStyle w:val="Heading"/>
      </w:pPr>
    </w:p>
    <w:p>
      <w:pPr>
        <w:pStyle w:val="Heading"/>
      </w:pPr>
      <w:r>
        <w:rPr>
          <w:outline w:val="0"/>
          <w:color w:val="111111"/>
          <w:sz w:val="22"/>
          <w:szCs w:val="22"/>
          <w:u w:color="111111"/>
          <w:shd w:val="clear" w:color="auto" w:fill="ffff00"/>
          <w:rtl w:val="0"/>
          <w:lang w:val="en-US"/>
          <w14:textFill>
            <w14:solidFill>
              <w14:srgbClr w14:val="111111"/>
            </w14:solidFill>
          </w14:textFill>
        </w:rPr>
        <w:t xml:space="preserve">The AAS (Asset Administration Shell) is the sharing mechanism </w:t>
      </w:r>
      <w:r>
        <w:rPr>
          <w:outline w:val="0"/>
          <w:color w:val="111111"/>
          <w:sz w:val="22"/>
          <w:szCs w:val="22"/>
          <w:u w:color="111111"/>
          <w:shd w:val="clear" w:color="auto" w:fill="ffff00"/>
          <w:rtl w:val="0"/>
          <w:lang w:val="en-US"/>
          <w14:textFill>
            <w14:solidFill>
              <w14:srgbClr w14:val="111111"/>
            </w14:solidFill>
          </w14:textFill>
        </w:rPr>
        <w:t xml:space="preserve">— </w:t>
      </w:r>
      <w:r>
        <w:rPr>
          <w:outline w:val="0"/>
          <w:color w:val="111111"/>
          <w:sz w:val="22"/>
          <w:szCs w:val="22"/>
          <w:u w:color="111111"/>
          <w:shd w:val="clear" w:color="auto" w:fill="ffff00"/>
          <w:rtl w:val="0"/>
          <w:lang w:val="en-US"/>
          <w14:textFill>
            <w14:solidFill>
              <w14:srgbClr w14:val="111111"/>
            </w14:solidFill>
          </w14:textFill>
        </w:rPr>
        <w:t>and its design elegantly prevents the divergence problem that plagues conventional digital-physical integration.</w:t>
      </w:r>
      <w:r>
        <w:rPr>
          <w:outline w:val="0"/>
          <w:color w:val="111111"/>
          <w:sz w:val="22"/>
          <w:szCs w:val="22"/>
          <w:u w:color="111111"/>
          <w:rtl w:val="0"/>
          <w:lang w:val="en-US"/>
          <w14:textFill>
            <w14:solidFill>
              <w14:srgbClr w14:val="111111"/>
            </w14:solidFill>
          </w14:textFill>
        </w:rPr>
        <w:t xml:space="preserve"> The physical system and the digital governance layer interact through a semantic bridge that gives each layer the representation it needs without requiring either to adopt the other's model.</w:t>
      </w:r>
    </w:p>
    <w:p>
      <w:pPr>
        <w:pStyle w:val="Heading"/>
      </w:pPr>
    </w:p>
    <w:p>
      <w:pPr>
        <w:pStyle w:val="Heading"/>
      </w:pPr>
      <w:r>
        <w:rPr>
          <w:outline w:val="0"/>
          <w:color w:val="000000"/>
          <w:u w:color="000000"/>
          <w14:textFill>
            <w14:solidFill>
              <w14:srgbClr w14:val="000000"/>
            </w14:solidFill>
          </w14:textFill>
        </w:rPr>
        <w:drawing xmlns:a="http://schemas.openxmlformats.org/drawingml/2006/main">
          <wp:inline distT="0" distB="0" distL="0" distR="0">
            <wp:extent cx="6172073" cy="2896127"/>
            <wp:effectExtent l="0" t="0" r="0" b="0"/>
            <wp:docPr id="1073741830" name="officeArt object" descr="4354dd0b9fd971dec4fdd8214e44f2b85d567cda.png"/>
            <wp:cNvGraphicFramePr/>
            <a:graphic xmlns:a="http://schemas.openxmlformats.org/drawingml/2006/main">
              <a:graphicData uri="http://schemas.openxmlformats.org/drawingml/2006/picture">
                <pic:pic xmlns:pic="http://schemas.openxmlformats.org/drawingml/2006/picture">
                  <pic:nvPicPr>
                    <pic:cNvPr id="1073741830" name="4354dd0b9fd971dec4fdd8214e44f2b85d567cda.png" descr="4354dd0b9fd971dec4fdd8214e44f2b85d567cda.png"/>
                    <pic:cNvPicPr>
                      <a:picLocks noChangeAspect="1"/>
                    </pic:cNvPicPr>
                  </pic:nvPicPr>
                  <pic:blipFill>
                    <a:blip r:embed="rId9">
                      <a:extLst/>
                    </a:blip>
                    <a:stretch>
                      <a:fillRect/>
                    </a:stretch>
                  </pic:blipFill>
                  <pic:spPr>
                    <a:xfrm>
                      <a:off x="0" y="0"/>
                      <a:ext cx="6172073" cy="2896127"/>
                    </a:xfrm>
                    <a:prstGeom prst="rect">
                      <a:avLst/>
                    </a:prstGeom>
                    <a:ln w="12700" cap="flat">
                      <a:noFill/>
                      <a:miter lim="400000"/>
                    </a:ln>
                    <a:effectLst/>
                  </pic:spPr>
                </pic:pic>
              </a:graphicData>
            </a:graphic>
          </wp:inline>
        </w:drawing>
      </w:r>
    </w:p>
    <w:p>
      <w:pPr>
        <w:pStyle w:val="Heading"/>
      </w:pPr>
      <w:r>
        <w:rPr>
          <w:i w:val="1"/>
          <w:iCs w:val="1"/>
          <w:outline w:val="0"/>
          <w:color w:val="595959"/>
          <w:sz w:val="18"/>
          <w:szCs w:val="18"/>
          <w:u w:color="595959"/>
          <w:rtl w:val="0"/>
          <w:lang w:val="en-US"/>
          <w14:textFill>
            <w14:solidFill>
              <w14:srgbClr w14:val="595959"/>
            </w14:solidFill>
          </w14:textFill>
        </w:rPr>
        <w:t xml:space="preserve">Figure 6: Digital-Physical Process Sharing </w:t>
      </w:r>
      <w:r>
        <w:rPr>
          <w:i w:val="1"/>
          <w:iCs w:val="1"/>
          <w:outline w:val="0"/>
          <w:color w:val="595959"/>
          <w:sz w:val="18"/>
          <w:szCs w:val="18"/>
          <w:u w:color="595959"/>
          <w:rtl w:val="0"/>
          <w:lang w:val="en-US"/>
          <w14:textFill>
            <w14:solidFill>
              <w14:srgbClr w14:val="595959"/>
            </w14:solidFill>
          </w14:textFill>
        </w:rPr>
        <w:t xml:space="preserve">— </w:t>
      </w:r>
      <w:r>
        <w:rPr>
          <w:i w:val="1"/>
          <w:iCs w:val="1"/>
          <w:outline w:val="0"/>
          <w:color w:val="595959"/>
          <w:sz w:val="18"/>
          <w:szCs w:val="18"/>
          <w:u w:color="595959"/>
          <w:rtl w:val="0"/>
          <w:lang w:val="en-US"/>
          <w14:textFill>
            <w14:solidFill>
              <w14:srgbClr w14:val="595959"/>
            </w14:solidFill>
          </w14:textFill>
        </w:rPr>
        <w:t>Four orthogonal representations, one governed entity</w:t>
      </w:r>
    </w:p>
    <w:p>
      <w:pPr>
        <w:pStyle w:val="Heading"/>
      </w:pPr>
    </w:p>
    <w:p>
      <w:pPr>
        <w:pStyle w:val="Heading 2"/>
      </w:pPr>
      <w:r>
        <w:rPr>
          <w:outline w:val="0"/>
          <w:color w:val="0070c0"/>
          <w:u w:color="0070c0"/>
          <w:rtl w:val="0"/>
          <w:lang w:val="en-US"/>
          <w14:textFill>
            <w14:solidFill>
              <w14:srgbClr w14:val="0070C0"/>
            </w14:solidFill>
          </w14:textFill>
        </w:rPr>
        <w:t xml:space="preserve">Four Orthogonal Representations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Why They Do Not Diverge</w:t>
      </w:r>
    </w:p>
    <w:p>
      <w:pPr>
        <w:pStyle w:val="Heading 2"/>
      </w:pPr>
      <w:r>
        <w:rPr>
          <w:outline w:val="0"/>
          <w:color w:val="111111"/>
          <w:sz w:val="22"/>
          <w:szCs w:val="22"/>
          <w:u w:color="111111"/>
          <w:rtl w:val="0"/>
          <w:lang w:val="en-US"/>
          <w14:textFill>
            <w14:solidFill>
              <w14:srgbClr w14:val="111111"/>
            </w14:solidFill>
          </w14:textFill>
        </w:rPr>
        <w:t xml:space="preserve">The insight that makes the AAS approach correct is that the four representations are genuinely orthogonal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they describe different things, not the same thing in different formats:</w:t>
      </w:r>
    </w:p>
    <w:p>
      <w:pPr>
        <w:pStyle w:val="List Paragraph"/>
        <w:numPr>
          <w:ilvl w:val="0"/>
          <w:numId w:val="2"/>
        </w:numPr>
        <w:spacing w:before="60" w:after="60"/>
        <w:rPr>
          <w:sz w:val="22"/>
          <w:szCs w:val="22"/>
          <w:lang w:val="en-US"/>
        </w:rPr>
      </w:pPr>
      <w:r>
        <w:rPr>
          <w:rFonts w:ascii="Arial" w:hAnsi="Arial"/>
          <w:b w:val="1"/>
          <w:bCs w:val="1"/>
          <w:outline w:val="0"/>
          <w:color w:val="1a6b3c"/>
          <w:sz w:val="22"/>
          <w:szCs w:val="22"/>
          <w:u w:color="1a6b3c"/>
          <w:rtl w:val="0"/>
          <w:lang w:val="en-US"/>
          <w14:textFill>
            <w14:solidFill>
              <w14:srgbClr w14:val="1A6B3C"/>
            </w14:solidFill>
          </w14:textFill>
        </w:rPr>
        <w:t xml:space="preserve">The PLC / Control System  </w:t>
      </w:r>
      <w:r>
        <w:rPr>
          <w:rFonts w:ascii="Arial" w:hAnsi="Arial"/>
          <w:b w:val="1"/>
          <w:bCs w:val="1"/>
          <w:outline w:val="0"/>
          <w:color w:val="1a3a1a"/>
          <w:sz w:val="22"/>
          <w:szCs w:val="22"/>
          <w:u w:color="1a3a1a"/>
          <w:shd w:val="clear" w:color="auto" w:fill="00ff00"/>
          <w:rtl w:val="0"/>
          <w:lang w:val="en-US"/>
          <w14:textFill>
            <w14:solidFill>
              <w14:srgbClr w14:val="1A3A1A"/>
            </w14:solidFill>
          </w14:textFill>
        </w:rPr>
        <w:t xml:space="preserve">holds the control state </w:t>
      </w:r>
      <w:r>
        <w:rPr>
          <w:rFonts w:ascii="Arial" w:hAnsi="Arial" w:hint="default"/>
          <w:b w:val="1"/>
          <w:bCs w:val="1"/>
          <w:outline w:val="0"/>
          <w:color w:val="1a3a1a"/>
          <w:sz w:val="22"/>
          <w:szCs w:val="22"/>
          <w:u w:color="1a3a1a"/>
          <w:shd w:val="clear" w:color="auto" w:fill="00ff00"/>
          <w:rtl w:val="0"/>
          <w:lang w:val="en-US"/>
          <w14:textFill>
            <w14:solidFill>
              <w14:srgbClr w14:val="1A3A1A"/>
            </w14:solidFill>
          </w14:textFill>
        </w:rPr>
        <w:t xml:space="preserve">— </w:t>
      </w:r>
      <w:r>
        <w:rPr>
          <w:rFonts w:ascii="Arial" w:hAnsi="Arial"/>
          <w:b w:val="1"/>
          <w:bCs w:val="1"/>
          <w:outline w:val="0"/>
          <w:color w:val="1a3a1a"/>
          <w:sz w:val="22"/>
          <w:szCs w:val="22"/>
          <w:u w:color="1a3a1a"/>
          <w:shd w:val="clear" w:color="auto" w:fill="00ff00"/>
          <w:rtl w:val="0"/>
          <w:lang w:val="en-US"/>
          <w14:textFill>
            <w14:solidFill>
              <w14:srgbClr w14:val="1A3A1A"/>
            </w14:solidFill>
          </w14:textFill>
        </w:rPr>
        <w:t>the authority over physical actuation, GxP-validated logic, and the equipment qualification status. It stays here. Nothing in FABRIC modifies it.</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The AAS Shell  </w:t>
      </w:r>
      <w:r>
        <w:rPr>
          <w:rFonts w:ascii="Arial" w:hAnsi="Arial"/>
          <w:outline w:val="0"/>
          <w:color w:val="111111"/>
          <w:sz w:val="22"/>
          <w:szCs w:val="22"/>
          <w:u w:color="111111"/>
          <w:rtl w:val="0"/>
          <w:lang w:val="en-US"/>
          <w14:textFill>
            <w14:solidFill>
              <w14:srgbClr w14:val="111111"/>
            </w14:solidFill>
          </w14:textFill>
        </w:rPr>
        <w:t xml:space="preserve">holds the </w:t>
      </w: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current semantic state </w:t>
      </w:r>
      <w:r>
        <w:rPr>
          <w:rFonts w:ascii="Arial" w:hAnsi="Arial" w:hint="default"/>
          <w:b w:val="1"/>
          <w:bCs w:val="1"/>
          <w:outline w:val="0"/>
          <w:color w:val="111111"/>
          <w:sz w:val="22"/>
          <w:szCs w:val="22"/>
          <w:u w:color="111111"/>
          <w:shd w:val="clear" w:color="auto" w:fill="ffff00"/>
          <w:rtl w:val="0"/>
          <w:lang w:val="en-US"/>
          <w14:textFill>
            <w14:solidFill>
              <w14:srgbClr w14:val="111111"/>
            </w14:solidFill>
          </w14:textFill>
        </w:rPr>
        <w:t xml:space="preserve">— </w:t>
      </w: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real-time telemetry typed against the OWL 2 ontology. Temperature is not just a number; it is </w:t>
      </w:r>
      <w:r>
        <w:rPr>
          <w:rFonts w:ascii="Courier New" w:hAnsi="Courier New"/>
          <w:outline w:val="0"/>
          <w:color w:val="4a2a8a"/>
          <w:u w:color="4a2a8a"/>
          <w:rtl w:val="0"/>
          <w:lang w:val="fr-FR"/>
          <w14:textFill>
            <w14:solidFill>
              <w14:srgbClr w14:val="4A2A8A"/>
            </w14:solidFill>
          </w14:textFill>
        </w:rPr>
        <w:t>hasAmbientTemperature : xsd:double [UOM: Celsius, xsd:minInclusive: 36.0, xsd:maxInclusive: 37.0]</w:t>
      </w:r>
      <w:r>
        <w:rPr>
          <w:rFonts w:ascii="Arial" w:hAnsi="Arial"/>
          <w:outline w:val="0"/>
          <w:color w:val="111111"/>
          <w:sz w:val="22"/>
          <w:szCs w:val="22"/>
          <w:u w:color="111111"/>
          <w:rtl w:val="0"/>
          <w:lang w:val="en-US"/>
          <w14:textFill>
            <w14:solidFill>
              <w14:srgbClr w14:val="111111"/>
            </w14:solidFill>
          </w14:textFill>
        </w:rPr>
        <w:t>. The unit, the range, and the type travel with the value.</w:t>
      </w:r>
    </w:p>
    <w:p>
      <w:pPr>
        <w:pStyle w:val="List Paragraph"/>
        <w:numPr>
          <w:ilvl w:val="0"/>
          <w:numId w:val="2"/>
        </w:numPr>
        <w:spacing w:before="60" w:after="60"/>
        <w:rPr>
          <w:sz w:val="22"/>
          <w:szCs w:val="22"/>
          <w:lang w:val="en-US"/>
        </w:rPr>
      </w:pPr>
      <w:r>
        <w:rPr>
          <w:rFonts w:ascii="Arial" w:hAnsi="Arial"/>
          <w:b w:val="1"/>
          <w:bCs w:val="1"/>
          <w:outline w:val="0"/>
          <w:color w:val="4a2a8a"/>
          <w:sz w:val="22"/>
          <w:szCs w:val="22"/>
          <w:u w:color="4a2a8a"/>
          <w:rtl w:val="0"/>
          <w:lang w:val="en-US"/>
          <w14:textFill>
            <w14:solidFill>
              <w14:srgbClr w14:val="4A2A8A"/>
            </w14:solidFill>
          </w14:textFill>
        </w:rPr>
        <w:t xml:space="preserve">The Knowledge Graph  </w:t>
      </w:r>
      <w:r>
        <w:rPr>
          <w:rFonts w:ascii="Arial" w:hAnsi="Arial"/>
          <w:outline w:val="0"/>
          <w:color w:val="111111"/>
          <w:sz w:val="22"/>
          <w:szCs w:val="22"/>
          <w:u w:color="111111"/>
          <w:rtl w:val="0"/>
          <w:lang w:val="en-US"/>
          <w14:textFill>
            <w14:solidFill>
              <w14:srgbClr w14:val="111111"/>
            </w14:solidFill>
          </w14:textFill>
        </w:rPr>
        <w:t xml:space="preserve">holds the </w:t>
      </w: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relational and historical context </w:t>
      </w:r>
      <w:r>
        <w:rPr>
          <w:rFonts w:ascii="Arial" w:hAnsi="Arial" w:hint="default"/>
          <w:b w:val="1"/>
          <w:bCs w:val="1"/>
          <w:outline w:val="0"/>
          <w:color w:val="111111"/>
          <w:sz w:val="22"/>
          <w:szCs w:val="22"/>
          <w:u w:color="111111"/>
          <w:shd w:val="clear" w:color="auto" w:fill="ffff00"/>
          <w:rtl w:val="0"/>
          <w:lang w:val="en-US"/>
          <w14:textFill>
            <w14:solidFill>
              <w14:srgbClr w14:val="111111"/>
            </w14:solidFill>
          </w14:textFill>
        </w:rPr>
        <w:t xml:space="preserve">— </w:t>
      </w: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every batch that ran on this equipment, every material lot that entered it, every deviation that occurred, every regulatory filing that references it</w:t>
      </w:r>
    </w:p>
    <w:p>
      <w:pPr>
        <w:pStyle w:val="List Paragraph"/>
        <w:numPr>
          <w:ilvl w:val="0"/>
          <w:numId w:val="2"/>
        </w:numPr>
        <w:spacing w:before="60" w:after="60"/>
        <w:rPr>
          <w:sz w:val="22"/>
          <w:szCs w:val="22"/>
          <w:lang w:val="en-US"/>
        </w:rPr>
      </w:pPr>
      <w:r>
        <w:rPr>
          <w:rFonts w:ascii="Arial" w:hAnsi="Arial"/>
          <w:b w:val="1"/>
          <w:bCs w:val="1"/>
          <w:outline w:val="0"/>
          <w:color w:val="7b5300"/>
          <w:sz w:val="22"/>
          <w:szCs w:val="22"/>
          <w:u w:color="7b5300"/>
          <w:rtl w:val="0"/>
          <w:lang w:val="en-US"/>
          <w14:textFill>
            <w14:solidFill>
              <w14:srgbClr w14:val="7B5300"/>
            </w14:solidFill>
          </w14:textFill>
        </w:rPr>
        <w:t xml:space="preserve">The SHACL + LKIF Governance Layer  </w:t>
      </w:r>
      <w:r>
        <w:rPr>
          <w:rFonts w:ascii="Arial" w:hAnsi="Arial"/>
          <w:outline w:val="0"/>
          <w:color w:val="111111"/>
          <w:sz w:val="22"/>
          <w:szCs w:val="22"/>
          <w:u w:color="111111"/>
          <w:rtl w:val="0"/>
          <w:lang w:val="en-US"/>
          <w14:textFill>
            <w14:solidFill>
              <w14:srgbClr w14:val="111111"/>
            </w14:solidFill>
          </w14:textFill>
        </w:rPr>
        <w:t xml:space="preserve">holds the </w:t>
      </w: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normative specification </w:t>
      </w:r>
      <w:r>
        <w:rPr>
          <w:rFonts w:ascii="Arial" w:hAnsi="Arial" w:hint="default"/>
          <w:b w:val="1"/>
          <w:bCs w:val="1"/>
          <w:outline w:val="0"/>
          <w:color w:val="111111"/>
          <w:sz w:val="22"/>
          <w:szCs w:val="22"/>
          <w:u w:color="111111"/>
          <w:shd w:val="clear" w:color="auto" w:fill="ffff00"/>
          <w:rtl w:val="0"/>
          <w:lang w:val="en-US"/>
          <w14:textFill>
            <w14:solidFill>
              <w14:srgbClr w14:val="111111"/>
            </w14:solidFill>
          </w14:textFill>
        </w:rPr>
        <w:t xml:space="preserve">— </w:t>
      </w: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what must be true of every process instance. Not what is true now, but what must be true. The constraint </w:t>
      </w:r>
      <w:r>
        <w:rPr>
          <w:rFonts w:ascii="Courier New" w:hAnsi="Courier New"/>
          <w:outline w:val="0"/>
          <w:color w:val="4a2a8a"/>
          <w:u w:color="4a2a8a"/>
          <w:rtl w:val="0"/>
          <w:lang w:val="en-US"/>
          <w14:textFill>
            <w14:solidFill>
              <w14:srgbClr w14:val="4A2A8A"/>
            </w14:solidFill>
          </w14:textFill>
        </w:rPr>
        <w:t>hasTemperature maxInclusive 37.0</w:t>
      </w:r>
      <w:r>
        <w:rPr>
          <w:rFonts w:ascii="Arial" w:hAnsi="Arial"/>
          <w:outline w:val="0"/>
          <w:color w:val="111111"/>
          <w:sz w:val="22"/>
          <w:szCs w:val="22"/>
          <w:u w:color="111111"/>
          <w:rtl w:val="0"/>
          <w:lang w:val="en-US"/>
          <w14:textFill>
            <w14:solidFill>
              <w14:srgbClr w14:val="111111"/>
            </w14:solidFill>
          </w14:textFill>
        </w:rPr>
        <w:t xml:space="preserve"> is enforced against every AAS temperature value the Knowledge Graph receives.</w:t>
      </w:r>
    </w:p>
    <w:p>
      <w:pPr>
        <w:pStyle w:val="List Paragraph"/>
        <w:spacing w:before="60" w:after="60"/>
      </w:pPr>
    </w:p>
    <w:p>
      <w:pPr>
        <w:pStyle w:val="Heading 2"/>
      </w:pPr>
      <w:r>
        <w:rPr>
          <w:outline w:val="0"/>
          <w:color w:val="0070c0"/>
          <w:u w:color="0070c0"/>
          <w:rtl w:val="0"/>
          <w:lang w:val="en-US"/>
          <w14:textFill>
            <w14:solidFill>
              <w14:srgbClr w14:val="0070C0"/>
            </w14:solidFill>
          </w14:textFill>
        </w:rPr>
        <w:t xml:space="preserve">The Anomaly Detection Flow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Temperature Excursion Example</w:t>
      </w:r>
    </w:p>
    <w:p>
      <w:pPr>
        <w:pStyle w:val="Heading 2"/>
      </w:pPr>
      <w:r>
        <w:rPr>
          <w:outline w:val="0"/>
          <w:color w:val="111111"/>
          <w:sz w:val="22"/>
          <w:szCs w:val="22"/>
          <w:u w:color="111111"/>
          <w:rtl w:val="0"/>
          <w:lang w:val="en-US"/>
          <w14:textFill>
            <w14:solidFill>
              <w14:srgbClr w14:val="111111"/>
            </w14:solidFill>
          </w14:textFill>
        </w:rPr>
        <w:t>When the bioreactor temperature rises to 38.8</w:t>
      </w:r>
      <w:r>
        <w:rPr>
          <w:outline w:val="0"/>
          <w:color w:val="111111"/>
          <w:sz w:val="22"/>
          <w:szCs w:val="22"/>
          <w:u w:color="111111"/>
          <w:rtl w:val="0"/>
          <w:lang w:val="it-IT"/>
          <w14:textFill>
            <w14:solidFill>
              <w14:srgbClr w14:val="111111"/>
            </w14:solidFill>
          </w14:textFill>
        </w:rPr>
        <w:t>°</w:t>
      </w:r>
      <w:r>
        <w:rPr>
          <w:outline w:val="0"/>
          <w:color w:val="111111"/>
          <w:sz w:val="22"/>
          <w:szCs w:val="22"/>
          <w:u w:color="111111"/>
          <w:rtl w:val="0"/>
          <w14:textFill>
            <w14:solidFill>
              <w14:srgbClr w14:val="111111"/>
            </w14:solidFill>
          </w14:textFill>
        </w:rPr>
        <w:t xml:space="preserve">C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14:textFill>
            <w14:solidFill>
              <w14:srgbClr w14:val="111111"/>
            </w14:solidFill>
          </w14:textFill>
        </w:rPr>
        <w:t>1.8</w:t>
      </w:r>
      <w:r>
        <w:rPr>
          <w:outline w:val="0"/>
          <w:color w:val="111111"/>
          <w:sz w:val="22"/>
          <w:szCs w:val="22"/>
          <w:u w:color="111111"/>
          <w:rtl w:val="0"/>
          <w:lang w:val="it-IT"/>
          <w14:textFill>
            <w14:solidFill>
              <w14:srgbClr w14:val="111111"/>
            </w14:solidFill>
          </w14:textFill>
        </w:rPr>
        <w:t>°</w:t>
      </w:r>
      <w:r>
        <w:rPr>
          <w:outline w:val="0"/>
          <w:color w:val="111111"/>
          <w:sz w:val="22"/>
          <w:szCs w:val="22"/>
          <w:u w:color="111111"/>
          <w:rtl w:val="0"/>
          <w:lang w:val="en-US"/>
          <w14:textFill>
            <w14:solidFill>
              <w14:srgbClr w14:val="111111"/>
            </w14:solidFill>
          </w14:textFill>
        </w:rPr>
        <w:t xml:space="preserve">C above the SHACL maximum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the holarchy responds: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ced7e7"/>
        </w:tblPrEx>
        <w:trPr>
          <w:trHeight w:val="487" w:hRule="atLeast"/>
        </w:trPr>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3087"/>
                <w:sz w:val="19"/>
                <w:szCs w:val="19"/>
                <w:u w:color="003087"/>
                <w:shd w:val="nil" w:color="auto" w:fill="auto"/>
                <w:rtl w:val="0"/>
                <w:lang w:val="en-US"/>
                <w14:textFill>
                  <w14:solidFill>
                    <w14:srgbClr w14:val="003087"/>
                  </w14:solidFill>
                </w14:textFill>
              </w:rPr>
              <w:t>Signal broadcast</w:t>
            </w:r>
          </w:p>
        </w:tc>
        <w:tc>
          <w:tcPr>
            <w:tcW w:type="dxa" w:w="6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Bioreactor PLC broadcasts OPC-UA signal: Temperature_Tag_07 = 38.8</w:t>
            </w:r>
            <w:r>
              <w:rPr>
                <w:rFonts w:ascii="Arial" w:hAnsi="Arial" w:hint="default"/>
                <w:outline w:val="0"/>
                <w:color w:val="111111"/>
                <w:sz w:val="19"/>
                <w:szCs w:val="19"/>
                <w:u w:color="111111"/>
                <w:shd w:val="nil" w:color="auto" w:fill="auto"/>
                <w:rtl w:val="0"/>
                <w:lang w:val="it-IT"/>
                <w14:textFill>
                  <w14:solidFill>
                    <w14:srgbClr w14:val="111111"/>
                  </w14:solidFill>
                </w14:textFill>
              </w:rPr>
              <w:t>°</w:t>
            </w:r>
            <w:r>
              <w:rPr>
                <w:rFonts w:ascii="Arial" w:hAnsi="Arial"/>
                <w:outline w:val="0"/>
                <w:color w:val="111111"/>
                <w:sz w:val="19"/>
                <w:szCs w:val="19"/>
                <w:u w:color="111111"/>
                <w:shd w:val="nil" w:color="auto" w:fill="auto"/>
                <w:rtl w:val="0"/>
                <w:lang w:val="en-US"/>
                <w14:textFill>
                  <w14:solidFill>
                    <w14:srgbClr w14:val="111111"/>
                  </w14:solidFill>
                </w14:textFill>
              </w:rPr>
              <w:t>C at timestamp T.</w:t>
            </w:r>
          </w:p>
        </w:tc>
      </w:tr>
      <w:tr>
        <w:tblPrEx>
          <w:shd w:val="clear" w:color="auto" w:fill="ced7e7"/>
        </w:tblPrEx>
        <w:trPr>
          <w:trHeight w:val="749" w:hRule="atLeast"/>
        </w:trPr>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3087"/>
                <w:sz w:val="19"/>
                <w:szCs w:val="19"/>
                <w:u w:color="003087"/>
                <w:shd w:val="nil" w:color="auto" w:fill="auto"/>
                <w:rtl w:val="0"/>
                <w:lang w:val="it-IT"/>
                <w14:textFill>
                  <w14:solidFill>
                    <w14:srgbClr w14:val="003087"/>
                  </w14:solidFill>
                </w14:textFill>
              </w:rPr>
              <w:t>AAS mapping</w:t>
            </w:r>
          </w:p>
        </w:tc>
        <w:tc>
          <w:tcPr>
            <w:tcW w:type="dxa" w:w="6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Siemens IOX reads the signal. Maps to AAS ProcessPhaseLog: hasAmbientTemperature = 38.8 [</w:t>
            </w:r>
            <w:r>
              <w:rPr>
                <w:rFonts w:ascii="Arial" w:hAnsi="Arial" w:hint="default"/>
                <w:outline w:val="0"/>
                <w:color w:val="111111"/>
                <w:sz w:val="19"/>
                <w:szCs w:val="19"/>
                <w:u w:color="111111"/>
                <w:shd w:val="nil" w:color="auto" w:fill="auto"/>
                <w:rtl w:val="0"/>
                <w:lang w:val="it-IT"/>
                <w14:textFill>
                  <w14:solidFill>
                    <w14:srgbClr w14:val="111111"/>
                  </w14:solidFill>
                </w14:textFill>
              </w:rPr>
              <w:t>°</w:t>
            </w:r>
            <w:r>
              <w:rPr>
                <w:rFonts w:ascii="Arial" w:hAnsi="Arial"/>
                <w:outline w:val="0"/>
                <w:color w:val="111111"/>
                <w:sz w:val="19"/>
                <w:szCs w:val="19"/>
                <w:u w:color="111111"/>
                <w:shd w:val="nil" w:color="auto" w:fill="auto"/>
                <w:rtl w:val="0"/>
                <w:lang w:val="en-US"/>
                <w14:textFill>
                  <w14:solidFill>
                    <w14:srgbClr w14:val="111111"/>
                  </w14:solidFill>
                </w14:textFill>
              </w:rPr>
              <w:t>C] with timestamp T. AAS submodel updated.</w:t>
            </w:r>
          </w:p>
        </w:tc>
      </w:tr>
      <w:tr>
        <w:tblPrEx>
          <w:shd w:val="clear" w:color="auto" w:fill="ced7e7"/>
        </w:tblPrEx>
        <w:trPr>
          <w:trHeight w:val="749" w:hRule="atLeast"/>
        </w:trPr>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3087"/>
                <w:sz w:val="19"/>
                <w:szCs w:val="19"/>
                <w:u w:color="003087"/>
                <w:shd w:val="nil" w:color="auto" w:fill="auto"/>
                <w:rtl w:val="0"/>
                <w:lang w:val="fr-FR"/>
                <w14:textFill>
                  <w14:solidFill>
                    <w14:srgbClr w14:val="003087"/>
                  </w14:solidFill>
                </w14:textFill>
              </w:rPr>
              <w:t>RDF triple generation</w:t>
            </w:r>
          </w:p>
        </w:tc>
        <w:tc>
          <w:tcPr>
            <w:tcW w:type="dxa" w:w="6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AAS shell generates RDF triple: &lt;BatchInstance-089&gt; &lt;hasAmbientTemperature&gt; "38.8"^^xsd:double. Triple submitted to Knowledge Graph ingest pipeline.</w:t>
            </w:r>
          </w:p>
        </w:tc>
      </w:tr>
      <w:tr>
        <w:tblPrEx>
          <w:shd w:val="clear" w:color="auto" w:fill="ced7e7"/>
        </w:tblPrEx>
        <w:trPr>
          <w:trHeight w:val="487" w:hRule="atLeast"/>
        </w:trPr>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8b0000"/>
                <w:sz w:val="19"/>
                <w:szCs w:val="19"/>
                <w:u w:color="8b0000"/>
                <w:shd w:val="nil" w:color="auto" w:fill="auto"/>
                <w:rtl w:val="0"/>
                <w:lang w:val="en-US"/>
                <w14:textFill>
                  <w14:solidFill>
                    <w14:srgbClr w14:val="8B0000"/>
                  </w14:solidFill>
                </w14:textFill>
              </w:rPr>
              <w:t>SHACL evaluation</w:t>
            </w:r>
          </w:p>
        </w:tc>
        <w:tc>
          <w:tcPr>
            <w:tcW w:type="dxa" w:w="6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 xml:space="preserve">Stardog SHACL engine evaluates the triple against the CompoundingProcess shape: hasAmbientTemperature maxInclusive 37.0 </w:t>
            </w:r>
            <w:r>
              <w:rPr>
                <w:rFonts w:ascii="Arial" w:hAnsi="Arial" w:hint="default"/>
                <w:outline w:val="0"/>
                <w:color w:val="111111"/>
                <w:sz w:val="19"/>
                <w:szCs w:val="19"/>
                <w:u w:color="111111"/>
                <w:shd w:val="nil" w:color="auto" w:fill="auto"/>
                <w:rtl w:val="0"/>
                <w:lang w:val="en-US"/>
                <w14:textFill>
                  <w14:solidFill>
                    <w14:srgbClr w14:val="111111"/>
                  </w14:solidFill>
                </w14:textFill>
              </w:rPr>
              <w:t xml:space="preserve">— </w:t>
            </w:r>
            <w:r>
              <w:rPr>
                <w:rFonts w:ascii="Arial" w:hAnsi="Arial"/>
                <w:outline w:val="0"/>
                <w:color w:val="111111"/>
                <w:sz w:val="19"/>
                <w:szCs w:val="19"/>
                <w:u w:color="111111"/>
                <w:shd w:val="nil" w:color="auto" w:fill="auto"/>
                <w:rtl w:val="0"/>
                <w:lang w:val="en-US"/>
                <w14:textFill>
                  <w14:solidFill>
                    <w14:srgbClr w14:val="111111"/>
                  </w14:solidFill>
                </w14:textFill>
              </w:rPr>
              <w:t>VIOLATION.</w:t>
            </w:r>
          </w:p>
        </w:tc>
      </w:tr>
      <w:tr>
        <w:tblPrEx>
          <w:shd w:val="clear" w:color="auto" w:fill="ced7e7"/>
        </w:tblPrEx>
        <w:trPr>
          <w:trHeight w:val="749" w:hRule="atLeast"/>
        </w:trPr>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7b5300"/>
                <w:sz w:val="19"/>
                <w:szCs w:val="19"/>
                <w:u w:color="7b5300"/>
                <w:shd w:val="nil" w:color="auto" w:fill="auto"/>
                <w:rtl w:val="0"/>
                <w:lang w:val="en-US"/>
                <w14:textFill>
                  <w14:solidFill>
                    <w14:srgbClr w14:val="7B5300"/>
                  </w14:solidFill>
                </w14:textFill>
              </w:rPr>
              <w:t>RDSG intercepts</w:t>
            </w:r>
          </w:p>
        </w:tc>
        <w:tc>
          <w:tcPr>
            <w:tcW w:type="dxa" w:w="6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Any subsequent API call or automated action attempting to advance BatchInstance-089 to the next process phase is intercepted by the RDSG. Phase advance blocked at SHACL Step 1.</w:t>
            </w:r>
          </w:p>
        </w:tc>
      </w:tr>
      <w:tr>
        <w:tblPrEx>
          <w:shd w:val="clear" w:color="auto" w:fill="ced7e7"/>
        </w:tblPrEx>
        <w:trPr>
          <w:trHeight w:val="749" w:hRule="atLeast"/>
        </w:trPr>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0055cc"/>
                <w:sz w:val="19"/>
                <w:szCs w:val="19"/>
                <w:u w:color="0055cc"/>
                <w:shd w:val="nil" w:color="auto" w:fill="auto"/>
                <w:rtl w:val="0"/>
                <w:lang w:val="pt-PT"/>
                <w14:textFill>
                  <w14:solidFill>
                    <w14:srgbClr w14:val="0055CC"/>
                  </w14:solidFill>
                </w14:textFill>
              </w:rPr>
              <w:t>HITL alert</w:t>
            </w:r>
          </w:p>
        </w:tc>
        <w:tc>
          <w:tcPr>
            <w:tcW w:type="dxa" w:w="6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Mendix workflow triggers. Process engineer receives an alert with: current temperature reading, applicable SHACL constraint, timestamp of excursion, and the HITL Intervention Pane showing proposed vs. required state.</w:t>
            </w:r>
          </w:p>
        </w:tc>
      </w:tr>
      <w:tr>
        <w:tblPrEx>
          <w:shd w:val="clear" w:color="auto" w:fill="ced7e7"/>
        </w:tblPrEx>
        <w:trPr>
          <w:trHeight w:val="749" w:hRule="atLeast"/>
        </w:trPr>
        <w:tc>
          <w:tcPr>
            <w:tcW w:type="dxa" w:w="2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6b3c"/>
                <w:sz w:val="19"/>
                <w:szCs w:val="19"/>
                <w:u w:color="1a6b3c"/>
                <w:shd w:val="nil" w:color="auto" w:fill="auto"/>
                <w:rtl w:val="0"/>
                <w:lang w:val="en-US"/>
                <w14:textFill>
                  <w14:solidFill>
                    <w14:srgbClr w14:val="1A6B3C"/>
                  </w14:solidFill>
                </w14:textFill>
              </w:rPr>
              <w:t>Physical system continues</w:t>
            </w:r>
          </w:p>
        </w:tc>
        <w:tc>
          <w:tcPr>
            <w:tcW w:type="dxa" w:w="6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11111"/>
                <w:sz w:val="19"/>
                <w:szCs w:val="19"/>
                <w:u w:color="111111"/>
                <w:shd w:val="nil" w:color="auto" w:fill="auto"/>
                <w:rtl w:val="0"/>
                <w:lang w:val="en-US"/>
                <w14:textFill>
                  <w14:solidFill>
                    <w14:srgbClr w14:val="111111"/>
                  </w14:solidFill>
                </w14:textFill>
              </w:rPr>
              <w:t>The bioreactor is not stopped. The governance layer does not control the physical execution layer. It controls what state changes are committed to the governed knowledge fabric.</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44" w:hRule="atLeast"/>
        </w:trPr>
        <w:tc>
          <w:tcPr>
            <w:tcW w:type="dxa" w:w="9360"/>
            <w:tcBorders>
              <w:top w:val="single" w:color="003087" w:sz="8" w:space="0" w:shadow="0" w:frame="0"/>
              <w:left w:val="single" w:color="003087" w:sz="8" w:space="0" w:shadow="0" w:frame="0"/>
              <w:bottom w:val="single" w:color="003087" w:sz="8" w:space="0" w:shadow="0" w:frame="0"/>
              <w:right w:val="single" w:color="003087" w:sz="8" w:space="0" w:shadow="0" w:frame="0"/>
            </w:tcBorders>
            <w:shd w:val="clear" w:color="auto" w:fill="e8ee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003087"/>
                <w:sz w:val="20"/>
                <w:szCs w:val="20"/>
                <w:u w:color="003087"/>
                <w:shd w:val="nil" w:color="auto" w:fill="auto"/>
                <w:rtl w:val="0"/>
                <w:lang w:val="it-IT"/>
                <w14:textFill>
                  <w14:solidFill>
                    <w14:srgbClr w14:val="003087"/>
                  </w14:solidFill>
                </w14:textFill>
              </w:rPr>
              <w:t xml:space="preserve">Critical principle: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11111"/>
                <w:sz w:val="20"/>
                <w:szCs w:val="20"/>
                <w:u w:color="111111"/>
                <w:shd w:val="nil" w:color="auto" w:fill="auto"/>
                <w:rtl w:val="0"/>
                <w:lang w:val="en-US"/>
                <w14:textFill>
                  <w14:solidFill>
                    <w14:srgbClr w14:val="111111"/>
                  </w14:solidFill>
                </w14:textFill>
              </w:rPr>
              <w:t xml:space="preserve">Digital governance acts as a semantic overlay on physical execution, not a replacement for the control system's authority. The PLC governs what the bioreactor does. The holarchy governs what knowledge is committed and what state transitions are authorized. These are separate authorities operating on separate planes </w:t>
            </w:r>
            <w:r>
              <w:rPr>
                <w:rFonts w:ascii="Arial" w:hAnsi="Arial" w:hint="default"/>
                <w:outline w:val="0"/>
                <w:color w:val="111111"/>
                <w:sz w:val="20"/>
                <w:szCs w:val="20"/>
                <w:u w:color="111111"/>
                <w:shd w:val="nil" w:color="auto" w:fill="auto"/>
                <w:rtl w:val="0"/>
                <w:lang w:val="en-US"/>
                <w14:textFill>
                  <w14:solidFill>
                    <w14:srgbClr w14:val="111111"/>
                  </w14:solidFill>
                </w14:textFill>
              </w:rPr>
              <w:t xml:space="preserve">— </w:t>
            </w:r>
            <w:r>
              <w:rPr>
                <w:rFonts w:ascii="Arial" w:hAnsi="Arial"/>
                <w:outline w:val="0"/>
                <w:color w:val="111111"/>
                <w:sz w:val="20"/>
                <w:szCs w:val="20"/>
                <w:u w:color="111111"/>
                <w:shd w:val="nil" w:color="auto" w:fill="auto"/>
                <w:rtl w:val="0"/>
                <w:lang w:val="en-US"/>
                <w14:textFill>
                  <w14:solidFill>
                    <w14:srgbClr w14:val="111111"/>
                  </w14:solidFill>
                </w14:textFill>
              </w:rPr>
              <w:t xml:space="preserve">which is exactly why </w:t>
            </w:r>
            <w:r>
              <w:rPr>
                <w:rFonts w:ascii="Arial" w:hAnsi="Arial"/>
                <w:b w:val="1"/>
                <w:bCs w:val="1"/>
                <w:outline w:val="0"/>
                <w:color w:val="1a3a1a"/>
                <w:sz w:val="20"/>
                <w:szCs w:val="20"/>
                <w:u w:color="1a3a1a"/>
                <w:shd w:val="clear" w:color="auto" w:fill="00ff00"/>
                <w:rtl w:val="0"/>
                <w:lang w:val="en-US"/>
                <w14:textFill>
                  <w14:solidFill>
                    <w14:srgbClr w14:val="1A3A1A"/>
                  </w14:solidFill>
                </w14:textFill>
              </w:rPr>
              <w:t>GxP equipment qualification is never at risk</w:t>
            </w:r>
            <w:r>
              <w:rPr>
                <w:rFonts w:ascii="Arial" w:hAnsi="Arial"/>
                <w:outline w:val="0"/>
                <w:color w:val="111111"/>
                <w:sz w:val="20"/>
                <w:szCs w:val="20"/>
                <w:u w:color="111111"/>
                <w:shd w:val="nil" w:color="auto" w:fill="auto"/>
                <w:rtl w:val="0"/>
                <w14:textFill>
                  <w14:solidFill>
                    <w14:srgbClr w14:val="111111"/>
                  </w14:solidFill>
                </w14:textFill>
              </w:rPr>
              <w:t>.</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03087"/>
          <w:u w:color="003087"/>
          <w:rtl w:val="0"/>
          <w:lang w:val="en-US"/>
          <w14:textFill>
            <w14:solidFill>
              <w14:srgbClr w14:val="003087"/>
            </w14:solidFill>
          </w14:textFill>
        </w:rPr>
        <w:t>8.  End-to-End: The Compounding Process Across All Layers</w:t>
      </w:r>
    </w:p>
    <w:p>
      <w:pPr>
        <w:pStyle w:val="Heading"/>
      </w:pPr>
    </w:p>
    <w:p>
      <w:pPr>
        <w:pStyle w:val="Heading"/>
      </w:pPr>
      <w:r>
        <w:rPr>
          <w:outline w:val="0"/>
          <w:color w:val="111111"/>
          <w:sz w:val="22"/>
          <w:szCs w:val="22"/>
          <w:u w:color="111111"/>
          <w:rtl w:val="0"/>
          <w:lang w:val="en-US"/>
          <w14:textFill>
            <w14:solidFill>
              <w14:srgbClr w14:val="111111"/>
            </w14:solidFill>
          </w14:textFill>
        </w:rPr>
        <w:t>The following traces a single compounding batch from process design through physical execution, demonstrating how each holonic layer contributes its unique aspect without replicating any other layer's contribution.</w:t>
      </w:r>
    </w:p>
    <w:p>
      <w:pPr>
        <w:pStyle w:val="Heading"/>
      </w:pPr>
    </w:p>
    <w:p>
      <w:pPr>
        <w:pStyle w:val="Heading 2"/>
      </w:pPr>
      <w:r>
        <w:rPr>
          <w:outline w:val="0"/>
          <w:color w:val="0070c0"/>
          <w:u w:color="0070c0"/>
          <w:rtl w:val="0"/>
          <w:lang w:val="en-US"/>
          <w14:textFill>
            <w14:solidFill>
              <w14:srgbClr w14:val="0070C0"/>
            </w14:solidFill>
          </w14:textFill>
        </w:rPr>
        <w:t xml:space="preserve">Phase A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Process Design (L5 Governance + L4 Knowledge Graph)</w:t>
      </w:r>
    </w:p>
    <w:p>
      <w:pPr>
        <w:pStyle w:val="Heading 2"/>
      </w:pPr>
      <w:r>
        <w:rPr>
          <w:outline w:val="0"/>
          <w:color w:val="111111"/>
          <w:sz w:val="22"/>
          <w:szCs w:val="22"/>
          <w:u w:color="111111"/>
          <w:rtl w:val="0"/>
          <w:lang w:val="en-US"/>
          <w14:textFill>
            <w14:solidFill>
              <w14:srgbClr w14:val="111111"/>
            </w14:solidFill>
          </w14:textFill>
        </w:rPr>
        <w:t>A process engineer and ontology knowledge engineer use VocBench 3 to author the CompoundingProcess OWL class with its ISA-88 phase structure (Charging, Mixing, Sampling, Transfer), its SHACL shapes (pH 6.8</w:t>
      </w:r>
      <w:r>
        <w:rPr>
          <w:outline w:val="0"/>
          <w:color w:val="111111"/>
          <w:sz w:val="22"/>
          <w:szCs w:val="22"/>
          <w:u w:color="111111"/>
          <w:rtl w:val="0"/>
          <w14:textFill>
            <w14:solidFill>
              <w14:srgbClr w14:val="111111"/>
            </w14:solidFill>
          </w14:textFill>
        </w:rPr>
        <w:t>–</w:t>
      </w:r>
      <w:r>
        <w:rPr>
          <w:outline w:val="0"/>
          <w:color w:val="111111"/>
          <w:sz w:val="22"/>
          <w:szCs w:val="22"/>
          <w:u w:color="111111"/>
          <w:rtl w:val="0"/>
          <w:lang w:val="it-IT"/>
          <w14:textFill>
            <w14:solidFill>
              <w14:srgbClr w14:val="111111"/>
            </w14:solidFill>
          </w14:textFill>
        </w:rPr>
        <w:t>7.2, temperature 36.0</w:t>
      </w:r>
      <w:r>
        <w:rPr>
          <w:outline w:val="0"/>
          <w:color w:val="111111"/>
          <w:sz w:val="22"/>
          <w:szCs w:val="22"/>
          <w:u w:color="111111"/>
          <w:rtl w:val="0"/>
          <w14:textFill>
            <w14:solidFill>
              <w14:srgbClr w14:val="111111"/>
            </w14:solidFill>
          </w14:textFill>
        </w:rPr>
        <w:t>–</w:t>
      </w:r>
      <w:r>
        <w:rPr>
          <w:outline w:val="0"/>
          <w:color w:val="111111"/>
          <w:sz w:val="22"/>
          <w:szCs w:val="22"/>
          <w:u w:color="111111"/>
          <w:rtl w:val="0"/>
          <w14:textFill>
            <w14:solidFill>
              <w14:srgbClr w14:val="111111"/>
            </w14:solidFill>
          </w14:textFill>
        </w:rPr>
        <w:t>37.0</w:t>
      </w:r>
      <w:r>
        <w:rPr>
          <w:outline w:val="0"/>
          <w:color w:val="111111"/>
          <w:sz w:val="22"/>
          <w:szCs w:val="22"/>
          <w:u w:color="111111"/>
          <w:rtl w:val="0"/>
          <w:lang w:val="it-IT"/>
          <w14:textFill>
            <w14:solidFill>
              <w14:srgbClr w14:val="111111"/>
            </w14:solidFill>
          </w14:textFill>
        </w:rPr>
        <w:t>°</w:t>
      </w:r>
      <w:r>
        <w:rPr>
          <w:outline w:val="0"/>
          <w:color w:val="111111"/>
          <w:sz w:val="22"/>
          <w:szCs w:val="22"/>
          <w:u w:color="111111"/>
          <w:rtl w:val="0"/>
          <w:lang w:val="en-US"/>
          <w14:textFill>
            <w14:solidFill>
              <w14:srgbClr w14:val="111111"/>
            </w14:solidFill>
          </w14:textFill>
        </w:rPr>
        <w:t>C, impeller speed 230</w:t>
      </w:r>
      <w:r>
        <w:rPr>
          <w:outline w:val="0"/>
          <w:color w:val="111111"/>
          <w:sz w:val="22"/>
          <w:szCs w:val="22"/>
          <w:u w:color="111111"/>
          <w:rtl w:val="0"/>
          <w14:textFill>
            <w14:solidFill>
              <w14:srgbClr w14:val="111111"/>
            </w14:solidFill>
          </w14:textFill>
        </w:rPr>
        <w:t>–</w:t>
      </w:r>
      <w:r>
        <w:rPr>
          <w:outline w:val="0"/>
          <w:color w:val="111111"/>
          <w:sz w:val="22"/>
          <w:szCs w:val="22"/>
          <w:u w:color="111111"/>
          <w:rtl w:val="0"/>
          <w:lang w:val="en-US"/>
          <w14:textFill>
            <w14:solidFill>
              <w14:srgbClr w14:val="111111"/>
            </w14:solidFill>
          </w14:textFill>
        </w:rPr>
        <w:t xml:space="preserve">270 RPM, phase duration </w:t>
      </w:r>
      <w:r>
        <w:rPr>
          <w:outline w:val="0"/>
          <w:color w:val="111111"/>
          <w:sz w:val="22"/>
          <w:szCs w:val="22"/>
          <w:u w:color="111111"/>
          <w:rtl w:val="0"/>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45 minutes), its SWRL temporal rules (stability interval enforcement, retest date calculation), and its LKIF obligations (log every parameter change, require QA sign-off before phase advance). The Ontology Governance Committee reviews and approves. The definition is deployed to Stardog.</w:t>
      </w:r>
    </w:p>
    <w:p>
      <w:pPr>
        <w:pStyle w:val="Heading 2"/>
      </w:pPr>
      <w:r>
        <w:rPr>
          <w:outline w:val="0"/>
          <w:color w:val="111111"/>
          <w:sz w:val="22"/>
          <w:szCs w:val="22"/>
          <w:u w:color="111111"/>
          <w:shd w:val="clear" w:color="auto" w:fill="ffff00"/>
          <w:rtl w:val="0"/>
          <w:lang w:val="en-US"/>
          <w14:textFill>
            <w14:solidFill>
              <w14:srgbClr w14:val="111111"/>
            </w14:solidFill>
          </w14:textFill>
        </w:rPr>
        <w:t>Design-time cost: one. Run-time instances: unlimited. Each new batch run is governed by the same definition with zero additional design effort.</w:t>
      </w:r>
    </w:p>
    <w:p>
      <w:pPr>
        <w:pStyle w:val="Heading 2"/>
      </w:pPr>
    </w:p>
    <w:p>
      <w:pPr>
        <w:pStyle w:val="Heading 2"/>
      </w:pPr>
      <w:r>
        <w:rPr>
          <w:outline w:val="0"/>
          <w:color w:val="0070c0"/>
          <w:u w:color="0070c0"/>
          <w:rtl w:val="0"/>
          <w:lang w:val="en-US"/>
          <w14:textFill>
            <w14:solidFill>
              <w14:srgbClr w14:val="0070C0"/>
            </w14:solidFill>
          </w14:textFill>
        </w:rPr>
        <w:t xml:space="preserve">Phase B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Process Realization (L3 RDSG + L2 Digital Twin)</w:t>
      </w:r>
    </w:p>
    <w:p>
      <w:pPr>
        <w:pStyle w:val="Heading 2"/>
      </w:pPr>
      <w:r>
        <w:rPr>
          <w:outline w:val="0"/>
          <w:color w:val="111111"/>
          <w:sz w:val="22"/>
          <w:szCs w:val="22"/>
          <w:u w:color="111111"/>
          <w:rtl w:val="0"/>
          <w:lang w:val="en-US"/>
          <w14:textFill>
            <w14:solidFill>
              <w14:srgbClr w14:val="111111"/>
            </w14:solidFill>
          </w14:textFill>
        </w:rPr>
        <w:t xml:space="preserve">A production planner initiates Batch 2024-CMP-089 in the MES. Siemens IOX creates an AAS BatchRecord shell for this batch instance, linked to the CompoundingProcess class in the ontology. Equipment AAS shells for the 500L bioreactor at Site A are linked to the batch AAS. OPC-UA adapter configuration is confirmed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no PLC modifications required. The RDSG is initialized for this batch: the Requirement Context Bundle is pre-populated with the WHO (batch ID, equipment ID, responsible operator), WHAT (CompoundingProcess version 3.2), WHEN (scheduled start), WHERE (Manufacturing Named Graph / Site A), and WHY (production order PO-2024-089 linked to regulatory filing IND-2024-44).</w:t>
      </w:r>
    </w:p>
    <w:p>
      <w:pPr>
        <w:pStyle w:val="Heading 2"/>
      </w:pPr>
    </w:p>
    <w:p>
      <w:pPr>
        <w:pStyle w:val="Heading 2"/>
      </w:pPr>
      <w:r>
        <w:rPr>
          <w:outline w:val="0"/>
          <w:color w:val="0070c0"/>
          <w:u w:color="0070c0"/>
          <w:rtl w:val="0"/>
          <w:lang w:val="en-US"/>
          <w14:textFill>
            <w14:solidFill>
              <w14:srgbClr w14:val="0070C0"/>
            </w14:solidFill>
          </w14:textFill>
        </w:rPr>
        <w:t xml:space="preserve">Phase C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Process Execution (L1 Physical + L2 AAS)</w:t>
      </w:r>
    </w:p>
    <w:p>
      <w:pPr>
        <w:pStyle w:val="Heading 2"/>
      </w:pPr>
      <w:r>
        <w:rPr>
          <w:outline w:val="0"/>
          <w:color w:val="111111"/>
          <w:sz w:val="22"/>
          <w:szCs w:val="22"/>
          <w:u w:color="111111"/>
          <w:rtl w:val="0"/>
          <w:lang w:val="en-US"/>
          <w14:textFill>
            <w14:solidFill>
              <w14:srgbClr w14:val="111111"/>
            </w14:solidFill>
          </w14:textFill>
        </w:rPr>
        <w:t>The batch begins. The bioreactor's PLC executes the charging sequence. IOX maps OPC-UA signals to AAS submodel properties in real time. Every 30 seconds, the AAS ProcessPhaseLog submodel generates an RDF triple update: temperature, pH, DO, impeller speed, vessel weight, phase state. The Knowledge Graph receives a continuous stream of typed semantic state updates, each linked to the batch instance and the current phase.</w:t>
      </w:r>
    </w:p>
    <w:p>
      <w:pPr>
        <w:pStyle w:val="Heading 2"/>
      </w:pPr>
      <w:r>
        <w:rPr>
          <w:outline w:val="0"/>
          <w:color w:val="111111"/>
          <w:sz w:val="22"/>
          <w:szCs w:val="22"/>
          <w:u w:color="111111"/>
          <w:rtl w:val="0"/>
          <w:lang w:val="en-US"/>
          <w14:textFill>
            <w14:solidFill>
              <w14:srgbClr w14:val="111111"/>
            </w14:solidFill>
          </w14:textFill>
        </w:rPr>
        <w:t xml:space="preserve">At minute 12 of the Mixing phase, the pH reads 7.3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 xml:space="preserve">0.1 above the SHACL maximum of 7.2. The SHACL engine detects the violation. The RDSG intercepts any attempt to advance the batch to Sampling. </w:t>
      </w:r>
      <w:r>
        <w:rPr>
          <w:outline w:val="0"/>
          <w:color w:val="111111"/>
          <w:sz w:val="22"/>
          <w:szCs w:val="22"/>
          <w:u w:color="111111"/>
          <w:shd w:val="clear" w:color="auto" w:fill="ffff00"/>
          <w:rtl w:val="0"/>
          <w:lang w:val="en-US"/>
          <w14:textFill>
            <w14:solidFill>
              <w14:srgbClr w14:val="111111"/>
            </w14:solidFill>
          </w14:textFill>
        </w:rPr>
        <w:t>The process engineer receives a HITL alert in the Mendix dashboard with the specific constraint violated, the current reading, and the historical trend.</w:t>
      </w:r>
      <w:r>
        <w:rPr>
          <w:outline w:val="0"/>
          <w:color w:val="111111"/>
          <w:sz w:val="22"/>
          <w:szCs w:val="22"/>
          <w:u w:color="111111"/>
          <w:rtl w:val="0"/>
          <w:lang w:val="en-US"/>
          <w14:textFill>
            <w14:solidFill>
              <w14:srgbClr w14:val="111111"/>
            </w14:solidFill>
          </w14:textFill>
        </w:rPr>
        <w:t xml:space="preserve"> The engineer investigates, adjusts the buffer feed rate, pH returns to 7.1 within 4 minutes, and authorizes continuation with a logged justification. The KGCL change record carries the full deviation event, the resolution action, and the authorizing engineer's electronic signature </w:t>
      </w:r>
      <w:r>
        <w:rPr>
          <w:outline w:val="0"/>
          <w:color w:val="111111"/>
          <w:sz w:val="22"/>
          <w:szCs w:val="22"/>
          <w:u w:color="111111"/>
          <w:rtl w:val="0"/>
          <w:lang w:val="en-US"/>
          <w14:textFill>
            <w14:solidFill>
              <w14:srgbClr w14:val="111111"/>
            </w14:solidFill>
          </w14:textFill>
        </w:rPr>
        <w:t xml:space="preserve">— </w:t>
      </w:r>
      <w:r>
        <w:rPr>
          <w:outline w:val="0"/>
          <w:color w:val="111111"/>
          <w:sz w:val="22"/>
          <w:szCs w:val="22"/>
          <w:u w:color="111111"/>
          <w:rtl w:val="0"/>
          <w:lang w:val="en-US"/>
          <w14:textFill>
            <w14:solidFill>
              <w14:srgbClr w14:val="111111"/>
            </w14:solidFill>
          </w14:textFill>
        </w:rPr>
        <w:t>satisfying 21 CFR Part 11 automatically.</w:t>
      </w:r>
    </w:p>
    <w:p>
      <w:pPr>
        <w:pStyle w:val="Heading 2"/>
      </w:pPr>
    </w:p>
    <w:p>
      <w:pPr>
        <w:pStyle w:val="Heading 2"/>
      </w:pPr>
      <w:r>
        <w:rPr>
          <w:outline w:val="0"/>
          <w:color w:val="0070c0"/>
          <w:u w:color="0070c0"/>
          <w:rtl w:val="0"/>
          <w:lang w:val="en-US"/>
          <w14:textFill>
            <w14:solidFill>
              <w14:srgbClr w14:val="0070C0"/>
            </w14:solidFill>
          </w14:textFill>
        </w:rPr>
        <w:t xml:space="preserve">Phase D </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Knowledge Publication and Sharing</w:t>
      </w:r>
    </w:p>
    <w:p>
      <w:pPr>
        <w:pStyle w:val="Heading 2"/>
      </w:pPr>
      <w:r>
        <w:rPr>
          <w:outline w:val="0"/>
          <w:color w:val="111111"/>
          <w:sz w:val="22"/>
          <w:szCs w:val="22"/>
          <w:u w:color="111111"/>
          <w:rtl w:val="0"/>
          <w:lang w:val="en-US"/>
          <w14:textFill>
            <w14:solidFill>
              <w14:srgbClr w14:val="111111"/>
            </w14:solidFill>
          </w14:textFill>
        </w:rPr>
        <w:t>At batch completion, the RDSG validates the full batch record against the CompoundingProcess SHACL completion shape (all required phases completed, all parameter logs present, QA sign-off recorded, no unresolved deviation flags). On validation success, the batch record is committed to the Manufacturing Named Graph as a validated knowledge artifact. It is immediately queryable for:</w:t>
      </w:r>
    </w:p>
    <w:p>
      <w:pPr>
        <w:pStyle w:val="List Paragraph"/>
        <w:numPr>
          <w:ilvl w:val="0"/>
          <w:numId w:val="2"/>
        </w:numPr>
        <w:spacing w:before="60" w:after="60"/>
        <w:rPr>
          <w:sz w:val="22"/>
          <w:szCs w:val="22"/>
        </w:rPr>
      </w:pPr>
      <w:r>
        <w:rPr>
          <w:rFonts w:ascii="Arial" w:hAnsi="Arial"/>
          <w:b w:val="1"/>
          <w:bCs w:val="1"/>
          <w:outline w:val="0"/>
          <w:color w:val="0070c0"/>
          <w:sz w:val="22"/>
          <w:szCs w:val="22"/>
          <w:u w:color="0070c0"/>
          <w:rtl w:val="0"/>
          <w14:textFill>
            <w14:solidFill>
              <w14:srgbClr w14:val="0070C0"/>
            </w14:solidFill>
          </w14:textFill>
        </w:rPr>
        <w:t xml:space="preserve">Genealogy:  </w:t>
      </w:r>
      <w:r>
        <w:rPr>
          <w:rFonts w:ascii="Arial" w:hAnsi="Arial"/>
          <w:outline w:val="0"/>
          <w:color w:val="111111"/>
          <w:sz w:val="22"/>
          <w:szCs w:val="22"/>
          <w:u w:color="111111"/>
          <w:rtl w:val="0"/>
          <w:lang w:val="en-US"/>
          <w14:textFill>
            <w14:solidFill>
              <w14:srgbClr w14:val="111111"/>
            </w14:solidFill>
          </w14:textFill>
        </w:rPr>
        <w:t>which raw material lots, which equipment, which operator, which site.</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Regulatory linkage:  </w:t>
      </w:r>
      <w:r>
        <w:rPr>
          <w:rFonts w:ascii="Arial" w:hAnsi="Arial"/>
          <w:outline w:val="0"/>
          <w:color w:val="111111"/>
          <w:sz w:val="22"/>
          <w:szCs w:val="22"/>
          <w:u w:color="111111"/>
          <w:rtl w:val="0"/>
          <w:lang w:val="en-US"/>
          <w14:textFill>
            <w14:solidFill>
              <w14:srgbClr w14:val="111111"/>
            </w14:solidFill>
          </w14:textFill>
        </w:rPr>
        <w:t>which IND or NDA section this batch supports.</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Cross-batch analytics:  </w:t>
      </w:r>
      <w:r>
        <w:rPr>
          <w:rFonts w:ascii="Arial" w:hAnsi="Arial"/>
          <w:outline w:val="0"/>
          <w:color w:val="111111"/>
          <w:sz w:val="22"/>
          <w:szCs w:val="22"/>
          <w:u w:color="111111"/>
          <w:rtl w:val="0"/>
          <w:lang w:val="en-US"/>
          <w14:textFill>
            <w14:solidFill>
              <w14:srgbClr w14:val="111111"/>
            </w14:solidFill>
          </w14:textFill>
        </w:rPr>
        <w:t>how this batch's yield and parameter profile compare to the 88 prior batches of the same formulation.</w:t>
      </w:r>
    </w:p>
    <w:p>
      <w:pPr>
        <w:pStyle w:val="List Paragraph"/>
        <w:numPr>
          <w:ilvl w:val="0"/>
          <w:numId w:val="2"/>
        </w:numPr>
        <w:spacing w:before="60" w:after="60"/>
        <w:rPr>
          <w:sz w:val="22"/>
          <w:szCs w:val="22"/>
          <w:lang w:val="en-US"/>
        </w:rPr>
      </w:pPr>
      <w:r>
        <w:rPr>
          <w:rFonts w:ascii="Arial" w:hAnsi="Arial"/>
          <w:b w:val="1"/>
          <w:bCs w:val="1"/>
          <w:outline w:val="0"/>
          <w:color w:val="0070c0"/>
          <w:sz w:val="22"/>
          <w:szCs w:val="22"/>
          <w:u w:color="0070c0"/>
          <w:rtl w:val="0"/>
          <w:lang w:val="en-US"/>
          <w14:textFill>
            <w14:solidFill>
              <w14:srgbClr w14:val="0070C0"/>
            </w14:solidFill>
          </w14:textFill>
        </w:rPr>
        <w:t xml:space="preserve">Tech transfer feed:  </w:t>
      </w:r>
      <w:r>
        <w:rPr>
          <w:rFonts w:ascii="Arial" w:hAnsi="Arial"/>
          <w:outline w:val="0"/>
          <w:color w:val="111111"/>
          <w:sz w:val="22"/>
          <w:szCs w:val="22"/>
          <w:u w:color="111111"/>
          <w:rtl w:val="0"/>
          <w:lang w:val="en-US"/>
          <w14:textFill>
            <w14:solidFill>
              <w14:srgbClr w14:val="111111"/>
            </w14:solidFill>
          </w14:textFill>
        </w:rPr>
        <w:t xml:space="preserve">the validated parameters from this batch become inputs to the SWRL tech transfer mapping rules for scale-up to 2000L at Site B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automatically, without manual parameter translation.</w:t>
      </w:r>
    </w:p>
    <w:p>
      <w:pPr>
        <w:pStyle w:val="List Paragraph"/>
        <w:spacing w:before="60"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44" w:hRule="atLeast"/>
        </w:trPr>
        <w:tc>
          <w:tcPr>
            <w:tcW w:type="dxa" w:w="9360"/>
            <w:tcBorders>
              <w:top w:val="single" w:color="003087" w:sz="8" w:space="0" w:shadow="0" w:frame="0"/>
              <w:left w:val="single" w:color="003087" w:sz="8" w:space="0" w:shadow="0" w:frame="0"/>
              <w:bottom w:val="single" w:color="003087" w:sz="8" w:space="0" w:shadow="0" w:frame="0"/>
              <w:right w:val="single" w:color="003087" w:sz="8" w:space="0" w:shadow="0" w:frame="0"/>
            </w:tcBorders>
            <w:shd w:val="clear" w:color="auto" w:fill="e8ee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003087"/>
                <w:sz w:val="20"/>
                <w:szCs w:val="20"/>
                <w:u w:color="003087"/>
                <w:shd w:val="nil" w:color="auto" w:fill="auto"/>
                <w:rtl w:val="0"/>
                <w:lang w:val="en-US"/>
                <w14:textFill>
                  <w14:solidFill>
                    <w14:srgbClr w14:val="003087"/>
                  </w14:solidFill>
                </w14:textFill>
              </w:rPr>
              <w:t xml:space="preserve">The cumulative value proposition: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0a1828"/>
                <w:sz w:val="20"/>
                <w:szCs w:val="20"/>
                <w:u w:color="0a1828"/>
                <w:shd w:val="nil" w:color="auto" w:fill="auto"/>
                <w:rtl w:val="0"/>
                <w:lang w:val="en-US"/>
                <w14:textFill>
                  <w14:solidFill>
                    <w14:srgbClr w14:val="0A1828"/>
                  </w14:solidFill>
                </w14:textFill>
              </w:rPr>
              <w:t xml:space="preserve">Batch 2024-CMP-089 was designed once (process definition at L5), realized with zero custom integration (AAS + IOX at L2), governed continuously (RDSG at L3), and its knowledge is now available for regulatory traceability, tech transfer, cross-program learning, and supply chain risk assessment </w:t>
            </w:r>
            <w:r>
              <w:rPr>
                <w:rFonts w:ascii="Arial" w:hAnsi="Arial" w:hint="default"/>
                <w:i w:val="1"/>
                <w:iCs w:val="1"/>
                <w:outline w:val="0"/>
                <w:color w:val="0a1828"/>
                <w:sz w:val="20"/>
                <w:szCs w:val="20"/>
                <w:u w:color="0a1828"/>
                <w:shd w:val="nil" w:color="auto" w:fill="auto"/>
                <w:rtl w:val="0"/>
                <w:lang w:val="en-US"/>
                <w14:textFill>
                  <w14:solidFill>
                    <w14:srgbClr w14:val="0A1828"/>
                  </w14:solidFill>
                </w14:textFill>
              </w:rPr>
              <w:t xml:space="preserve">— </w:t>
            </w:r>
            <w:r>
              <w:rPr>
                <w:rFonts w:ascii="Arial" w:hAnsi="Arial"/>
                <w:i w:val="1"/>
                <w:iCs w:val="1"/>
                <w:outline w:val="0"/>
                <w:color w:val="0a1828"/>
                <w:sz w:val="20"/>
                <w:szCs w:val="20"/>
                <w:u w:color="0a1828"/>
                <w:shd w:val="nil" w:color="auto" w:fill="auto"/>
                <w:rtl w:val="0"/>
                <w:lang w:val="en-US"/>
                <w14:textFill>
                  <w14:solidFill>
                    <w14:srgbClr w14:val="0A1828"/>
                  </w14:solidFill>
                </w14:textFill>
              </w:rPr>
              <w:t>simultaneously, from a single governed source, without any system replication.</w:t>
            </w:r>
          </w:p>
        </w:tc>
      </w:tr>
    </w:tbl>
    <w:p>
      <w:pPr>
        <w:pStyle w:val="List Paragraph"/>
        <w:widowControl w:val="0"/>
        <w:spacing w:before="60" w:after="60"/>
      </w:pPr>
    </w:p>
    <w:p>
      <w:pPr>
        <w:pStyle w:val="List Paragraph"/>
        <w:widowControl w:val="0"/>
        <w:spacing w:before="60" w:after="60"/>
      </w:pPr>
      <w:r>
        <w:rPr>
          <w:rFonts w:ascii="Arial Unicode MS" w:cs="Arial Unicode MS" w:hAnsi="Arial Unicode MS" w:eastAsia="Arial Unicode MS"/>
          <w:b w:val="0"/>
          <w:bCs w:val="0"/>
          <w:i w:val="0"/>
          <w:iCs w:val="0"/>
        </w:rPr>
        <w:br w:type="page"/>
      </w:r>
    </w:p>
    <w:p>
      <w:pPr>
        <w:pStyle w:val="Heading"/>
      </w:pPr>
      <w:r>
        <w:rPr>
          <w:outline w:val="0"/>
          <w:color w:val="003087"/>
          <w:u w:color="003087"/>
          <w:rtl w:val="0"/>
          <w:lang w:val="en-US"/>
          <w14:textFill>
            <w14:solidFill>
              <w14:srgbClr w14:val="003087"/>
            </w14:solidFill>
          </w14:textFill>
        </w:rPr>
        <w:t>9.  Implications for Business and Technical Leaders</w:t>
      </w:r>
    </w:p>
    <w:p>
      <w:pPr>
        <w:pStyle w:val="Heading"/>
      </w:pPr>
    </w:p>
    <w:p>
      <w:pPr>
        <w:pStyle w:val="Heading 2"/>
      </w:pPr>
      <w:r>
        <w:rPr>
          <w:outline w:val="0"/>
          <w:color w:val="0070c0"/>
          <w:u w:color="0070c0"/>
          <w:rtl w:val="0"/>
          <w:lang w:val="en-US"/>
          <w14:textFill>
            <w14:solidFill>
              <w14:srgbClr w14:val="0070C0"/>
            </w14:solidFill>
          </w14:textFill>
        </w:rPr>
        <w:t>For Business Leaders</w:t>
      </w:r>
    </w:p>
    <w:p>
      <w:pPr>
        <w:pStyle w:val="List Paragraph"/>
        <w:numPr>
          <w:ilvl w:val="0"/>
          <w:numId w:val="2"/>
        </w:numPr>
        <w:spacing w:before="60" w:after="60"/>
        <w:rPr>
          <w:sz w:val="22"/>
          <w:szCs w:val="22"/>
          <w:lang w:val="en-US"/>
        </w:rPr>
      </w:pP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Process improvements propagate instantly across the organization.  </w:t>
      </w:r>
      <w:r>
        <w:rPr>
          <w:rFonts w:ascii="Arial" w:hAnsi="Arial"/>
          <w:outline w:val="0"/>
          <w:color w:val="111111"/>
          <w:sz w:val="22"/>
          <w:szCs w:val="22"/>
          <w:u w:color="111111"/>
          <w:rtl w:val="0"/>
          <w:lang w:val="en-US"/>
          <w14:textFill>
            <w14:solidFill>
              <w14:srgbClr w14:val="111111"/>
            </w14:solidFill>
          </w14:textFill>
        </w:rPr>
        <w:t xml:space="preserve">When a validated process improvement is committed to the Knowledge Graph, it is immediately available to every instrument, every agent, and every scientist in the network. There is no SOP update cycle, no re-training program, no MES change request. The improvement is governance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and governance is instantaneous.</w:t>
      </w:r>
    </w:p>
    <w:p>
      <w:pPr>
        <w:pStyle w:val="List Paragraph"/>
        <w:numPr>
          <w:ilvl w:val="0"/>
          <w:numId w:val="2"/>
        </w:numPr>
        <w:spacing w:before="60" w:after="60"/>
        <w:rPr>
          <w:sz w:val="22"/>
          <w:szCs w:val="22"/>
          <w:lang w:val="en-US"/>
        </w:rPr>
      </w:pP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Regulatory evidence is assembled by the system, not by the team.  </w:t>
      </w:r>
      <w:r>
        <w:rPr>
          <w:rFonts w:ascii="Arial" w:hAnsi="Arial"/>
          <w:outline w:val="0"/>
          <w:color w:val="111111"/>
          <w:sz w:val="22"/>
          <w:szCs w:val="22"/>
          <w:u w:color="111111"/>
          <w:rtl w:val="0"/>
          <w:lang w:val="en-US"/>
          <w14:textFill>
            <w14:solidFill>
              <w14:srgbClr w14:val="111111"/>
            </w14:solidFill>
          </w14:textFill>
        </w:rPr>
        <w:t>Every process instance generates its own regulatory evidence package as a natural consequence of running through the RDSG. An FDA inspection readiness package for any batch is a SPARQL query, not a weeks-long document assembly exercise.</w:t>
      </w:r>
    </w:p>
    <w:p>
      <w:pPr>
        <w:pStyle w:val="List Paragraph"/>
        <w:numPr>
          <w:ilvl w:val="0"/>
          <w:numId w:val="2"/>
        </w:numPr>
        <w:spacing w:before="60" w:after="60"/>
        <w:rPr>
          <w:sz w:val="22"/>
          <w:szCs w:val="22"/>
          <w:lang w:val="en-US"/>
        </w:rPr>
      </w:pP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AI can be deployed without compromising compliance.  </w:t>
      </w:r>
      <w:r>
        <w:rPr>
          <w:rFonts w:ascii="Arial" w:hAnsi="Arial"/>
          <w:outline w:val="0"/>
          <w:color w:val="111111"/>
          <w:sz w:val="22"/>
          <w:szCs w:val="22"/>
          <w:u w:color="111111"/>
          <w:rtl w:val="0"/>
          <w:lang w:val="en-US"/>
          <w14:textFill>
            <w14:solidFill>
              <w14:srgbClr w14:val="111111"/>
            </w14:solidFill>
          </w14:textFill>
        </w:rPr>
        <w:t>The RDSG's structural governance means AI agents can recommend process changes that would previously have required extensive manual review. The recommendation is validated against the same GxP constraints before it reaches any human or physical system. The human reviews a validated proposal, not a raw AI output.</w:t>
      </w:r>
    </w:p>
    <w:p>
      <w:pPr>
        <w:pStyle w:val="List Paragraph"/>
        <w:numPr>
          <w:ilvl w:val="0"/>
          <w:numId w:val="2"/>
        </w:numPr>
        <w:spacing w:before="60" w:after="60"/>
        <w:rPr>
          <w:sz w:val="22"/>
          <w:szCs w:val="22"/>
          <w:lang w:val="en-US"/>
        </w:rPr>
      </w:pP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Technology transfer becomes a semantic operation, not a manual translation.</w:t>
      </w:r>
      <w:r>
        <w:rPr>
          <w:rFonts w:ascii="Arial" w:hAnsi="Arial"/>
          <w:outline w:val="0"/>
          <w:color w:val="111111"/>
          <w:sz w:val="22"/>
          <w:szCs w:val="22"/>
          <w:u w:color="111111"/>
          <w:rtl w:val="0"/>
          <w:lang w:val="en-US"/>
          <w14:textFill>
            <w14:solidFill>
              <w14:srgbClr w14:val="111111"/>
            </w14:solidFill>
          </w14:textFill>
        </w:rPr>
        <w:t>SWRL parameter mapping rules carry validated R&amp;D process parameters to manufacturing automatically. The 8</w:t>
      </w:r>
      <w:r>
        <w:rPr>
          <w:rFonts w:ascii="Arial" w:hAnsi="Arial" w:hint="default"/>
          <w:outline w:val="0"/>
          <w:color w:val="111111"/>
          <w:sz w:val="22"/>
          <w:szCs w:val="22"/>
          <w:u w:color="111111"/>
          <w:rtl w:val="0"/>
          <w14:textFill>
            <w14:solidFill>
              <w14:srgbClr w14:val="111111"/>
            </w14:solidFill>
          </w14:textFill>
        </w:rPr>
        <w:t>–</w:t>
      </w:r>
      <w:r>
        <w:rPr>
          <w:rFonts w:ascii="Arial" w:hAnsi="Arial"/>
          <w:outline w:val="0"/>
          <w:color w:val="111111"/>
          <w:sz w:val="22"/>
          <w:szCs w:val="22"/>
          <w:u w:color="111111"/>
          <w:rtl w:val="0"/>
          <w:lang w:val="en-US"/>
          <w14:textFill>
            <w14:solidFill>
              <w14:srgbClr w14:val="111111"/>
            </w14:solidFill>
          </w14:textFill>
        </w:rPr>
        <w:t>12 week manual tech transfer cycle becomes a 2</w:t>
      </w:r>
      <w:r>
        <w:rPr>
          <w:rFonts w:ascii="Arial" w:hAnsi="Arial" w:hint="default"/>
          <w:outline w:val="0"/>
          <w:color w:val="111111"/>
          <w:sz w:val="22"/>
          <w:szCs w:val="22"/>
          <w:u w:color="111111"/>
          <w:rtl w:val="0"/>
          <w14:textFill>
            <w14:solidFill>
              <w14:srgbClr w14:val="111111"/>
            </w14:solidFill>
          </w14:textFill>
        </w:rPr>
        <w:t>–</w:t>
      </w:r>
      <w:r>
        <w:rPr>
          <w:rFonts w:ascii="Arial" w:hAnsi="Arial"/>
          <w:outline w:val="0"/>
          <w:color w:val="111111"/>
          <w:sz w:val="22"/>
          <w:szCs w:val="22"/>
          <w:u w:color="111111"/>
          <w:rtl w:val="0"/>
          <w:lang w:val="en-US"/>
          <w14:textFill>
            <w14:solidFill>
              <w14:srgbClr w14:val="111111"/>
            </w14:solidFill>
          </w14:textFill>
        </w:rPr>
        <w:t>4 week governed semantic handoff.</w:t>
      </w:r>
    </w:p>
    <w:p>
      <w:pPr>
        <w:pStyle w:val="List Paragraph"/>
        <w:spacing w:before="60" w:after="60"/>
      </w:pPr>
    </w:p>
    <w:p>
      <w:pPr>
        <w:pStyle w:val="Heading 2"/>
      </w:pPr>
      <w:r>
        <w:rPr>
          <w:outline w:val="0"/>
          <w:color w:val="0070c0"/>
          <w:u w:color="0070c0"/>
          <w:rtl w:val="0"/>
          <w:lang w:val="en-US"/>
          <w14:textFill>
            <w14:solidFill>
              <w14:srgbClr w14:val="0070C0"/>
            </w14:solidFill>
          </w14:textFill>
        </w:rPr>
        <w:t>For Technical Leaders</w:t>
      </w:r>
    </w:p>
    <w:p>
      <w:pPr>
        <w:pStyle w:val="List Paragraph"/>
        <w:numPr>
          <w:ilvl w:val="0"/>
          <w:numId w:val="2"/>
        </w:numPr>
        <w:spacing w:before="60" w:after="60"/>
        <w:rPr>
          <w:sz w:val="22"/>
          <w:szCs w:val="22"/>
          <w:lang w:val="en-US"/>
        </w:rPr>
      </w:pPr>
      <w:r>
        <w:rPr>
          <w:rFonts w:ascii="Arial" w:hAnsi="Arial"/>
          <w:b w:val="1"/>
          <w:bCs w:val="1"/>
          <w:outline w:val="0"/>
          <w:color w:val="1a3a1a"/>
          <w:sz w:val="22"/>
          <w:szCs w:val="22"/>
          <w:u w:color="1a3a1a"/>
          <w:shd w:val="clear" w:color="auto" w:fill="00ff00"/>
          <w:rtl w:val="0"/>
          <w:lang w:val="en-US"/>
          <w14:textFill>
            <w14:solidFill>
              <w14:srgbClr w14:val="1A3A1A"/>
            </w14:solidFill>
          </w14:textFill>
        </w:rPr>
        <w:t>No source system is modified. No GxP validation is at risk.</w:t>
      </w:r>
      <w:r>
        <w:rPr>
          <w:rFonts w:ascii="Arial" w:hAnsi="Arial"/>
          <w:outline w:val="0"/>
          <w:color w:val="111111"/>
          <w:sz w:val="22"/>
          <w:szCs w:val="22"/>
          <w:u w:color="111111"/>
          <w:rtl w:val="0"/>
          <w:lang w:val="en-US"/>
          <w14:textFill>
            <w14:solidFill>
              <w14:srgbClr w14:val="111111"/>
            </w14:solidFill>
          </w14:textFill>
        </w:rPr>
        <w:t xml:space="preserve"> Process governance is additive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a semantic layer above the existing landscape. PLC logic, SCADA configuration, and MES batch record templates are not touched.</w:t>
      </w:r>
    </w:p>
    <w:p>
      <w:pPr>
        <w:pStyle w:val="List Paragraph"/>
        <w:numPr>
          <w:ilvl w:val="0"/>
          <w:numId w:val="2"/>
        </w:numPr>
        <w:spacing w:before="60" w:after="60"/>
        <w:rPr>
          <w:sz w:val="22"/>
          <w:szCs w:val="22"/>
          <w:lang w:val="en-US"/>
        </w:rPr>
      </w:pPr>
      <w:r>
        <w:rPr>
          <w:rFonts w:ascii="Arial" w:hAnsi="Arial"/>
          <w:b w:val="1"/>
          <w:bCs w:val="1"/>
          <w:outline w:val="0"/>
          <w:color w:val="1a3a1a"/>
          <w:sz w:val="22"/>
          <w:szCs w:val="22"/>
          <w:u w:color="1a3a1a"/>
          <w:shd w:val="clear" w:color="auto" w:fill="00ff00"/>
          <w:rtl w:val="0"/>
          <w:lang w:val="en-US"/>
          <w14:textFill>
            <w14:solidFill>
              <w14:srgbClr w14:val="1A3A1A"/>
            </w14:solidFill>
          </w14:textFill>
        </w:rPr>
        <w:t>Process governance updates without equipment re-qualification.</w:t>
      </w:r>
      <w:r>
        <w:rPr>
          <w:rFonts w:ascii="Arial" w:hAnsi="Arial"/>
          <w:outline w:val="0"/>
          <w:color w:val="111111"/>
          <w:sz w:val="22"/>
          <w:szCs w:val="22"/>
          <w:u w:color="111111"/>
          <w:rtl w:val="0"/>
          <w:lang w:val="en-US"/>
          <w14:textFill>
            <w14:solidFill>
              <w14:srgbClr w14:val="111111"/>
            </w14:solidFill>
          </w14:textFill>
        </w:rPr>
        <w:t xml:space="preserve"> STPA/STAMP UCA boundaries and SHACL process constraints can be updated through the governed VocBench review workflow and deployed to the RDSG. All connected equipment inherits the updated constraints immediately. No per-equipment change management required.</w:t>
      </w:r>
    </w:p>
    <w:p>
      <w:pPr>
        <w:pStyle w:val="List Paragraph"/>
        <w:numPr>
          <w:ilvl w:val="0"/>
          <w:numId w:val="2"/>
        </w:numPr>
        <w:spacing w:before="60" w:after="60"/>
        <w:rPr>
          <w:sz w:val="22"/>
          <w:szCs w:val="22"/>
          <w:lang w:val="en-US"/>
        </w:rPr>
      </w:pPr>
      <w:r>
        <w:rPr>
          <w:rFonts w:ascii="Arial" w:hAnsi="Arial"/>
          <w:b w:val="1"/>
          <w:bCs w:val="1"/>
          <w:outline w:val="0"/>
          <w:color w:val="1a3a1a"/>
          <w:sz w:val="22"/>
          <w:szCs w:val="22"/>
          <w:u w:color="1a3a1a"/>
          <w:shd w:val="clear" w:color="auto" w:fill="00ff00"/>
          <w:rtl w:val="0"/>
          <w:lang w:val="en-US"/>
          <w14:textFill>
            <w14:solidFill>
              <w14:srgbClr w14:val="1A3A1A"/>
            </w14:solidFill>
          </w14:textFill>
        </w:rPr>
        <w:t>Process knowledge is portable.</w:t>
      </w:r>
      <w:r>
        <w:rPr>
          <w:rFonts w:ascii="Arial" w:hAnsi="Arial"/>
          <w:outline w:val="0"/>
          <w:color w:val="111111"/>
          <w:sz w:val="22"/>
          <w:szCs w:val="22"/>
          <w:u w:color="111111"/>
          <w:rtl w:val="0"/>
          <w:lang w:val="en-US"/>
          <w14:textFill>
            <w14:solidFill>
              <w14:srgbClr w14:val="111111"/>
            </w14:solidFill>
          </w14:textFill>
        </w:rPr>
        <w:t xml:space="preserve"> Because the process definition is expressed in OWL 2, SHACL, and SWRL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nl-NL"/>
          <w14:textFill>
            <w14:solidFill>
              <w14:srgbClr w14:val="111111"/>
            </w14:solidFill>
          </w14:textFill>
        </w:rPr>
        <w:t xml:space="preserve">open W3C standards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it can be exported, versioned, federated, and ingested by any standards-compliant triplestore. There is no vendor lock-in on the process model.</w:t>
      </w:r>
    </w:p>
    <w:p>
      <w:pPr>
        <w:pStyle w:val="List Paragraph"/>
        <w:numPr>
          <w:ilvl w:val="0"/>
          <w:numId w:val="2"/>
        </w:numPr>
        <w:spacing w:before="60" w:after="60"/>
        <w:rPr>
          <w:sz w:val="22"/>
          <w:szCs w:val="22"/>
          <w:lang w:val="en-US"/>
        </w:rPr>
      </w:pP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 xml:space="preserve">The MTBH Circuit Breaker is the AI governance layer that regulators will require.  </w:t>
      </w:r>
      <w:r>
        <w:rPr>
          <w:rFonts w:ascii="Arial" w:hAnsi="Arial"/>
          <w:outline w:val="0"/>
          <w:color w:val="111111"/>
          <w:sz w:val="22"/>
          <w:szCs w:val="22"/>
          <w:u w:color="111111"/>
          <w:rtl w:val="0"/>
          <w:lang w:val="en-US"/>
          <w14:textFill>
            <w14:solidFill>
              <w14:srgbClr w14:val="111111"/>
            </w14:solidFill>
          </w14:textFill>
        </w:rPr>
        <w:t>As FDA AI/ML guidance and EU AI Act Article 9 requirements become enforceable, the five-dimensional MTBH scoring and automatic model suspension provide the formal, quantitative, auditable AI trustworthiness evidence that will be demanded. Building it into the process governance architecture now avoids retrofitting it later under regulatory pressure.</w:t>
      </w:r>
    </w:p>
    <w:p>
      <w:pPr>
        <w:pStyle w:val="List Paragraph"/>
        <w:numPr>
          <w:ilvl w:val="0"/>
          <w:numId w:val="2"/>
        </w:numPr>
        <w:spacing w:before="60" w:after="60"/>
        <w:rPr>
          <w:sz w:val="22"/>
          <w:szCs w:val="22"/>
        </w:rPr>
      </w:pPr>
      <w:r>
        <w:rPr>
          <w:rFonts w:ascii="Arial" w:hAnsi="Arial"/>
          <w:b w:val="1"/>
          <w:bCs w:val="1"/>
          <w:outline w:val="0"/>
          <w:color w:val="111111"/>
          <w:sz w:val="22"/>
          <w:szCs w:val="22"/>
          <w:u w:color="111111"/>
          <w:shd w:val="clear" w:color="auto" w:fill="ffff00"/>
          <w:rtl w:val="0"/>
          <w14:textFill>
            <w14:solidFill>
              <w14:srgbClr w14:val="111111"/>
            </w14:solidFill>
          </w14:textFill>
        </w:rPr>
        <w:t xml:space="preserve">Digital Orchestration </w:t>
      </w:r>
      <w:r>
        <w:rPr>
          <w:rFonts w:ascii="Arial" w:hAnsi="Arial" w:hint="default"/>
          <w:b w:val="1"/>
          <w:bCs w:val="1"/>
          <w:outline w:val="0"/>
          <w:color w:val="111111"/>
          <w:sz w:val="22"/>
          <w:szCs w:val="22"/>
          <w:u w:color="111111"/>
          <w:shd w:val="clear" w:color="auto" w:fill="ffff00"/>
          <w:rtl w:val="0"/>
          <w:lang w:val="en-US"/>
          <w14:textFill>
            <w14:solidFill>
              <w14:srgbClr w14:val="111111"/>
            </w14:solidFill>
          </w14:textFill>
        </w:rPr>
        <w:t xml:space="preserve">— </w:t>
      </w:r>
      <w:r>
        <w:rPr>
          <w:rFonts w:ascii="Arial" w:hAnsi="Arial"/>
          <w:b w:val="1"/>
          <w:bCs w:val="1"/>
          <w:outline w:val="0"/>
          <w:color w:val="111111"/>
          <w:sz w:val="22"/>
          <w:szCs w:val="22"/>
          <w:u w:color="111111"/>
          <w:shd w:val="clear" w:color="auto" w:fill="ffff00"/>
          <w:rtl w:val="0"/>
          <w:lang w:val="en-US"/>
          <w14:textFill>
            <w14:solidFill>
              <w14:srgbClr w14:val="111111"/>
            </w14:solidFill>
          </w14:textFill>
        </w:rPr>
        <w:t>not documentation.</w:t>
      </w:r>
      <w:r>
        <w:rPr>
          <w:rFonts w:ascii="Arial" w:hAnsi="Arial"/>
          <w:outline w:val="0"/>
          <w:color w:val="111111"/>
          <w:sz w:val="22"/>
          <w:szCs w:val="22"/>
          <w:u w:color="111111"/>
          <w:rtl w:val="0"/>
          <w:lang w:val="en-US"/>
          <w14:textFill>
            <w14:solidFill>
              <w14:srgbClr w14:val="111111"/>
            </w14:solidFill>
          </w14:textFill>
        </w:rPr>
        <w:t xml:space="preserve"> The architecture does not record what processes did. It governs what processes may do, ensures conformance to that governance, and learns from the gap between the two. This is what Cagle means by Digital Orchestration </w:t>
      </w:r>
      <w:r>
        <w:rPr>
          <w:rFonts w:ascii="Arial" w:hAnsi="Arial" w:hint="default"/>
          <w:outline w:val="0"/>
          <w:color w:val="111111"/>
          <w:sz w:val="22"/>
          <w:szCs w:val="22"/>
          <w:u w:color="111111"/>
          <w:rtl w:val="0"/>
          <w:lang w:val="en-US"/>
          <w14:textFill>
            <w14:solidFill>
              <w14:srgbClr w14:val="111111"/>
            </w14:solidFill>
          </w14:textFill>
        </w:rPr>
        <w:t xml:space="preserve">— </w:t>
      </w:r>
      <w:r>
        <w:rPr>
          <w:rFonts w:ascii="Arial" w:hAnsi="Arial"/>
          <w:outline w:val="0"/>
          <w:color w:val="111111"/>
          <w:sz w:val="22"/>
          <w:szCs w:val="22"/>
          <w:u w:color="111111"/>
          <w:rtl w:val="0"/>
          <w:lang w:val="en-US"/>
          <w14:textFill>
            <w14:solidFill>
              <w14:srgbClr w14:val="111111"/>
            </w14:solidFill>
          </w14:textFill>
        </w:rPr>
        <w:t>and it is the capability that positions Baxter's R&amp;D as a trusted source for ideas and new products, because every idea is traceable, every process is reproducible, and every output is defensible.</w:t>
      </w:r>
    </w:p>
    <w:p>
      <w:pPr>
        <w:pStyle w:val="List Paragraph"/>
        <w:spacing w:before="60" w:after="60"/>
      </w:pPr>
    </w:p>
    <w:p>
      <w:pPr>
        <w:pStyle w:val="List Paragraph"/>
        <w:spacing w:before="60" w:after="60"/>
      </w:pPr>
    </w:p>
    <w:p>
      <w:pPr>
        <w:pStyle w:val="List Paragraph"/>
        <w:spacing w:before="60" w:after="60"/>
      </w:pPr>
      <w:r>
        <w:rPr>
          <w:rFonts w:ascii="Arial" w:hAnsi="Arial"/>
          <w:outline w:val="0"/>
          <w:color w:val="595959"/>
          <w:sz w:val="18"/>
          <w:szCs w:val="18"/>
          <w:u w:color="595959"/>
          <w:rtl w:val="0"/>
          <w:lang w:val="en-US"/>
          <w14:textFill>
            <w14:solidFill>
              <w14:srgbClr w14:val="595959"/>
            </w14:solidFill>
          </w14:textFill>
        </w:rPr>
        <w:t xml:space="preserve">The Value Enablement Group, LLC  </w:t>
      </w:r>
      <w:r>
        <w:rPr>
          <w:rFonts w:ascii="Arial" w:hAnsi="Arial" w:hint="default"/>
          <w:outline w:val="0"/>
          <w:color w:val="595959"/>
          <w:sz w:val="18"/>
          <w:szCs w:val="18"/>
          <w:u w:color="595959"/>
          <w:rtl w:val="0"/>
          <w14:textFill>
            <w14:solidFill>
              <w14:srgbClr w14:val="595959"/>
            </w14:solidFill>
          </w14:textFill>
        </w:rPr>
        <w:t xml:space="preserve">·  </w:t>
      </w:r>
      <w:r>
        <w:rPr>
          <w:rFonts w:ascii="Arial" w:hAnsi="Arial"/>
          <w:outline w:val="0"/>
          <w:color w:val="595959"/>
          <w:sz w:val="18"/>
          <w:szCs w:val="18"/>
          <w:u w:color="595959"/>
          <w:rtl w:val="0"/>
          <w:lang w:val="de-DE"/>
          <w14:textFill>
            <w14:solidFill>
              <w14:srgbClr w14:val="595959"/>
            </w14:solidFill>
          </w14:textFill>
        </w:rPr>
        <w:t xml:space="preserve">Jeffrey Wallk  </w:t>
      </w:r>
      <w:r>
        <w:rPr>
          <w:rFonts w:ascii="Arial" w:hAnsi="Arial" w:hint="default"/>
          <w:outline w:val="0"/>
          <w:color w:val="595959"/>
          <w:sz w:val="18"/>
          <w:szCs w:val="18"/>
          <w:u w:color="595959"/>
          <w:rtl w:val="0"/>
          <w14:textFill>
            <w14:solidFill>
              <w14:srgbClr w14:val="595959"/>
            </w14:solidFill>
          </w14:textFill>
        </w:rPr>
        <w:t xml:space="preserve">·  </w:t>
      </w:r>
      <w:r>
        <w:rPr>
          <w:rFonts w:ascii="Arial" w:hAnsi="Arial"/>
          <w:outline w:val="0"/>
          <w:color w:val="595959"/>
          <w:sz w:val="18"/>
          <w:szCs w:val="18"/>
          <w:u w:color="595959"/>
          <w:rtl w:val="0"/>
          <w:lang w:val="en-US"/>
          <w14:textFill>
            <w14:solidFill>
              <w14:srgbClr w14:val="595959"/>
            </w14:solidFill>
          </w14:textFill>
        </w:rPr>
        <w:t>May 2026</w:t>
      </w:r>
    </w:p>
    <w:p>
      <w:pPr>
        <w:pStyle w:val="List Paragraph"/>
        <w:spacing w:before="60" w:after="60"/>
      </w:pPr>
      <w:r>
        <w:rPr>
          <w:rFonts w:ascii="Arial" w:hAnsi="Arial"/>
          <w:b w:val="1"/>
          <w:bCs w:val="1"/>
          <w:outline w:val="0"/>
          <w:color w:val="595959"/>
          <w:sz w:val="18"/>
          <w:szCs w:val="18"/>
          <w:u w:color="595959"/>
          <w:rtl w:val="0"/>
          <w:lang w:val="en-US"/>
          <w14:textFill>
            <w14:solidFill>
              <w14:srgbClr w14:val="595959"/>
            </w14:solidFill>
          </w14:textFill>
        </w:rPr>
        <w:t xml:space="preserve">CONFIDENTIAL </w:t>
      </w:r>
      <w:r>
        <w:rPr>
          <w:rFonts w:ascii="Arial" w:hAnsi="Arial" w:hint="default"/>
          <w:b w:val="1"/>
          <w:bCs w:val="1"/>
          <w:outline w:val="0"/>
          <w:color w:val="595959"/>
          <w:sz w:val="18"/>
          <w:szCs w:val="18"/>
          <w:u w:color="595959"/>
          <w:rtl w:val="0"/>
          <w:lang w:val="en-US"/>
          <w14:textFill>
            <w14:solidFill>
              <w14:srgbClr w14:val="595959"/>
            </w14:solidFill>
          </w14:textFill>
        </w:rPr>
        <w:t xml:space="preserve">— </w:t>
      </w:r>
      <w:r>
        <w:rPr>
          <w:rFonts w:ascii="Arial" w:hAnsi="Arial"/>
          <w:b w:val="1"/>
          <w:bCs w:val="1"/>
          <w:outline w:val="0"/>
          <w:color w:val="595959"/>
          <w:sz w:val="18"/>
          <w:szCs w:val="18"/>
          <w:u w:color="595959"/>
          <w:rtl w:val="0"/>
          <w:lang w:val="en-US"/>
          <w14:textFill>
            <w14:solidFill>
              <w14:srgbClr w14:val="595959"/>
            </w14:solidFill>
          </w14:textFill>
        </w:rPr>
        <w:t>Baxter Healthcare and TVE Group Internal Use Only</w:t>
      </w:r>
    </w:p>
    <w:sectPr>
      <w:headerReference w:type="default" r:id="rId10"/>
      <w:footerReference w:type="default" r:id="rId11"/>
      <w:pgSz w:w="12240" w:h="15840" w:orient="portrait"/>
      <w:pgMar w:top="1260" w:right="1260" w:bottom="126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6"/>
        <w:szCs w:val="16"/>
        <w:u w:color="595959"/>
        <w:rtl w:val="0"/>
        <w:lang w:val="en-US"/>
        <w14:textFill>
          <w14:solidFill>
            <w14:srgbClr w14:val="595959"/>
          </w14:solidFill>
        </w14:textFill>
      </w:rPr>
      <w:t xml:space="preserve">The Value Enablement Group, LLC  </w:t>
    </w:r>
    <w:r>
      <w:rPr>
        <w:rFonts w:ascii="Arial" w:hAnsi="Arial" w:hint="default"/>
        <w:outline w:val="0"/>
        <w:color w:val="595959"/>
        <w:sz w:val="16"/>
        <w:szCs w:val="16"/>
        <w:u w:color="595959"/>
        <w:rtl w:val="0"/>
        <w14:textFill>
          <w14:solidFill>
            <w14:srgbClr w14:val="595959"/>
          </w14:solidFill>
        </w14:textFill>
      </w:rPr>
      <w:t xml:space="preserve">·  </w:t>
    </w:r>
    <w:r>
      <w:rPr>
        <w:rFonts w:ascii="Arial" w:hAnsi="Arial"/>
        <w:outline w:val="0"/>
        <w:color w:val="595959"/>
        <w:sz w:val="16"/>
        <w:szCs w:val="16"/>
        <w:u w:color="595959"/>
        <w:rtl w:val="0"/>
        <w:lang w:val="en-US"/>
        <w14:textFill>
          <w14:solidFill>
            <w14:srgbClr w14:val="595959"/>
          </w14:solidFill>
        </w14:textFill>
      </w:rPr>
      <w:t>Jeffrey Wallk</w:t>
      <w:tab/>
      <w:t>May 2026</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6"/>
        <w:szCs w:val="16"/>
        <w:u w:color="595959"/>
        <w:rtl w:val="0"/>
        <w:lang w:val="en-US"/>
        <w14:textFill>
          <w14:solidFill>
            <w14:srgbClr w14:val="595959"/>
          </w14:solidFill>
        </w14:textFill>
      </w:rPr>
      <w:t xml:space="preserve">Baxter Healthcare  </w:t>
    </w:r>
    <w:r>
      <w:rPr>
        <w:rFonts w:ascii="Arial" w:hAnsi="Arial" w:hint="default"/>
        <w:outline w:val="0"/>
        <w:color w:val="595959"/>
        <w:sz w:val="16"/>
        <w:szCs w:val="16"/>
        <w:u w:color="595959"/>
        <w:rtl w:val="0"/>
        <w14:textFill>
          <w14:solidFill>
            <w14:srgbClr w14:val="595959"/>
          </w14:solidFill>
        </w14:textFill>
      </w:rPr>
      <w:t xml:space="preserve">·  </w:t>
    </w:r>
    <w:r>
      <w:rPr>
        <w:rFonts w:ascii="Arial" w:hAnsi="Arial"/>
        <w:outline w:val="0"/>
        <w:color w:val="595959"/>
        <w:sz w:val="16"/>
        <w:szCs w:val="16"/>
        <w:u w:color="595959"/>
        <w:rtl w:val="0"/>
        <w:lang w:val="en-US"/>
        <w14:textFill>
          <w14:solidFill>
            <w14:srgbClr w14:val="595959"/>
          </w14:solidFill>
        </w14:textFill>
      </w:rPr>
      <w:t>Process in the Holonic Semantic Architecture</w:t>
    </w:r>
    <w:r>
      <w:rPr>
        <w:rFonts w:ascii="Arial" w:cs="Arial" w:hAnsi="Arial" w:eastAsia="Arial"/>
        <w:b w:val="1"/>
        <w:bCs w:val="1"/>
        <w:outline w:val="0"/>
        <w:color w:val="595959"/>
        <w:sz w:val="16"/>
        <w:szCs w:val="16"/>
        <w:u w:color="595959"/>
        <w:rtl w:val="0"/>
        <w14:textFill>
          <w14:solidFill>
            <w14:srgbClr w14:val="595959"/>
          </w14:solidFill>
        </w14:textFill>
      </w:rPr>
      <w:tab/>
      <w:t>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0055cc"/>
        <w:spacing w:val="0"/>
        <w:w w:val="100"/>
        <w:kern w:val="0"/>
        <w:position w:val="0"/>
        <w:highlight w:val="none"/>
        <w:vertAlign w:val="baseline"/>
      </w:rPr>
    </w:lvl>
    <w:lvl w:ilvl="1">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0055cc"/>
        <w:spacing w:val="0"/>
        <w:w w:val="100"/>
        <w:kern w:val="0"/>
        <w:position w:val="0"/>
        <w:highlight w:val="none"/>
        <w:vertAlign w:val="baseline"/>
      </w:rPr>
    </w:lvl>
    <w:lvl w:ilvl="2">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0055cc"/>
        <w:spacing w:val="0"/>
        <w:w w:val="100"/>
        <w:kern w:val="0"/>
        <w:position w:val="0"/>
        <w:highlight w:val="none"/>
        <w:vertAlign w:val="baseline"/>
      </w:rPr>
    </w:lvl>
    <w:lvl w:ilvl="3">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0055cc"/>
        <w:spacing w:val="0"/>
        <w:w w:val="100"/>
        <w:kern w:val="0"/>
        <w:position w:val="0"/>
        <w:highlight w:val="none"/>
        <w:vertAlign w:val="baseline"/>
      </w:rPr>
    </w:lvl>
    <w:lvl w:ilvl="4">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0055cc"/>
        <w:spacing w:val="0"/>
        <w:w w:val="100"/>
        <w:kern w:val="0"/>
        <w:position w:val="0"/>
        <w:highlight w:val="none"/>
        <w:vertAlign w:val="baseline"/>
      </w:rPr>
    </w:lvl>
    <w:lvl w:ilvl="5">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0055cc"/>
        <w:spacing w:val="0"/>
        <w:w w:val="100"/>
        <w:kern w:val="0"/>
        <w:position w:val="0"/>
        <w:highlight w:val="none"/>
        <w:vertAlign w:val="baseline"/>
      </w:rPr>
    </w:lvl>
    <w:lvl w:ilvl="6">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0055cc"/>
        <w:spacing w:val="0"/>
        <w:w w:val="100"/>
        <w:kern w:val="0"/>
        <w:position w:val="0"/>
        <w:highlight w:val="none"/>
        <w:vertAlign w:val="baseline"/>
      </w:rPr>
    </w:lvl>
    <w:lvl w:ilvl="7">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0055cc"/>
        <w:spacing w:val="0"/>
        <w:w w:val="100"/>
        <w:kern w:val="0"/>
        <w:position w:val="0"/>
        <w:highlight w:val="none"/>
        <w:vertAlign w:val="baseline"/>
      </w:rPr>
    </w:lvl>
    <w:lvl w:ilvl="8">
      <w:start w:val="1"/>
      <w:numFmt w:val="bullet"/>
      <w:suff w:val="tab"/>
      <w:lvlText w:val="•"/>
      <w:lvlJc w:val="left"/>
      <w:pPr>
        <w:ind w:left="611" w:hanging="291"/>
      </w:pPr>
      <w:rPr>
        <w:rFonts w:ascii="Arial" w:cs="Arial" w:hAnsi="Arial" w:eastAsia="Arial"/>
        <w:b w:val="0"/>
        <w:bCs w:val="0"/>
        <w:i w:val="0"/>
        <w:iCs w:val="0"/>
        <w:caps w:val="0"/>
        <w:smallCaps w:val="0"/>
        <w:strike w:val="0"/>
        <w:dstrike w:val="0"/>
        <w:outline w:val="0"/>
        <w:emboss w:val="0"/>
        <w:imprint w:val="0"/>
        <w:color w:val="0055cc"/>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3087"/>
      <w:spacing w:val="0"/>
      <w:kern w:val="0"/>
      <w:position w:val="0"/>
      <w:sz w:val="32"/>
      <w:szCs w:val="32"/>
      <w:u w:val="none" w:color="003087"/>
      <w:shd w:val="nil" w:color="auto" w:fill="auto"/>
      <w:vertAlign w:val="baseline"/>
      <w:lang w:val="en-US"/>
      <w14:textOutline>
        <w14:noFill/>
      </w14:textOutline>
      <w14:textFill>
        <w14:solidFill>
          <w14:srgbClr w14:val="003087"/>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70c0"/>
      <w:spacing w:val="0"/>
      <w:kern w:val="0"/>
      <w:position w:val="0"/>
      <w:sz w:val="26"/>
      <w:szCs w:val="26"/>
      <w:u w:val="none" w:color="0070c0"/>
      <w:shd w:val="nil" w:color="auto" w:fill="auto"/>
      <w:vertAlign w:val="baseline"/>
      <w:lang w:val="en-US"/>
      <w14:textOutline>
        <w14:noFill/>
      </w14:textOutline>
      <w14:textFill>
        <w14:solidFill>
          <w14:srgbClr w14:val="0070C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