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28"/>
          <w:szCs w:val="28"/>
        </w:rPr>
        <w:t xml:space="preserve">HOLLISTER INCORPORATED</w:t>
      </w:r>
    </w:p>
    <w:p>
      <w:pPr>
        <w:spacing w:after="60"/>
        <w:jc w:val="center"/>
      </w:pPr>
      <w:r>
        <w:rPr>
          <w:rFonts w:ascii="Arial" w:cs="Arial" w:eastAsia="Arial" w:hAnsi="Arial"/>
          <w:b/>
          <w:bCs/>
          <w:color w:val="1B4F72"/>
          <w:sz w:val="48"/>
          <w:szCs w:val="48"/>
        </w:rPr>
        <w:t xml:space="preserve">The Challenge of Managing Change</w:t>
      </w:r>
    </w:p>
    <w:p>
      <w:pPr>
        <w:spacing w:after="40"/>
        <w:jc w:val="center"/>
      </w:pPr>
      <w:r>
        <w:rPr>
          <w:rFonts w:ascii="Arial" w:cs="Arial" w:eastAsia="Arial" w:hAnsi="Arial"/>
          <w:color w:val="2C3E50"/>
          <w:sz w:val="36"/>
          <w:szCs w:val="36"/>
        </w:rPr>
        <w:t xml:space="preserve">Across the Manufacturing Digital Ecosystem</w:t>
      </w:r>
    </w:p>
    <w:p>
      <w:pPr>
        <w:spacing w:after="300"/>
        <w:jc w:val="center"/>
      </w:pPr>
      <w:r>
        <w:rPr>
          <w:rFonts w:ascii="Arial" w:cs="Arial" w:eastAsia="Arial" w:hAnsi="Arial"/>
          <w:i/>
          <w:iCs/>
          <w:color w:val="2C3E50"/>
          <w:sz w:val="24"/>
          <w:szCs w:val="24"/>
        </w:rPr>
        <w:t xml:space="preserve">Impact Analysis: MES, QMS, Compliance, and Digital Asset Lifecycles</w:t>
      </w:r>
    </w:p>
    <w:p>
      <w:pPr>
        <w:pBdr>
          <w:top w:val="single" w:color="1B4F72" w:sz="6" w:space="8"/>
        </w:pBdr>
        <w:spacing w:after="60"/>
        <w:jc w:val="center"/>
      </w:pPr>
      <w:r>
        <w:rPr>
          <w:sz w:val="10"/>
          <w:szCs w:val="10"/>
        </w:rPr>
        <w:t xml:space="preserve"> </w:t>
      </w:r>
    </w:p>
    <w:p>
      <w:pPr>
        <w:spacing w:after="60"/>
        <w:jc w:val="center"/>
      </w:pPr>
      <w:r>
        <w:rPr>
          <w:rFonts w:ascii="Arial" w:cs="Arial" w:eastAsia="Arial" w:hAnsi="Arial"/>
          <w:color w:val="2C3E50"/>
          <w:sz w:val="22"/>
          <w:szCs w:val="22"/>
        </w:rPr>
        <w:t xml:space="preserve">Companion to: Digital Manufacturing Footprint Solution Architecture</w:t>
      </w:r>
    </w:p>
    <w:p>
      <w:pPr>
        <w:spacing w:after="60"/>
        <w:jc w:val="center"/>
      </w:pPr>
      <w:r>
        <w:rPr>
          <w:rFonts w:ascii="Arial" w:cs="Arial" w:eastAsia="Arial" w:hAnsi="Arial"/>
          <w:sz w:val="22"/>
          <w:szCs w:val="22"/>
        </w:rPr>
        <w:t xml:space="preserve">Version 1.0 DRAFT  |  February 2026</w:t>
      </w:r>
    </w:p>
    <w:p>
      <w:pPr>
        <w:spacing w:after="60"/>
        <w:jc w:val="center"/>
      </w:pPr>
      <w:r>
        <w:rPr>
          <w:rFonts w:ascii="Arial" w:cs="Arial" w:eastAsia="Arial" w:hAnsi="Arial"/>
          <w:b/>
          <w:bCs/>
          <w:color w:val="C0392B"/>
          <w:sz w:val="22"/>
          <w:szCs w:val="22"/>
        </w:rPr>
        <w:t xml:space="preserve">Classification: CONFIDENTIAL</w:t>
      </w:r>
    </w:p>
    <w:p>
      <w:pPr>
        <w:spacing w:after="200"/>
      </w:pPr>
    </w:p>
    <w:p>
      <w:pPr>
        <w:spacing w:after="200"/>
      </w:pPr>
    </w:p>
    <w:p>
      <w:pPr>
        <w:spacing w:after="200"/>
      </w:pPr>
    </w:p>
    <w:p>
      <w:pPr>
        <w:spacing w:after="200"/>
      </w:pPr>
    </w:p>
    <w:p>
      <w:pPr>
        <w:jc w:val="center"/>
      </w:pPr>
      <w:r>
        <w:rPr>
          <w:rFonts w:ascii="Arial" w:cs="Arial" w:eastAsia="Arial" w:hAnsi="Arial"/>
          <w:i/>
          <w:iCs/>
          <w:sz w:val="20"/>
          <w:szCs w:val="20"/>
        </w:rPr>
        <w:t xml:space="preserve">Scope: Inventory, Products, Operations, Order Variability, Variance &amp; Volume,</w:t>
      </w:r>
    </w:p>
    <w:p>
      <w:pPr>
        <w:jc w:val="center"/>
      </w:pPr>
      <w:r>
        <w:rPr>
          <w:rFonts w:ascii="Arial" w:cs="Arial" w:eastAsia="Arial" w:hAnsi="Arial"/>
          <w:i/>
          <w:iCs/>
          <w:sz w:val="20"/>
          <w:szCs w:val="20"/>
        </w:rPr>
        <w:t xml:space="preserve">Environment, Technology — from Raw Data through AI Model Governance</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1. The Fundamental Problem: Change is the Only Constant</w:t>
      </w:r>
    </w:p>
    <w:p>
      <w:pPr>
        <w:spacing w:after="120"/>
      </w:pPr>
      <w:r>
        <w:rPr>
          <w:rFonts w:ascii="Arial" w:cs="Arial" w:eastAsia="Arial" w:hAnsi="Arial"/>
          <w:sz w:val="22"/>
          <w:szCs w:val="22"/>
        </w:rPr>
        <w:t xml:space="preserve">In a cGMP-regulated medical device manufacturing environment, every change—no matter how small—has the potential to invalidate a validated state, introduce an undetected quality risk, or create a compliance gap that surfaces months or years later during an audit or, worse, through a field failure. The challenge is not that change occurs; it is that change propagates across tightly coupled systems in ways that are frequently invisible, asynchronous, and nonlinear.</w:t>
      </w:r>
    </w:p>
    <w:p>
      <w:pPr>
        <w:spacing w:after="200"/>
      </w:pPr>
    </w:p>
    <w:p>
      <w:pPr>
        <w:spacing w:after="120"/>
      </w:pPr>
      <w:r>
        <w:rPr>
          <w:rFonts w:ascii="Arial" w:cs="Arial" w:eastAsia="Arial" w:hAnsi="Arial"/>
          <w:sz w:val="22"/>
          <w:szCs w:val="22"/>
        </w:rPr>
        <w:t xml:space="preserve">This document catalogs the specific challenges of managing change across seven dimensions—inventory, products, operations, order variability, variance and volume, environment, and technology—and maps their impact to MES, QMS, compliance, and the full lifecycle of digital assets from raw sensor data through trained AI models. It is intended as a companion to the Hollister Digital Manufacturing Footprint Solution Architecture, providing the risk landscape that the architecture must mitigate.</w:t>
      </w:r>
    </w:p>
    <w:p>
      <w:pPr>
        <w:spacing w:after="200"/>
      </w:pPr>
    </w:p>
    <w:p>
      <w:pPr>
        <w:spacing w:after="120"/>
      </w:pPr>
      <w:r>
        <w:rPr>
          <w:rFonts w:ascii="Arial" w:cs="Arial" w:eastAsia="Arial" w:hAnsi="Arial"/>
          <w:b/>
          <w:bCs/>
          <w:sz w:val="22"/>
          <w:szCs w:val="22"/>
        </w:rPr>
        <w:t xml:space="preserve">The Core Paradox: </w:t>
      </w:r>
      <w:r>
        <w:rPr>
          <w:rFonts w:ascii="Arial" w:cs="Arial" w:eastAsia="Arial" w:hAnsi="Arial"/>
          <w:sz w:val="22"/>
          <w:szCs w:val="22"/>
        </w:rPr>
        <w:t xml:space="preserve">Medical device manufacturing demands both stability (validated, controlled, repeatable processes) and agility (new products, changing regulations, market responsiveness, Manufacturing on Demand). Every architectural decision exists in the tension between these two imperatives. The systems that enforce stability are the same systems that must accommodate change—and the failure mode is almost always that change outruns the organization's ability to manage it.</w:t>
      </w:r>
    </w:p>
    <w:p>
      <w:r>
        <w:br w:type="page"/>
      </w:r>
    </w:p>
    <w:p>
      <w:pPr>
        <w:pStyle w:val="Heading1"/>
        <w:spacing w:before="300" w:after="150"/>
      </w:pPr>
      <w:r>
        <w:t xml:space="preserve">2. Inventory Change: The Silent Destabilizer</w:t>
      </w:r>
    </w:p>
    <w:p>
      <w:pPr>
        <w:pStyle w:val="Heading2"/>
        <w:spacing w:before="300" w:after="150"/>
      </w:pPr>
      <w:r>
        <w:t xml:space="preserve">2.1 The Nature of Inventory Change</w:t>
      </w:r>
    </w:p>
    <w:p>
      <w:pPr>
        <w:spacing w:after="120"/>
      </w:pPr>
      <w:r>
        <w:rPr>
          <w:rFonts w:ascii="Arial" w:cs="Arial" w:eastAsia="Arial" w:hAnsi="Arial"/>
          <w:sz w:val="22"/>
          <w:szCs w:val="22"/>
        </w:rPr>
        <w:t xml:space="preserve">Inventory change encompasses raw material substitutions, supplier changes, lot-to-lot variability in incoming materials, shelf-life expirations, storage condition deviations, and the introduction of new materials for new products. In medical device manufacturing, materials are not fungible commodities—each approved material is a specification-controlled input whose characteristics directly affect product quality and patient safety.</w:t>
      </w:r>
    </w:p>
    <w:p>
      <w:pPr>
        <w:spacing w:after="200"/>
      </w:pPr>
    </w:p>
    <w:p>
      <w:pPr>
        <w:pStyle w:val="Heading2"/>
        <w:spacing w:before="300" w:after="150"/>
      </w:pPr>
      <w:r>
        <w:t xml:space="preserve">2.2 Challenges and System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160"/>
        <w:gridCol w:w="18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Supplier Change (same spec)</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New supplier may meet specification but exhibit different process behavior (e.g., different melt flow index within spec range alters molding parameters)</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Recipe parameters may need adjustment; OEE drops until retuned; batch records must capture supplier lot traceability</w:t>
            </w:r>
          </w:p>
        </w:tc>
        <w:tc>
          <w:tcPr>
            <w:tcW w:type="dxa" w:w="21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Supplier qualification required (IQ/OQ for incoming material); approved supplier list update; risk assessment per ISO 14971</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Undocumented supplier change is a major FDA 483 finding; requires prior approval per 21 CFR 820.50</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Lot-to-Lot Variability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Natural variation in raw material properties within specification causes process drift on the manufacturing line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SPC charts shift; adaptive recipe adjustment needed; potential increase in scrap/rework that MES must track</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Incoming inspection may not detect variation if testing is sampling-based; CAPA triggered if yield drops below threshold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Acceptable if within validated ranges; HIGH if process operates near edge of validated space</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Material Substitution (spec change)</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Regulatory, cost, or availability drives substitution to a different material requiring revalidation</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New BOM version; new recipe development; full IQ/OQ/PQ cycle; parallel production during transition</w:t>
            </w:r>
          </w:p>
        </w:tc>
        <w:tc>
          <w:tcPr>
            <w:tcW w:type="dxa" w:w="21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Design change per 21 CFR 820.30; updated risk analysis; biocompatibility reassessment; regulatory filing if Class II/III</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Requires full change control with regulatory assessment; potential 510(k) supplement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Shelf Life / Expiration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Materials expire in inventory; work-in-progress may exceed in-process hold times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 must enforce FIFO and expiration checking at point-of-use; reject expired materials; hold time tracking for WIP</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Deviation required if expired material is used inadvertently; investigation into how controls failed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Use of expired materials is a cGMP violation; may require batch disposition and patient notification</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Storage Condition Excursion</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Temperature, humidity, or contamination excursion in warehouse or staging area</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MES receives EMS alarm; affected lots flagged; potentially locked out of production pending disposition</w:t>
            </w:r>
          </w:p>
        </w:tc>
        <w:tc>
          <w:tcPr>
            <w:tcW w:type="dxa" w:w="21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Deviation investigation; stability assessment; potential batch rejection; supplier notification if pre-receipt</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Environmental excursion affecting material integrity must be investigated per CAPA; documented in Annual Product Review</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Material Introduction (new product)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Entirely new material entering the supply chain for a new product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material master data; new BOM; new recipe; new inspection plans; new storage requirements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qualification pathway: incoming spec development, sampling plan, supplier audit, process validation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If managed through standard NPI process; HIGH if accelerated without full validation</w:t>
            </w:r>
          </w:p>
        </w:tc>
      </w:tr>
    </w:tbl>
    <w:p>
      <w:pPr>
        <w:spacing w:after="200"/>
      </w:pPr>
    </w:p>
    <w:p>
      <w:pPr>
        <w:pStyle w:val="Heading2"/>
        <w:spacing w:before="300" w:after="150"/>
      </w:pPr>
      <w:r>
        <w:t xml:space="preserve">2.3 Digital Asset Lifecycle Impact</w:t>
      </w:r>
    </w:p>
    <w:p>
      <w:pPr>
        <w:spacing w:after="120"/>
      </w:pPr>
      <w:r>
        <w:rPr>
          <w:rFonts w:ascii="Arial" w:cs="Arial" w:eastAsia="Arial" w:hAnsi="Arial"/>
          <w:sz w:val="22"/>
          <w:szCs w:val="22"/>
        </w:rPr>
        <w:t xml:space="preserve">Inventory changes create cascading effects on digital assets:</w:t>
      </w:r>
    </w:p>
    <w:p>
      <w:pPr>
        <w:pStyle w:val="ListParagraph"/>
        <w:numPr>
          <w:ilvl w:val="0"/>
          <w:numId w:val="2"/>
        </w:numPr>
        <w:spacing w:after="60"/>
      </w:pPr>
      <w:r>
        <w:rPr>
          <w:rFonts w:ascii="Arial" w:cs="Arial" w:eastAsia="Arial" w:hAnsi="Arial"/>
          <w:b/>
          <w:bCs/>
          <w:sz w:val="22"/>
          <w:szCs w:val="22"/>
        </w:rPr>
        <w:t xml:space="preserve">Historian Data Continuity: </w:t>
      </w:r>
      <w:r>
        <w:rPr>
          <w:rFonts w:ascii="Arial" w:cs="Arial" w:eastAsia="Arial" w:hAnsi="Arial"/>
          <w:sz w:val="22"/>
          <w:szCs w:val="22"/>
        </w:rPr>
        <w:t xml:space="preserve">When a material changes, historical process data becomes context-dependent. A machine learning model trained on Process A with Material X may not be valid for Material Y, even if both meet the same specification. Without material lot metadata tagged to every historian record, the training data is contaminated.</w:t>
      </w:r>
    </w:p>
    <w:p>
      <w:pPr>
        <w:pStyle w:val="ListParagraph"/>
        <w:numPr>
          <w:ilvl w:val="0"/>
          <w:numId w:val="2"/>
        </w:numPr>
        <w:spacing w:after="60"/>
      </w:pPr>
      <w:r>
        <w:rPr>
          <w:rFonts w:ascii="Arial" w:cs="Arial" w:eastAsia="Arial" w:hAnsi="Arial"/>
          <w:b/>
          <w:bCs/>
          <w:sz w:val="22"/>
          <w:szCs w:val="22"/>
        </w:rPr>
        <w:t xml:space="preserve">AI/ML Model Validity: </w:t>
      </w:r>
      <w:r>
        <w:rPr>
          <w:rFonts w:ascii="Arial" w:cs="Arial" w:eastAsia="Arial" w:hAnsi="Arial"/>
          <w:sz w:val="22"/>
          <w:szCs w:val="22"/>
        </w:rPr>
        <w:t xml:space="preserve">Predictive quality models must be retrained or at minimum re-validated when input materials change. The challenge is detecting when material change is significant enough to warrant revalidation—lot-to-lot variation may be within noise, but a supplier change may shift the entire distribution.</w:t>
      </w:r>
    </w:p>
    <w:p>
      <w:pPr>
        <w:pStyle w:val="ListParagraph"/>
        <w:numPr>
          <w:ilvl w:val="0"/>
          <w:numId w:val="2"/>
        </w:numPr>
        <w:spacing w:after="60"/>
      </w:pPr>
      <w:r>
        <w:rPr>
          <w:rFonts w:ascii="Arial" w:cs="Arial" w:eastAsia="Arial" w:hAnsi="Arial"/>
          <w:b/>
          <w:bCs/>
          <w:sz w:val="22"/>
          <w:szCs w:val="22"/>
        </w:rPr>
        <w:t xml:space="preserve">Digital Twin Fidelity: </w:t>
      </w:r>
      <w:r>
        <w:rPr>
          <w:rFonts w:ascii="Arial" w:cs="Arial" w:eastAsia="Arial" w:hAnsi="Arial"/>
          <w:sz w:val="22"/>
          <w:szCs w:val="22"/>
        </w:rPr>
        <w:t xml:space="preserve">The digital twin of a manufacturing line is parameterized to specific material properties. Material changes require twin recalibration, or the twin's predictions diverge from reality—silently producing incorrect optimization recommendations.</w:t>
      </w:r>
    </w:p>
    <w:p>
      <w:pPr>
        <w:pStyle w:val="ListParagraph"/>
        <w:numPr>
          <w:ilvl w:val="0"/>
          <w:numId w:val="2"/>
        </w:numPr>
        <w:spacing w:after="60"/>
      </w:pPr>
      <w:r>
        <w:rPr>
          <w:rFonts w:ascii="Arial" w:cs="Arial" w:eastAsia="Arial" w:hAnsi="Arial"/>
          <w:b/>
          <w:bCs/>
          <w:sz w:val="22"/>
          <w:szCs w:val="22"/>
        </w:rPr>
        <w:t xml:space="preserve">Master Data Integrity: </w:t>
      </w:r>
      <w:r>
        <w:rPr>
          <w:rFonts w:ascii="Arial" w:cs="Arial" w:eastAsia="Arial" w:hAnsi="Arial"/>
          <w:sz w:val="22"/>
          <w:szCs w:val="22"/>
        </w:rPr>
        <w:t xml:space="preserve">Every material change touches the material master, BOM, recipe database, incoming inspection specifications, and supplier records. If these are not synchronized atomically, the system enters an inconsistent state where MES may reference a recipe for a material that QMS has not yet approved.</w:t>
      </w:r>
    </w:p>
    <w:p>
      <w:r>
        <w:br w:type="page"/>
      </w:r>
    </w:p>
    <w:p>
      <w:pPr>
        <w:pStyle w:val="Heading1"/>
        <w:spacing w:before="300" w:after="150"/>
      </w:pPr>
      <w:r>
        <w:t xml:space="preserve">3. Product Change: Design Intent vs. Manufacturing Reality</w:t>
      </w:r>
    </w:p>
    <w:p>
      <w:pPr>
        <w:pStyle w:val="Heading2"/>
        <w:spacing w:before="300" w:after="150"/>
      </w:pPr>
      <w:r>
        <w:t xml:space="preserve">3.1 The Nature of Product Change</w:t>
      </w:r>
    </w:p>
    <w:p>
      <w:pPr>
        <w:spacing w:after="120"/>
      </w:pPr>
      <w:r>
        <w:rPr>
          <w:rFonts w:ascii="Arial" w:cs="Arial" w:eastAsia="Arial" w:hAnsi="Arial"/>
          <w:sz w:val="22"/>
          <w:szCs w:val="22"/>
        </w:rPr>
        <w:t xml:space="preserve">Product change spans the full spectrum from incremental design revisions (drawing updates, tolerance adjustments) through major design changes (new components, different manufacturing processes) to entirely new product introductions. In a medical device company, product change is governed by 21 CFR 820.30 (Design Controls) and involves formal design transfer from R&amp;D to manufacturing—the highest-risk handoff in the product lifecycle.</w:t>
      </w:r>
    </w:p>
    <w:p>
      <w:pPr>
        <w:spacing w:after="200"/>
      </w:pPr>
    </w:p>
    <w:p>
      <w:pPr>
        <w:pStyle w:val="Heading2"/>
        <w:spacing w:before="300" w:after="150"/>
      </w:pPr>
      <w:r>
        <w:t xml:space="preserve">3.2 Challenges and System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960"/>
        <w:gridCol w:w="18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19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Drawing/Spec Revision</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Minor specification change (tolerance, dimension, material grade) must propagate to all downstream systems without disrupting production</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Updated inspection criteria in MES; vision system recipe update; potentially new control limits for SPC</w:t>
            </w:r>
          </w:p>
        </w:tc>
        <w:tc>
          <w:tcPr>
            <w:tcW w:type="dxa" w:w="19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ECO workflow; impact assessment; updated DMR; revision control in document management</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Must demonstrate change was implemented correctly on the floor; risk of old specs persisting in parallel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BOM Change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Component addition, removal, or substitution affecting the manufacturing bill of materials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or revised recipe; station sequence changes; potentially new equipment setup; changeover validation</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Design change documentation; supplier qualification for new components; updated risk analysis; regulatory assessment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BOM changes in Class II/III devices often require regulatory notification or submission</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Change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Manufacturing process modification (new equipment, different sequence, parameter change) for existing product</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Fundamental MES reconfiguration: new routing, new recipe parameters, updated work instructions, new in-process controls</w:t>
            </w:r>
          </w:p>
        </w:tc>
        <w:tc>
          <w:tcPr>
            <w:tcW w:type="dxa" w:w="19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validation (IQ/OQ/PQ) required; updated process FMEA; stability assessment</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Process changes in validated environment require prospective validation before production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Product Introduction (NPI)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Complete tech transfer from R&amp;D to manufacturing of a new product on existing or new equipment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product master, BOM, routing, recipes, inspection plans, packaging specs, serialization; integration testing across all stations</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design transfer package; design review; process validation master plan; verification of all CTQs; regulatory submission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 NPI is the highest-risk change event; compressed timelines create enormous compliance pressure</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Product Discontinuation</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Removing a product from active manufacturing; managing last-time buys, service parts, and regulatory obligations</w:t>
            </w:r>
          </w:p>
        </w:tc>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Recipe archival (must remain retrievable); MES configuration cleanup; equipment reallocation</w:t>
            </w:r>
          </w:p>
        </w:tc>
        <w:tc>
          <w:tcPr>
            <w:tcW w:type="dxa" w:w="19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Last lot disposition; regulatory notification; complaint handling continuity; DHR retention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Regulatory obligations persist long after manufacturing ceases; must maintain access to historical records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Line Extension / Variant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size, color, configuration of existing product sharing most manufacturing processes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Variant recipe management; MOD complexity increases; scheduling optimization across variants</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Abbreviated validation leveraging platform validation; incremental risk assessment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Risk of assuming more commonality than exists; variant-specific failure modes may be missed</w:t>
            </w:r>
          </w:p>
        </w:tc>
      </w:tr>
    </w:tbl>
    <w:p>
      <w:pPr>
        <w:spacing w:after="200"/>
      </w:pPr>
    </w:p>
    <w:p>
      <w:pPr>
        <w:pStyle w:val="Heading2"/>
        <w:spacing w:before="300" w:after="150"/>
      </w:pPr>
      <w:r>
        <w:t xml:space="preserve">3.3 The PLM-MES Gap: Where Product Changes Die</w:t>
      </w:r>
    </w:p>
    <w:p>
      <w:pPr>
        <w:spacing w:after="120"/>
      </w:pPr>
      <w:r>
        <w:rPr>
          <w:rFonts w:ascii="Arial" w:cs="Arial" w:eastAsia="Arial" w:hAnsi="Arial"/>
          <w:sz w:val="22"/>
          <w:szCs w:val="22"/>
        </w:rPr>
        <w:t xml:space="preserve">The most dangerous failure mode in product change management is the gap between design intent (captured in PLM) and manufacturing execution (managed by MES). This gap manifests in several ways:</w:t>
      </w:r>
    </w:p>
    <w:p>
      <w:pPr>
        <w:pStyle w:val="ListParagraph"/>
        <w:numPr>
          <w:ilvl w:val="0"/>
          <w:numId w:val="2"/>
        </w:numPr>
        <w:spacing w:after="60"/>
      </w:pPr>
      <w:r>
        <w:rPr>
          <w:rFonts w:ascii="Arial" w:cs="Arial" w:eastAsia="Arial" w:hAnsi="Arial"/>
          <w:b/>
          <w:bCs/>
          <w:sz w:val="22"/>
          <w:szCs w:val="22"/>
        </w:rPr>
        <w:t xml:space="preserve">Translation Loss: </w:t>
      </w:r>
      <w:r>
        <w:rPr>
          <w:rFonts w:ascii="Arial" w:cs="Arial" w:eastAsia="Arial" w:hAnsi="Arial"/>
          <w:sz w:val="22"/>
          <w:szCs w:val="22"/>
        </w:rPr>
        <w:t xml:space="preserve">Engineering specifications are expressed in design language (CAD models, GD&amp;T, material specifications). Manufacturing needs process language (machine parameters, tool selections, inspection criteria). The translation from one to the other is where intent gets lost—especially with the interim PLM, which may not have mature integrations to MES.</w:t>
      </w:r>
    </w:p>
    <w:p>
      <w:pPr>
        <w:pStyle w:val="ListParagraph"/>
        <w:numPr>
          <w:ilvl w:val="0"/>
          <w:numId w:val="2"/>
        </w:numPr>
        <w:spacing w:after="60"/>
      </w:pPr>
      <w:r>
        <w:rPr>
          <w:rFonts w:ascii="Arial" w:cs="Arial" w:eastAsia="Arial" w:hAnsi="Arial"/>
          <w:b/>
          <w:bCs/>
          <w:sz w:val="22"/>
          <w:szCs w:val="22"/>
        </w:rPr>
        <w:t xml:space="preserve">Temporal Mismatch: </w:t>
      </w:r>
      <w:r>
        <w:rPr>
          <w:rFonts w:ascii="Arial" w:cs="Arial" w:eastAsia="Arial" w:hAnsi="Arial"/>
          <w:sz w:val="22"/>
          <w:szCs w:val="22"/>
        </w:rPr>
        <w:t xml:space="preserve">Engineering releases a design change, but manufacturing cannot implement until the current production run completes, materials are available, tooling is modified, and operators are trained. During this gap, the system exists in a split state: the approved design is Rev B, but the floor is running Rev A. MES must manage both simultaneously with complete traceability.</w:t>
      </w:r>
    </w:p>
    <w:p>
      <w:pPr>
        <w:pStyle w:val="ListParagraph"/>
        <w:numPr>
          <w:ilvl w:val="0"/>
          <w:numId w:val="2"/>
        </w:numPr>
        <w:spacing w:after="60"/>
      </w:pPr>
      <w:r>
        <w:rPr>
          <w:rFonts w:ascii="Arial" w:cs="Arial" w:eastAsia="Arial" w:hAnsi="Arial"/>
          <w:b/>
          <w:bCs/>
          <w:sz w:val="22"/>
          <w:szCs w:val="22"/>
        </w:rPr>
        <w:t xml:space="preserve">Effectivity Management: </w:t>
      </w:r>
      <w:r>
        <w:rPr>
          <w:rFonts w:ascii="Arial" w:cs="Arial" w:eastAsia="Arial" w:hAnsi="Arial"/>
          <w:sz w:val="22"/>
          <w:szCs w:val="22"/>
        </w:rPr>
        <w:t xml:space="preserve">When does a change take effect? By date? By serial number? By lot? By customer order? Each effectivity model creates different MES and QMS implications. Date-based effectivity creates inventory management challenges (mixing old and new components). Serial-based effectivity requires MES to track every unit against the correct revision.</w:t>
      </w:r>
    </w:p>
    <w:p>
      <w:pPr>
        <w:pStyle w:val="ListParagraph"/>
        <w:numPr>
          <w:ilvl w:val="0"/>
          <w:numId w:val="2"/>
        </w:numPr>
        <w:spacing w:after="60"/>
      </w:pPr>
      <w:r>
        <w:rPr>
          <w:rFonts w:ascii="Arial" w:cs="Arial" w:eastAsia="Arial" w:hAnsi="Arial"/>
          <w:b/>
          <w:bCs/>
          <w:sz w:val="22"/>
          <w:szCs w:val="22"/>
        </w:rPr>
        <w:t xml:space="preserve">Cascade to Digital Assets: </w:t>
      </w:r>
      <w:r>
        <w:rPr>
          <w:rFonts w:ascii="Arial" w:cs="Arial" w:eastAsia="Arial" w:hAnsi="Arial"/>
          <w:sz w:val="22"/>
          <w:szCs w:val="22"/>
        </w:rPr>
        <w:t xml:space="preserve">A product design change invalidates: inspection recipes (vision system must be retrained), SPC control limits (new nominal and tolerance), predictive models (different defect signatures), digital twin parameters (different process physics), and historical analytics baselines (before/after comparison requires change point annotation).</w:t>
      </w:r>
    </w:p>
    <w:p>
      <w:r>
        <w:br w:type="page"/>
      </w:r>
    </w:p>
    <w:p>
      <w:pPr>
        <w:pStyle w:val="Heading1"/>
        <w:spacing w:before="300" w:after="150"/>
      </w:pPr>
      <w:r>
        <w:t xml:space="preserve">4. Operations Change: The Living Factory</w:t>
      </w:r>
    </w:p>
    <w:p>
      <w:pPr>
        <w:pStyle w:val="Heading2"/>
        <w:spacing w:before="300" w:after="150"/>
      </w:pPr>
      <w:r>
        <w:t xml:space="preserve">4.1 The Nature of Operations Change</w:t>
      </w:r>
    </w:p>
    <w:p>
      <w:pPr>
        <w:spacing w:after="120"/>
      </w:pPr>
      <w:r>
        <w:rPr>
          <w:rFonts w:ascii="Arial" w:cs="Arial" w:eastAsia="Arial" w:hAnsi="Arial"/>
          <w:sz w:val="22"/>
          <w:szCs w:val="22"/>
        </w:rPr>
        <w:t xml:space="preserve">Operations change encompasses everything that shifts how the factory runs without necessarily changing what it makes: shift patterns, staffing levels, maintenance schedules, equipment relocation, process optimization, standard operating procedure revisions, and the daily adaptation that keeps a production facility functioning. These changes are often perceived as "routine" but carry cumulative risk that is difficult to detect until it manifests as a quality event.</w:t>
      </w:r>
    </w:p>
    <w:p>
      <w:pPr>
        <w:spacing w:after="200"/>
      </w:pPr>
    </w:p>
    <w:p>
      <w:pPr>
        <w:pStyle w:val="Heading2"/>
        <w:spacing w:before="300" w:after="150"/>
      </w:pPr>
      <w:r>
        <w:t xml:space="preserve">4.2 Challenges and System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60"/>
        <w:gridCol w:w="19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Equipment Maintenance / Repair</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Planned and unplanned maintenance changes equipment state; post-maintenance requalification may be required</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Downtime tracking; OEE impact; post-maintenance verification checklist; potential recipe adjustment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Maintenance records; calibration status; requalification if critical component replaced; CAPA if failure caused quality event</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Must demonstrate equipment returned to validated state; like-for-like vs. change decision is critical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SOP / Work Instruction Revision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Operator procedures evolve based on experience, CAPA, or optimization; must be controlled and trained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Electronic work instructions updated; operator training verification before production; version control</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Document control per 21 CFR 820.40; training records; change assessment; effectivity management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SOP changes seem minor but can accumulate into process drift; untrained operators on new SOPs is a common finding</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Shift Pattern / Staffing Change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Different operators, different supervisors, weekend vs. weekday crews introduce human variability</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Operator authorization checks; skill matrix enforcement; production rate expectations; fatigue management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Training verification; competency assessment; aggregate quality metrics by shift for trend detection</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LOW-MEDIUM: Human variability is expected; becomes HIGH if quality metrics correlate with specific shifts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Process Optimization (CIP)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 improvement initiatives modify parameters within validated ranges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Recipe version increment; A/B comparison tracking; rollback capability if improvement doesn't materialize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Change assessment to determine if optimization stays within validated space; PAT implications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The line between "optimization" and "change" is often blurred; if optimization exceeds validated ranges, full revalidation required</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Equipment Relocation / Layout Change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Moving equipment changes environmental conditions, utility connections, and material flow</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Updated routing; potentially new station configurations; material flow paths; AGV/AMR routing changes</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Risk assessment for new environment; installation verification; potentially OQ requalification</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Equipment relocation in clean room environments almost always requires requalification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Emergency Response / Recovery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Unplanned events (power outage, water intrusion, equipment failure) requiring rapid operational response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Emergency batch holds; deviation logging; equipment lockout; production recovery sequencing</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Deviation investigation; batch impact assessment; CAPA; potentially product recall assessment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 How an organization handles unplanned events reveals the true robustness of its quality system</w:t>
            </w:r>
          </w:p>
        </w:tc>
      </w:tr>
    </w:tbl>
    <w:p>
      <w:pPr>
        <w:spacing w:after="200"/>
      </w:pPr>
    </w:p>
    <w:p>
      <w:pPr>
        <w:pStyle w:val="Heading2"/>
        <w:spacing w:before="300" w:after="150"/>
      </w:pPr>
      <w:r>
        <w:t xml:space="preserve">4.3 The Drift Problem</w:t>
      </w:r>
    </w:p>
    <w:p>
      <w:pPr>
        <w:spacing w:after="120"/>
      </w:pPr>
      <w:r>
        <w:rPr>
          <w:rFonts w:ascii="Arial" w:cs="Arial" w:eastAsia="Arial" w:hAnsi="Arial"/>
          <w:sz w:val="22"/>
          <w:szCs w:val="22"/>
        </w:rPr>
        <w:t xml:space="preserve">Operations change introduces the most insidious form of risk: process drift. Unlike discrete changes (new material, new product, new equipment) that have clear change control triggers, operational drift is the accumulation of hundreds of tiny adjustments—an operator tweak here, a maintenance fix there, a scheduling workaround that becomes permanent—that collectively move the process away from its validated state without anyone recognizing it.</w:t>
      </w:r>
    </w:p>
    <w:p>
      <w:pPr>
        <w:spacing w:after="200"/>
      </w:pPr>
    </w:p>
    <w:p>
      <w:pPr>
        <w:spacing w:after="120"/>
      </w:pPr>
      <w:r>
        <w:rPr>
          <w:rFonts w:ascii="Arial" w:cs="Arial" w:eastAsia="Arial" w:hAnsi="Arial"/>
          <w:sz w:val="22"/>
          <w:szCs w:val="22"/>
        </w:rPr>
        <w:t xml:space="preserve">The digital footprint addresses drift through continuous monitoring (SPC, multivariate analysis, AI-based anomaly detection), but the challenge is defining the baseline against which drift is measured. If the baseline itself has drifted unknowingly, the monitoring system is calibrated against the wrong reference. This is why periodic process revalidation, independent of any triggered change event, remains essential.</w:t>
      </w:r>
    </w:p>
    <w:p>
      <w:r>
        <w:br w:type="page"/>
      </w:r>
    </w:p>
    <w:p>
      <w:pPr>
        <w:pStyle w:val="Heading1"/>
        <w:spacing w:before="300" w:after="150"/>
      </w:pPr>
      <w:r>
        <w:t xml:space="preserve">5. Order Variability: The Demand Signal Whiplash</w:t>
      </w:r>
    </w:p>
    <w:p>
      <w:pPr>
        <w:pStyle w:val="Heading2"/>
        <w:spacing w:before="300" w:after="150"/>
      </w:pPr>
      <w:r>
        <w:t xml:space="preserve">5.1 The Nature of Order Variability</w:t>
      </w:r>
    </w:p>
    <w:p>
      <w:pPr>
        <w:spacing w:after="120"/>
      </w:pPr>
      <w:r>
        <w:rPr>
          <w:rFonts w:ascii="Arial" w:cs="Arial" w:eastAsia="Arial" w:hAnsi="Arial"/>
          <w:sz w:val="22"/>
          <w:szCs w:val="22"/>
        </w:rPr>
        <w:t xml:space="preserve">Order variability includes changes in product mix, order quantity, delivery urgency, customer-specific requirements, and demand forecasting accuracy. For a medical device company like Hollister serving both institutional (hospital systems, home care distributors) and direct-to-consumer channels, order variability is endemic and amplified by reimbursement changes, seasonal patterns, and competitive dynamics.</w:t>
      </w:r>
    </w:p>
    <w:p>
      <w:pPr>
        <w:spacing w:after="200"/>
      </w:pPr>
    </w:p>
    <w:p>
      <w:pPr>
        <w:pStyle w:val="Heading2"/>
        <w:spacing w:before="300" w:after="150"/>
      </w:pPr>
      <w:r>
        <w:t xml:space="preserve">5.2 Challenges and System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60"/>
        <w:gridCol w:w="19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Product Mix Shift</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Demand shifts between product variants faster than planning cycles can accommodate</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Increased changeover frequency; reduced OEE; scheduling optimization vs. delivery commitments</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More changeover events = more opportunities for error; changeover verification compliance load increases</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Changeover-related quality events increase proportionally with changeover frequency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Rush / Emergency Orders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High-priority orders disrupting planned production sequence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Schedule override; partial batch completion; resource reallocation; potential material substitution</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Rush processing may compress quality hold times; testing backlogs; pressure to release before review complete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Time pressure is the enemy of compliance; rush orders are disproportionately represented in quality events</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Demand Forecasting Error</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Forecast inaccuracy driving overproduction (waste, expiration risk) or underproduction (backorder, patient impact)</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Inventory management; warehouse capacity; material procurement timing; production scheduling horizon</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Overproduction strains storage; underproduction creates pressure to cut corners; both affect Annual Product Review metrics</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Demand variability itself is not a compliance issue; the operational response to it often is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Customer-Specific Configuration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Customization requests (labeling, packaging, kitting) for specific customers or markets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 recipe management; customer-specific BOM variants; labeling changeovers; serialization rules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Customer-specific specifications must be controlled; labeling accuracy is a critical compliance requirement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Labeling errors are among the most common medical device recalls; each configuration variant is a potential failure point</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Channel-Specific Requirements</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Different packaging, labeling, regulatory, and documentation requirements for different markets (US vs. EU vs. Asia)</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Market-specific recipes, labels, packaging configurations; regulatory-specific batch record content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Market-specific regulatory requirements (UDI, IVDR, PMDA); documentation sets per market; regulatory submission tracking</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Cross-market compliance is complex; a configuration error can result in non-compliant product reaching a regulated market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 Impact on Batch Sizing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Manufacturing on Demand drives smaller batch sizes and more frequent changeovers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Minimum viable batch economics; setup time as proportion of production time increases; OEE pressure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Smaller batches mean more batch records, more release decisions, more sampling events; QA workload scaling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Quality system must scale with batch frequency, not just volume; understaffed QA under MOD is a risk</w:t>
            </w:r>
          </w:p>
        </w:tc>
      </w:tr>
    </w:tbl>
    <w:p>
      <w:pPr>
        <w:spacing w:after="200"/>
      </w:pPr>
    </w:p>
    <w:p>
      <w:pPr>
        <w:pStyle w:val="Heading2"/>
        <w:spacing w:before="300" w:after="150"/>
      </w:pPr>
      <w:r>
        <w:t xml:space="preserve">5.3 The Scheduling-Quality Tension</w:t>
      </w:r>
    </w:p>
    <w:p>
      <w:pPr>
        <w:spacing w:after="120"/>
      </w:pPr>
      <w:r>
        <w:rPr>
          <w:rFonts w:ascii="Arial" w:cs="Arial" w:eastAsia="Arial" w:hAnsi="Arial"/>
          <w:sz w:val="22"/>
          <w:szCs w:val="22"/>
        </w:rPr>
        <w:t xml:space="preserve">Order variability creates a fundamental tension between scheduling optimization (maximize throughput, minimize changeovers, meet delivery dates) and quality assurance (adequate hold times, complete testing, thorough review). The MES sits at the center of this tension, and the algorithms that optimize production scheduling must have quality constraints as hard boundaries, not soft preferences that can be overridden under delivery pressure. This is a governance challenge as much as a technical one: the change control system must prevent schedule-driven overrides of quality hold times, even when a key customer is waiting.</w:t>
      </w:r>
    </w:p>
    <w:p>
      <w:r>
        <w:br w:type="page"/>
      </w:r>
    </w:p>
    <w:p>
      <w:pPr>
        <w:pStyle w:val="Heading1"/>
        <w:spacing w:before="300" w:after="150"/>
      </w:pPr>
      <w:r>
        <w:t xml:space="preserve">6. Variance &amp; Volume: Statistical Reality vs. Process Ideals</w:t>
      </w:r>
    </w:p>
    <w:p>
      <w:pPr>
        <w:pStyle w:val="Heading2"/>
        <w:spacing w:before="300" w:after="150"/>
      </w:pPr>
      <w:r>
        <w:t xml:space="preserve">6.1 The Nature of Variance and Volume Change</w:t>
      </w:r>
    </w:p>
    <w:p>
      <w:pPr>
        <w:spacing w:after="120"/>
      </w:pPr>
      <w:r>
        <w:rPr>
          <w:rFonts w:ascii="Arial" w:cs="Arial" w:eastAsia="Arial" w:hAnsi="Arial"/>
          <w:sz w:val="22"/>
          <w:szCs w:val="22"/>
        </w:rPr>
        <w:t xml:space="preserve">Variance refers to the natural and assignable variation in process outputs—dimensions, weights, functional performance, appearance—that exists in every manufacturing process. Volume refers to changes in production throughput: ramp-ups for new product launches, ramp-downs for declining products, seasonal fluctuations, and capacity expansions. Both variance and volume interact in nonlinear ways that create challenges for every system in the manufacturing ecosystem.</w:t>
      </w:r>
    </w:p>
    <w:p>
      <w:pPr>
        <w:spacing w:after="200"/>
      </w:pPr>
    </w:p>
    <w:p>
      <w:pPr>
        <w:pStyle w:val="Heading2"/>
        <w:spacing w:before="300" w:after="150"/>
      </w:pPr>
      <w:r>
        <w:t xml:space="preserve">6.2 Challenges and System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60"/>
        <w:gridCol w:w="19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Capability Degradation</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Cpk/Ppk trending downward over time due to equipment wear, tooling degradation, or environmental drift</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SPC alerts; increased inspection frequency; potential lot hold pending investigation; automatic containment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capability review; CAPA if Cpk drops below threshold; revalidation assessment</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Operating with Cpk &lt; 1.0 on a CTQ is a cGMP concern; failure to detect degradation is worse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Volume Ramp-Up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Scaling from pilot/validation quantities to full commercial volume reveals process behaviors not visible at small scale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Line speed changes; multi-shift operation introduces variability; material consumption rate changes; equipment utilization increases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Scale-up validation required; sampling plans must be re-evaluated for higher volumes; new failure modes may emerge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Scale-up is a known risk point; FDA expects documented scale-up validation strategy</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Volume Ramp-Down</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Reducing production volume for declining products; maintaining process control with infrequent production runs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Long gaps between production runs; equipment conditioning after idle; operator familiarity degradation</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drift between runs; calibration status of infrequently used equipment; training currency</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Infrequent production is prone to setup errors and process memory loss; must maintain competency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Multi-Product Variance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Different products on the same line contribute different variance signatures; aggregate line performance masks product-specific issues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Product-specific SPC overlays; changeover-specific monitoring; cross-contamination risk tracking</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Product-specific trending; mixed-product batch analysis; cleaning validation adequacy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Shared equipment must demonstrate no cross-contamination; cleaning validation critical</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Measurement System Variance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Gauge R&amp;R degradation; measurement uncertainty increasing without detection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Measurement data reliability decreases; false accept/reject rates increase; MES makes decisions on unreliable data</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Measurement system requalification; impact assessment on batches measured with degraded systems</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A degraded measurement system that goes undetected means batches were released on unreliable data</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Yield Variance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Unexplained yield fluctuation that does not correlate with any known process parameter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Yield tracking; scrap/rework accounting; material consumption reconciliation; production scheduling impact</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Investigation per deviation procedure; root cause analysis; batch impact assessment; potentially trending CAPA</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Unexplained variance is a regulatory red flag; the inability to explain yield changes suggests insufficient process understanding</w:t>
            </w:r>
          </w:p>
        </w:tc>
      </w:tr>
    </w:tbl>
    <w:p>
      <w:pPr>
        <w:spacing w:after="200"/>
      </w:pPr>
    </w:p>
    <w:p>
      <w:pPr>
        <w:pStyle w:val="Heading2"/>
        <w:spacing w:before="300" w:after="150"/>
      </w:pPr>
      <w:r>
        <w:t xml:space="preserve">6.3 The Volume-Variance Interaction</w:t>
      </w:r>
    </w:p>
    <w:p>
      <w:pPr>
        <w:spacing w:after="120"/>
      </w:pPr>
      <w:r>
        <w:rPr>
          <w:rFonts w:ascii="Arial" w:cs="Arial" w:eastAsia="Arial" w:hAnsi="Arial"/>
          <w:sz w:val="22"/>
          <w:szCs w:val="22"/>
        </w:rPr>
        <w:t xml:space="preserve">Volume and variance are not independent. As production volume increases, variance often shifts—not necessarily increases, but changes character. Equipment operating at 95% capacity behaves differently than at 60%. Continuous production maintains thermal equilibrium; start-stop production introduces transient states. Higher throughput means less time for in-process inspection, shifting the quality strategy from detection to prevention. The digital footprint must model these interactions explicitly, and the AI systems trained on one volume regime cannot be blindly trusted at another.</w:t>
      </w:r>
    </w:p>
    <w:p>
      <w:r>
        <w:br w:type="page"/>
      </w:r>
    </w:p>
    <w:p>
      <w:pPr>
        <w:pStyle w:val="Heading1"/>
        <w:spacing w:before="300" w:after="150"/>
      </w:pPr>
      <w:r>
        <w:t xml:space="preserve">7. Environmental Change: The Invisible Variable</w:t>
      </w:r>
    </w:p>
    <w:p>
      <w:pPr>
        <w:pStyle w:val="Heading2"/>
        <w:spacing w:before="300" w:after="150"/>
      </w:pPr>
      <w:r>
        <w:t xml:space="preserve">7.1 The Nature of Environmental Change</w:t>
      </w:r>
    </w:p>
    <w:p>
      <w:pPr>
        <w:spacing w:after="120"/>
      </w:pPr>
      <w:r>
        <w:rPr>
          <w:rFonts w:ascii="Arial" w:cs="Arial" w:eastAsia="Arial" w:hAnsi="Arial"/>
          <w:sz w:val="22"/>
          <w:szCs w:val="22"/>
        </w:rPr>
        <w:t xml:space="preserve">Environmental change encompasses both the physical environment (temperature, humidity, particulate levels, vibration, electromagnetic interference) and the regulatory/business environment (new regulations, market requirements, competitive pressures, geopolitical disruptions). In clean room manufacturing, the physical environment is a controlled process input; in the regulatory landscape, the business environment is an inescapable operating constraint. Both are constantly changing.</w:t>
      </w:r>
    </w:p>
    <w:p>
      <w:pPr>
        <w:spacing w:after="200"/>
      </w:pPr>
    </w:p>
    <w:p>
      <w:pPr>
        <w:pStyle w:val="Heading2"/>
        <w:spacing w:before="300" w:after="150"/>
      </w:pPr>
      <w:r>
        <w:t xml:space="preserve">7.2 Physical Environment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900"/>
        <w:gridCol w:w="2060"/>
        <w:gridCol w:w="18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Seasonal HVAC Load</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Summer/winter temperature and humidity extremes stress HVAC systems; clean room conditions fluctuate</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Environmental alarms may trigger production holds; material conditioning times change; adhesive cure times vary</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Environmental monitoring excursion investigations; seasonal trending in Annual Product Review; HVAC requalification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Seasonal patterns are predictable; becomes HIGH if HVAC system is inadequately sized for extremes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Facility Aging / Degradation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Building systems degrade: HEPA filters load, gaskets fail, differential pressure shifts, pipe corrosion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Gradual degradation may not trigger discrete alarms but manifests as trending environmental drift</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Facility monitoring trending; preventive maintenance adequacy; infrastructure investment planning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Gradual facility degradation is a common finding in aging manufacturing facilities</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Adjacent Activity Impact</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Construction, renovation, or activity in adjacent areas affecting clean room integrity or vibration levels</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Vibration-sensitive equipment may drift; particle counts may increase during adjacent construction</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Risk assessment for adjacent activities; enhanced monitoring during periods of facility disruption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Uncontrolled adjacent activity is a common root cause for environmental excursions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Utility Disruption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Power quality events, water system upsets, compressed air contamination, gas supply interruption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Production interruption; batch impact assessment; equipment protection sequences; recovery procedures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Utility monitoring records; impact investigation; batch disposition; equipment requalification post-event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Utility disruptions can affect product quality directly; the response procedure must be well-defined</w:t>
            </w:r>
          </w:p>
        </w:tc>
      </w:tr>
    </w:tbl>
    <w:p>
      <w:pPr>
        <w:spacing w:after="200"/>
      </w:pPr>
    </w:p>
    <w:p>
      <w:pPr>
        <w:pStyle w:val="Heading2"/>
        <w:spacing w:before="300" w:after="150"/>
      </w:pPr>
      <w:r>
        <w:t xml:space="preserve">7.3 Regulatory and Business Environment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900"/>
        <w:gridCol w:w="2060"/>
        <w:gridCol w:w="18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New Regulation (e.g., EU MDR)</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New regulatory requirements demanding system modifications, new data collection, new documentation</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New data fields in batch records; new traceability requirements (UDI); new labeling content; new reporting</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Quality system update; new procedures; staff training; potentially new testing requirements; submission preparation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 Regulatory change is non-negotiable; compliance deadlines are hard deadlines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Regulatory Interpretation Change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Guidance documents, warning letters to other companies, or inspection findings changing how existing regulations are interpreted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May require enhanced data capture; new process controls; different record retention; audit trail enhancements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Procedure updates; risk reassessment; gap analysis against new interpretation; potential remediation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Interpretation changes are insidious because they redefine compliance retroactively</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Geopolitical / Supply Chain Disruption</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Trade restrictions, tariffs, pandemic disruptions, conflict affecting supplier availability or logistics</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Emergency supplier qualification; alternative material approval; inventory strategy adjustment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Supplier change management under time pressure; risk-based decisions with incomplete information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Supply chain disruptions create enormous pressure to cut corners on change control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Competitive / Market Pressure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Competitor actions, pricing pressure, or market shifts driving accelerated product development or cost reduction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Cost reduction initiatives may reduce sensor coverage, inspection frequency, or material grade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Quality impact assessment for every cost reduction; maintaining CTQ performance under cost pressure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Cost reduction is a legitimate business activity but must not compromise validated state</w:t>
            </w:r>
          </w:p>
        </w:tc>
      </w:tr>
    </w:tbl>
    <w:p>
      <w:r>
        <w:br w:type="page"/>
      </w:r>
    </w:p>
    <w:p>
      <w:pPr>
        <w:pStyle w:val="Heading1"/>
        <w:spacing w:before="300" w:after="150"/>
      </w:pPr>
      <w:r>
        <w:t xml:space="preserve">8. Technology Change: The Double-Edged Sword</w:t>
      </w:r>
    </w:p>
    <w:p>
      <w:pPr>
        <w:pStyle w:val="Heading2"/>
        <w:spacing w:before="300" w:after="150"/>
      </w:pPr>
      <w:r>
        <w:t xml:space="preserve">8.1 The Nature of Technology Change</w:t>
      </w:r>
    </w:p>
    <w:p>
      <w:pPr>
        <w:spacing w:after="120"/>
      </w:pPr>
      <w:r>
        <w:rPr>
          <w:rFonts w:ascii="Arial" w:cs="Arial" w:eastAsia="Arial" w:hAnsi="Arial"/>
          <w:sz w:val="22"/>
          <w:szCs w:val="22"/>
        </w:rPr>
        <w:t xml:space="preserve">Technology change is both the solution to many challenges described in this document and a source of new challenges in its own right. Every technology component in the digital footprint—from a firmware update on a sensor to a major MES platform upgrade—introduces change that must be managed with the same rigor as any product or process change. The challenge is compounded by the accelerating pace of technology evolution, vendor end-of-life decisions, cybersecurity patching requirements, and the introduction of transformative capabilities (AI/ML) that do not fit neatly into traditional validation frameworks.</w:t>
      </w:r>
    </w:p>
    <w:p>
      <w:pPr>
        <w:spacing w:after="200"/>
      </w:pPr>
    </w:p>
    <w:p>
      <w:pPr>
        <w:pStyle w:val="Heading2"/>
        <w:spacing w:before="300" w:after="150"/>
      </w:pPr>
      <w:r>
        <w:t xml:space="preserve">8.2 Infrastructure Technology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60"/>
        <w:gridCol w:w="190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 Impact</w:t>
            </w:r>
          </w:p>
        </w:tc>
        <w:tc>
          <w:tcPr>
            <w:tcW w:type="dxa" w:w="20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 Impact</w:t>
            </w:r>
          </w:p>
        </w:tc>
        <w:tc>
          <w:tcPr>
            <w:tcW w:type="dxa" w:w="1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 Risk</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PLC Firmware / Program Update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Safety or functionality updates to PLC firmware or control programs; vendor-mandated or internally-driven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Production downtime for update; functional verification required; potential behavior changes in control logic</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Change control per Tier 1/2; re-execution of affected OQ test cases; rollback plan required</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PLC program changes directly affect product quality; must be treated as process changes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DCS / SCADA Platform Upgrade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Major version upgrade of DCS platform (e.g., PlantPAx 5.0 to 6.0); may require infrastructure changes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Extended downtime; parallel system testing; operator retraining; alarm rationalization review</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system re-qualification; Part 11 compliance re-verification; all custom configurations re-tested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 DCS platform upgrades are among the highest-risk technology changes; multi-month qualification</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MES Platform Upgrade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MES vendor releases new version with new features, bug fixes, and potentially deprecated functionality</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Business logic validation; interface re-testing; electronic batch record verification; training</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Configuration management; regression testing; data migration validation; Part 11 re-assessment</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 MES is the system of record for batch production; any data integrity issue is a compliance catastrophe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Network Infrastructure Change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Switch replacements, firewall rule changes, VLAN reconfiguration, SD-WAN migration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Potential communication interruptions; latency changes affecting real-time control; new security boundaries</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Network qualification re-execution; penetration testing; data flow integrity verification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Network changes can silently disrupt OT communications; undetected packet loss affects data integrity</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Sensor Replacement / Upgrade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Replacing sensors with newer models (even same vendor) that may have different characteristics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Measurement offset; calibration point shift; potential MES alarm threshold adjustment</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Calibration verification; Gauge R&amp;R if different measurement technology; process impact assessment</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MEDIUM: Like-for-like is rarely truly identical; new sensor behavior must be characterized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Cybersecurity Patching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OS and application patches required for security but potentially affecting validated state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Patch testing in staging environment; production scheduling for downtime; functional regression verification</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Security vs. validation tension; risk-based patch prioritization; documentation of patching decisions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Both patching and not patching carry compliance risk; the decision process must be documented and defensible</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End-of-Life / Obsolescence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Vendor discontinues product; no more patches, support, or spare parts available</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Replacement planning; migration testing; potentially redesigning integrations; stockpiling spare parts</w:t>
            </w:r>
          </w:p>
        </w:tc>
        <w:tc>
          <w:tcPr>
            <w:tcW w:type="dxa" w:w="20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Obsolescence management plan; risk assessment of unsupported systems; replacement qualification</w:t>
            </w:r>
          </w:p>
        </w:tc>
        <w:tc>
          <w:tcPr>
            <w:tcW w:type="dxa" w:w="1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Running unsupported systems is both a cybersecurity and a cGMP risk; regulatory expectation of currency</w:t>
            </w:r>
          </w:p>
        </w:tc>
      </w:tr>
    </w:tbl>
    <w:p>
      <w:r>
        <w:br w:type="page"/>
      </w:r>
    </w:p>
    <w:p>
      <w:pPr>
        <w:pStyle w:val="Heading2"/>
        <w:spacing w:before="300" w:after="150"/>
      </w:pPr>
      <w:r>
        <w:t xml:space="preserve">8.3 AI/ML and Digital Asset Technology Challenges</w:t>
      </w:r>
    </w:p>
    <w:p>
      <w:pPr>
        <w:spacing w:after="120"/>
      </w:pPr>
      <w:r>
        <w:rPr>
          <w:rFonts w:ascii="Arial" w:cs="Arial" w:eastAsia="Arial" w:hAnsi="Arial"/>
          <w:sz w:val="22"/>
          <w:szCs w:val="22"/>
        </w:rPr>
        <w:t xml:space="preserve">The introduction of AI/ML into the manufacturing digital ecosystem creates an entirely new class of change management challenges that traditional validation frameworks were not designed to address.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80"/>
        <w:gridCol w:w="2780"/>
      </w:tblGrid>
      <w:tr>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w:t>
            </w:r>
          </w:p>
        </w:tc>
        <w:tc>
          <w:tcPr>
            <w:tcW w:type="dxa" w:w="2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5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Gap</w:t>
            </w:r>
          </w:p>
        </w:tc>
        <w:tc>
          <w:tcPr>
            <w:tcW w:type="dxa" w:w="27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Capability</w:t>
            </w:r>
          </w:p>
        </w:tc>
      </w:tr>
      <w:tr>
        <w:tc>
          <w:tcPr>
            <w:tcW w:type="dxa" w:w="16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Drift</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AI/ML models degrade over time as production conditions shift away from training data distribution</w:t>
            </w:r>
          </w:p>
        </w:tc>
        <w:tc>
          <w:tcPr>
            <w:tcW w:type="dxa" w:w="2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Traditional validation assumes static behavior; a validated model at time T may be invalid at time T+6 months</w:t>
            </w:r>
          </w:p>
        </w:tc>
        <w:tc>
          <w:tcPr>
            <w:tcW w:type="dxa" w:w="27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Continuous model performance monitoring; automated drift detection; triggered revalidation criteria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Training Data Governance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data used to train AI models must itself be controlled: source, quality, representativeness, bias</w:t>
            </w:r>
          </w:p>
        </w:tc>
        <w:tc>
          <w:tcPr>
            <w:tcW w:type="dxa" w:w="2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governance exists for regulatory data (batch records) but not consistently for AI training datasets</w:t>
            </w:r>
          </w:p>
        </w:tc>
        <w:tc>
          <w:tcPr>
            <w:tcW w:type="dxa" w:w="2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Training data lineage; dataset versioning; inclusion/exclusion criteria documentation; bias assessment</w:t>
            </w:r>
          </w:p>
        </w:tc>
      </w:tr>
      <w:tr>
        <w:tc>
          <w:tcPr>
            <w:tcW w:type="dxa" w:w="16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Explainability vs. Performance</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Regulatory expectation of explainable decisions conflicts with black-box model architectures</w:t>
            </w:r>
          </w:p>
        </w:tc>
        <w:tc>
          <w:tcPr>
            <w:tcW w:type="dxa" w:w="2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High-performing deep learning models may not be explainable; simpler models may miss patterns</w:t>
            </w:r>
          </w:p>
        </w:tc>
        <w:tc>
          <w:tcPr>
            <w:tcW w:type="dxa" w:w="27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selection framework balancing performance and explainability per use case criticality; LIME/SHAP integration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 Versioning &amp; Rollback</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 models must be version-controlled with the same rigor as PLC programs, with rollback capability</w:t>
            </w:r>
          </w:p>
        </w:tc>
        <w:tc>
          <w:tcPr>
            <w:tcW w:type="dxa" w:w="2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Most organizations lack model registries integrated with manufacturing change control</w:t>
            </w:r>
          </w:p>
        </w:tc>
        <w:tc>
          <w:tcPr>
            <w:tcW w:type="dxa" w:w="2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ML model registry (MLflow, Weights &amp; Biases) integrated with CMDB; model deployment tied to change control</w:t>
            </w:r>
          </w:p>
        </w:tc>
      </w:tr>
      <w:tr>
        <w:tc>
          <w:tcPr>
            <w:tcW w:type="dxa" w:w="16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Edge vs. Cloud Inference Consistency</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Same model running on edge device vs. cloud may produce different results due to quantization, hardware differences</w:t>
            </w:r>
          </w:p>
        </w:tc>
        <w:tc>
          <w:tcPr>
            <w:tcW w:type="dxa" w:w="2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Models are often developed in cloud then deployed to edge without equivalence testing</w:t>
            </w:r>
          </w:p>
        </w:tc>
        <w:tc>
          <w:tcPr>
            <w:tcW w:type="dxa" w:w="27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equivalence validation across deployment targets; acceptance criteria for inference variance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 Learning Authorization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Models that learn in production (online learning) are continuously changing without discrete change control events</w:t>
            </w:r>
          </w:p>
        </w:tc>
        <w:tc>
          <w:tcPr>
            <w:tcW w:type="dxa" w:w="2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GAMP 5 and ICH Q10 assume discrete change events; continuous learning is fundamentally different</w:t>
            </w:r>
          </w:p>
        </w:tc>
        <w:tc>
          <w:tcPr>
            <w:tcW w:type="dxa" w:w="2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Guardrails on learning rate; change accumulation thresholds triggering review; human-in-the-loop for significant shifts</w:t>
            </w:r>
          </w:p>
        </w:tc>
      </w:tr>
      <w:tr>
        <w:tc>
          <w:tcPr>
            <w:tcW w:type="dxa" w:w="16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AI Decision Accountability</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When an AI system recommends a process adjustment or disposition decision, who is accountable?</w:t>
            </w:r>
          </w:p>
        </w:tc>
        <w:tc>
          <w:tcPr>
            <w:tcW w:type="dxa" w:w="2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Regulatory accountability is with humans; AI systems operate in a gray zone between tool and decision-maker</w:t>
            </w:r>
          </w:p>
        </w:tc>
        <w:tc>
          <w:tcPr>
            <w:tcW w:type="dxa" w:w="27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Clear accountability framework: AI as advisory tool with human sign-off for all quality-affecting decisions; audit trail of AI recommendations and human actions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Synthetic Data and Simulation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Digital twins generate synthetic data for model training; synthetic data may not represent real-world edge cases</w:t>
            </w:r>
          </w:p>
        </w:tc>
        <w:tc>
          <w:tcPr>
            <w:tcW w:type="dxa" w:w="25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Synthetic data is valuable for rare event modeling but may introduce systematic biases</w:t>
            </w:r>
          </w:p>
        </w:tc>
        <w:tc>
          <w:tcPr>
            <w:tcW w:type="dxa" w:w="2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Synthetic data must be labeled, controlled, and validated; models trained on synthetic data require real-world validation</w:t>
            </w:r>
          </w:p>
        </w:tc>
      </w:tr>
    </w:tbl>
    <w:p>
      <w:r>
        <w:br w:type="page"/>
      </w:r>
    </w:p>
    <w:p>
      <w:pPr>
        <w:pStyle w:val="Heading1"/>
        <w:spacing w:before="300" w:after="150"/>
      </w:pPr>
      <w:r>
        <w:t xml:space="preserve">9. Digital Asset Lifecycle: Data Through AI</w:t>
      </w:r>
    </w:p>
    <w:p>
      <w:pPr>
        <w:pStyle w:val="Heading2"/>
        <w:spacing w:before="300" w:after="150"/>
      </w:pPr>
      <w:r>
        <w:t xml:space="preserve">9.1 The Digital Asset Taxonomy</w:t>
      </w:r>
    </w:p>
    <w:p>
      <w:pPr>
        <w:spacing w:after="120"/>
      </w:pPr>
      <w:r>
        <w:rPr>
          <w:rFonts w:ascii="Arial" w:cs="Arial" w:eastAsia="Arial" w:hAnsi="Arial"/>
          <w:sz w:val="22"/>
          <w:szCs w:val="22"/>
        </w:rPr>
        <w:t xml:space="preserve">Every digital entity in the manufacturing ecosystem has a lifecycle that must be managed. The challenge is that traditional asset management focuses on physical assets (equipment, tooling) while digital assets have fundamentally different lifecycle characteristics: they can be copied without degradation, they degrade through context loss rather than physical wear, and their value may increase (training data) or decrease (stale model) over time.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Digital Asset Tier</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Lifecycle Concern</w:t>
            </w:r>
          </w:p>
        </w:tc>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Sensitivity</w:t>
            </w:r>
          </w:p>
        </w:tc>
        <w:tc>
          <w:tcPr>
            <w:tcW w:type="dxa" w:w="2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Retention Requirement</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Tier 0: Raw Signals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Sensor readings, PLC register values, camera frames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Volume management; storage cost; signal integrity; timestamp accuracy</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LOW per record; HIGH in aggregate (drift detection)</w:t>
            </w:r>
          </w:p>
        </w:tc>
        <w:tc>
          <w:tcPr>
            <w:tcW w:type="dxa" w:w="2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Process historians: 5-7 years; batch-specific: life of device + 2 years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Tier 1: Contextualized Data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Tagged historian data, alarm events, batch records, environmental logs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Context preservation; metadata completeness; referential integrity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 Context (equipment ID, product, batch) must be accurate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Same as Tier 0 but with stricter integrity requirements</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Tier 2: Derived Information</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SPC charts, OEE calculations, yield analytics, trend reports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Calculation validity; assumption currency; aggregation correctness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 If underlying data or calculation logic changes, all derived information is affected</w:t>
            </w:r>
          </w:p>
        </w:tc>
        <w:tc>
          <w:tcPr>
            <w:tcW w:type="dxa" w:w="2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As long as conclusions drawn from it affect active decisions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Tier 3: Knowledge Assets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SOPs, work instructions, training materials, recipes, specifications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Version control; training currency; accessibility; translation accuracy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 These are the controlled documents that define the validated state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 document control procedures; regulatory retention schedules</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Tier 4: AI/ML Models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Predictive quality models, anomaly detection, visual inspection classifiers, demand forecasting</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validity; training data relevance; performance degradation; explainability</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 Models are the most change-sensitive digital assets; silent degradation is the primary risk</w:t>
            </w:r>
          </w:p>
        </w:tc>
        <w:tc>
          <w:tcPr>
            <w:tcW w:type="dxa" w:w="2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 training data + validation results retained for life of deployment + regulatory retention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Tier 5: Digital Twins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Equipment models, process simulations, plant-level optimization models, supply chain models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Fidelity; calibration currency; simulation validity vs. reality divergence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Twins must be recalibrated when the physical system they model changes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Active maintenance required; stale twins are worse than no twin (false confidence)</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Tier 6: Governance Artifacts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Change records, validation protocols, audit trails, risk assessments, CAPA records</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Completeness; accessibility; legal defensibility; cross-reference integrity</w:t>
            </w:r>
          </w:p>
        </w:tc>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LOW per record (immutable); HIGH for the system that manages them</w:t>
            </w:r>
          </w:p>
        </w:tc>
        <w:tc>
          <w:tcPr>
            <w:tcW w:type="dxa" w:w="2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Permanent or per regulatory retention; must survive system migrations</w:t>
            </w:r>
          </w:p>
        </w:tc>
      </w:tr>
    </w:tbl>
    <w:p>
      <w:pPr>
        <w:spacing w:after="200"/>
      </w:pPr>
    </w:p>
    <w:p>
      <w:pPr>
        <w:pStyle w:val="Heading2"/>
        <w:spacing w:before="300" w:after="150"/>
      </w:pPr>
      <w:r>
        <w:t xml:space="preserve">9.2 Cross-Tier Change Propagation</w:t>
      </w:r>
    </w:p>
    <w:p>
      <w:pPr>
        <w:spacing w:after="120"/>
      </w:pPr>
      <w:r>
        <w:rPr>
          <w:rFonts w:ascii="Arial" w:cs="Arial" w:eastAsia="Arial" w:hAnsi="Arial"/>
          <w:sz w:val="22"/>
          <w:szCs w:val="22"/>
        </w:rPr>
        <w:t xml:space="preserve">The most dangerous property of digital assets is that changes propagate across tiers in ways that are not always visible:</w:t>
      </w:r>
    </w:p>
    <w:p>
      <w:pPr>
        <w:spacing w:after="200"/>
      </w:pPr>
    </w:p>
    <w:p>
      <w:pPr>
        <w:pStyle w:val="ListParagraph"/>
        <w:numPr>
          <w:ilvl w:val="0"/>
          <w:numId w:val="2"/>
        </w:numPr>
        <w:spacing w:after="60"/>
      </w:pPr>
      <w:r>
        <w:rPr>
          <w:rFonts w:ascii="Arial" w:cs="Arial" w:eastAsia="Arial" w:hAnsi="Arial"/>
          <w:b/>
          <w:bCs/>
          <w:sz w:val="22"/>
          <w:szCs w:val="22"/>
        </w:rPr>
        <w:t xml:space="preserve">Upward Propagation: </w:t>
      </w:r>
      <w:r>
        <w:rPr>
          <w:rFonts w:ascii="Arial" w:cs="Arial" w:eastAsia="Arial" w:hAnsi="Arial"/>
          <w:sz w:val="22"/>
          <w:szCs w:val="22"/>
        </w:rPr>
        <w:t xml:space="preserve">A sensor calibration change (Tier 0) invalidates the historian data context (Tier 1), which changes SPC calculations (Tier 2), which may trigger SOP revisions (Tier 3), which requires AI model retraining (Tier 4), which desynchronizes the digital twin (Tier 5), and must be documented in change records (Tier 6). A single sensor calibration event can cascade through every tier.</w:t>
      </w:r>
    </w:p>
    <w:p>
      <w:pPr>
        <w:spacing w:after="200"/>
      </w:pPr>
    </w:p>
    <w:p>
      <w:pPr>
        <w:pStyle w:val="ListParagraph"/>
        <w:numPr>
          <w:ilvl w:val="0"/>
          <w:numId w:val="2"/>
        </w:numPr>
        <w:spacing w:after="60"/>
      </w:pPr>
      <w:r>
        <w:rPr>
          <w:rFonts w:ascii="Arial" w:cs="Arial" w:eastAsia="Arial" w:hAnsi="Arial"/>
          <w:b/>
          <w:bCs/>
          <w:sz w:val="22"/>
          <w:szCs w:val="22"/>
        </w:rPr>
        <w:t xml:space="preserve">Downward Propagation: </w:t>
      </w:r>
      <w:r>
        <w:rPr>
          <w:rFonts w:ascii="Arial" w:cs="Arial" w:eastAsia="Arial" w:hAnsi="Arial"/>
          <w:sz w:val="22"/>
          <w:szCs w:val="22"/>
        </w:rPr>
        <w:t xml:space="preserve">A regulatory change (Tier 6 governance) mandates new testing requirements (Tier 3 SOPs), which requires new analytics (Tier 2), which demands new data collection (Tier 1), which may require new sensors (Tier 0), while all AI models (Tier 4) and digital twins (Tier 5) must incorporate the new requirements.</w:t>
      </w:r>
    </w:p>
    <w:p>
      <w:pPr>
        <w:spacing w:after="200"/>
      </w:pPr>
    </w:p>
    <w:p>
      <w:pPr>
        <w:pStyle w:val="ListParagraph"/>
        <w:numPr>
          <w:ilvl w:val="0"/>
          <w:numId w:val="2"/>
        </w:numPr>
        <w:spacing w:after="60"/>
      </w:pPr>
      <w:r>
        <w:rPr>
          <w:rFonts w:ascii="Arial" w:cs="Arial" w:eastAsia="Arial" w:hAnsi="Arial"/>
          <w:b/>
          <w:bCs/>
          <w:sz w:val="22"/>
          <w:szCs w:val="22"/>
        </w:rPr>
        <w:t xml:space="preserve">Lateral Propagation: </w:t>
      </w:r>
      <w:r>
        <w:rPr>
          <w:rFonts w:ascii="Arial" w:cs="Arial" w:eastAsia="Arial" w:hAnsi="Arial"/>
          <w:sz w:val="22"/>
          <w:szCs w:val="22"/>
        </w:rPr>
        <w:t xml:space="preserve">A product change affects the BOM (Tier 3), which changes material requirements (Tier 1 data context), which invalidates the predictive model trained on the old product (Tier 4), but the vision inspection model (also Tier 4) may or may not be affected depending on whether the product change is visible. Determining the lateral impact scope requires deep understanding of the dependency graph.</w:t>
      </w:r>
    </w:p>
    <w:p>
      <w:pPr>
        <w:spacing w:after="200"/>
      </w:pPr>
    </w:p>
    <w:p>
      <w:pPr>
        <w:pStyle w:val="Heading2"/>
        <w:spacing w:before="300" w:after="150"/>
      </w:pPr>
      <w:r>
        <w:t xml:space="preserve">9.3 The Configuration Baseline Problem</w:t>
      </w:r>
    </w:p>
    <w:p>
      <w:pPr>
        <w:spacing w:after="120"/>
      </w:pPr>
      <w:r>
        <w:rPr>
          <w:rFonts w:ascii="Arial" w:cs="Arial" w:eastAsia="Arial" w:hAnsi="Arial"/>
          <w:sz w:val="22"/>
          <w:szCs w:val="22"/>
        </w:rPr>
        <w:t xml:space="preserve">At any point in time, the manufacturing system exists in a specific configuration state: the combination of all hardware versions, software versions, recipe parameters, calibration states, document revisions, model versions, and environmental conditions that collectively define the validated operating envelope. This is the configuration baseline.</w:t>
      </w:r>
    </w:p>
    <w:p>
      <w:pPr>
        <w:spacing w:after="200"/>
      </w:pPr>
    </w:p>
    <w:p>
      <w:pPr>
        <w:spacing w:after="120"/>
      </w:pPr>
      <w:r>
        <w:rPr>
          <w:rFonts w:ascii="Arial" w:cs="Arial" w:eastAsia="Arial" w:hAnsi="Arial"/>
          <w:sz w:val="22"/>
          <w:szCs w:val="22"/>
        </w:rPr>
        <w:t xml:space="preserve">The challenge is that changes are continuous while baseline snapshots are periodic. Between snapshots, the system is in a partially-updated state where some components reflect the new configuration and others reflect the old. The change control system must ensure that the system never enters an inconsistent state where, for example, a new recipe is loaded but the corresponding inspection criteria have not been updated, or a model has been retrained but the confidence thresholds have not been recalibrated.</w:t>
      </w:r>
    </w:p>
    <w:p>
      <w:pPr>
        <w:spacing w:after="200"/>
      </w:pPr>
    </w:p>
    <w:p>
      <w:pPr>
        <w:spacing w:after="120"/>
      </w:pPr>
      <w:r>
        <w:rPr>
          <w:rFonts w:ascii="Arial" w:cs="Arial" w:eastAsia="Arial" w:hAnsi="Arial"/>
          <w:b/>
          <w:bCs/>
          <w:sz w:val="22"/>
          <w:szCs w:val="22"/>
        </w:rPr>
        <w:t xml:space="preserve">Architectural Implication: </w:t>
      </w:r>
      <w:r>
        <w:rPr>
          <w:rFonts w:ascii="Arial" w:cs="Arial" w:eastAsia="Arial" w:hAnsi="Arial"/>
          <w:sz w:val="22"/>
          <w:szCs w:val="22"/>
        </w:rPr>
        <w:t xml:space="preserve">The digital footprint requires a Configuration Baseline Service that maintains an atomic, version-controlled representation of the complete system state at any point in time. Changes are applied as atomic transactions that either fully succeed (all dependent systems updated) or fully roll back. This is conceptually similar to database transaction management but applied to the entire manufacturing digital ecosystem.</w:t>
      </w:r>
    </w:p>
    <w:p>
      <w:r>
        <w:br w:type="page"/>
      </w:r>
    </w:p>
    <w:p>
      <w:pPr>
        <w:pStyle w:val="Heading1"/>
        <w:spacing w:before="300" w:after="150"/>
      </w:pPr>
      <w:r>
        <w:t xml:space="preserve">10. Cross-Cutting Impact: The System-of-Systems View</w:t>
      </w:r>
    </w:p>
    <w:p>
      <w:pPr>
        <w:pStyle w:val="Heading2"/>
        <w:spacing w:before="300" w:after="150"/>
      </w:pPr>
      <w:r>
        <w:t xml:space="preserve">10.1 System Impact Matrix</w:t>
      </w:r>
    </w:p>
    <w:p>
      <w:pPr>
        <w:spacing w:after="120"/>
      </w:pPr>
      <w:r>
        <w:rPr>
          <w:rFonts w:ascii="Arial" w:cs="Arial" w:eastAsia="Arial" w:hAnsi="Arial"/>
          <w:sz w:val="22"/>
          <w:szCs w:val="22"/>
        </w:rPr>
        <w:t xml:space="preserve">The following matrix maps each change dimension against the major system categories to identify where the highest concentration of cross-system impact occurs: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1100"/>
        <w:gridCol w:w="1000"/>
        <w:gridCol w:w="900"/>
        <w:gridCol w:w="1360"/>
      </w:tblGrid>
      <w:tr>
        <w:tc>
          <w:tcPr>
            <w:tcW w:type="dxa" w:w="14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Dimension</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MES</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QMS</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PLM (Interim)</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ERP/SCM</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Historian/Analytics</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AI/ML Models</w:t>
            </w:r>
          </w:p>
        </w:tc>
        <w:tc>
          <w:tcPr>
            <w:tcW w:type="dxa" w:w="9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Digital Twin</w:t>
            </w:r>
          </w:p>
        </w:tc>
        <w:tc>
          <w:tcPr>
            <w:tcW w:type="dxa" w:w="1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Compliance</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Inventory</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1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13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Product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Operations</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11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13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Order Variability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Variance &amp; Volume</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11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c>
          <w:tcPr>
            <w:tcW w:type="dxa" w:w="1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13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Environment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Technology</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MED</w:t>
            </w:r>
          </w:p>
        </w:tc>
        <w:tc>
          <w:tcPr>
            <w:tcW w:type="dxa" w:w="11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c>
          <w:tcPr>
            <w:tcW w:type="dxa" w:w="9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c>
          <w:tcPr>
            <w:tcW w:type="dxa" w:w="13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CRITICAL</w:t>
            </w:r>
          </w:p>
        </w:tc>
      </w:tr>
    </w:tbl>
    <w:p>
      <w:pPr>
        <w:spacing w:after="20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Product change and technology change create the broadest cross-system impact, but variance/volume change and inventory change create the deepest impact on AI/ML and analytics systems because they silently alter the statistical foundations on which these systems depend. The most dangerous changes are those that affect many systems at moderate intensity rather than one system at high intensity—because moderate cross-system impacts are the least likely to be detected by system-specific monitoring.</w:t>
      </w:r>
    </w:p>
    <w:p>
      <w:r>
        <w:br w:type="page"/>
      </w:r>
    </w:p>
    <w:p>
      <w:pPr>
        <w:pStyle w:val="Heading1"/>
        <w:spacing w:before="300" w:after="150"/>
      </w:pPr>
      <w:r>
        <w:t xml:space="preserve">11. Mitigation Architecture: How the Digital Footprint Addresses These Challenges</w:t>
      </w:r>
    </w:p>
    <w:p>
      <w:pPr>
        <w:pStyle w:val="Heading2"/>
        <w:spacing w:before="300" w:after="150"/>
      </w:pPr>
      <w:r>
        <w:t xml:space="preserve">11.1 Architectural Mitigations</w:t>
      </w:r>
    </w:p>
    <w:p>
      <w:pPr>
        <w:spacing w:after="120"/>
      </w:pPr>
      <w:r>
        <w:rPr>
          <w:rFonts w:ascii="Arial" w:cs="Arial" w:eastAsia="Arial" w:hAnsi="Arial"/>
          <w:sz w:val="22"/>
          <w:szCs w:val="22"/>
        </w:rPr>
        <w:t xml:space="preserve">The Solution Architecture document defines the technical infrastructure; this section maps specific architectural features to the change management challenges identified above.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Challenge Category</w:t>
            </w:r>
          </w:p>
        </w:tc>
        <w:tc>
          <w:tcPr>
            <w:tcW w:type="dxa" w:w="3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Architectural Mitigation</w:t>
            </w:r>
          </w:p>
        </w:tc>
        <w:tc>
          <w:tcPr>
            <w:tcW w:type="dxa" w:w="3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Implementation Component</w:t>
            </w:r>
          </w:p>
        </w:tc>
      </w:tr>
      <w:tr>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Silent data context loss</w:t>
            </w:r>
          </w:p>
        </w:tc>
        <w:tc>
          <w:tcPr>
            <w:tcW w:type="dxa" w:w="3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Immutable context tagging: every data point carries its full context (equipment, product, recipe, material lot, operator, environment) at the point of generation</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IoT gateway context enrichment; OPC-UA metadata; ISA-95 equipment hierarchy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Cross-system inconsistency</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Atomic change propagation: changes propagate through an integration bus with transactional semantics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Apache Kafka / Azure Service Bus; Recipe Management Service; Master Data Management</w:t>
            </w:r>
          </w:p>
        </w:tc>
      </w:tr>
      <w:tr>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Model drift / AI degradation</w:t>
            </w:r>
          </w:p>
        </w:tc>
        <w:tc>
          <w:tcPr>
            <w:tcW w:type="dxa" w:w="3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Continuous model monitoring with automated drift detection and triggered revalidation</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MLflow model registry; data quality dashboards; statistical process monitoring on model outputs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Configuration baseline loss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Configuration Baseline Service maintaining version-controlled system state snapshots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CMDB + Rockwell AssetCentre + network config management; infrastructure-as-code</w:t>
            </w:r>
          </w:p>
        </w:tc>
      </w:tr>
      <w:tr>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PLM-MES translation gap</w:t>
            </w:r>
          </w:p>
        </w:tc>
        <w:tc>
          <w:tcPr>
            <w:tcW w:type="dxa" w:w="3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Decoupled Recipe Management Service as the translation layer between design intent and manufacturing execution</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Interim PLM → RMS → DCS/MES integration architecture; ISA-88 recipe model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Process drift accumulation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Multi-variate statistical process monitoring detecting drift patterns invisible to univariate SPC</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Edge AI anomaly detection; plant historian multivariate analysis; golden batch profiling</w:t>
            </w:r>
          </w:p>
        </w:tc>
      </w:tr>
      <w:tr>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Qualification burden scaling</w:t>
            </w:r>
          </w:p>
        </w:tc>
        <w:tc>
          <w:tcPr>
            <w:tcW w:type="dxa" w:w="3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Modular qualification packages with reusable protocol templates and risk-based scope determination</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IQ/OQ/PQ template library; GAMP 5 risk assessment framework; platform validation approach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Regulatory change absorption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Compliance-by-design with parameterized regulatory requirements that can be updated without re-architecture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Regulatory requirement master data; configurable batch record content; market-specific packaging rules</w:t>
            </w:r>
          </w:p>
        </w:tc>
      </w:tr>
      <w:tr>
        <w:tc>
          <w:tcPr>
            <w:tcW w:type="dxa" w:w="2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Emergency response capability</w:t>
            </w:r>
          </w:p>
        </w:tc>
        <w:tc>
          <w:tcPr>
            <w:tcW w:type="dxa" w:w="3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Pre-defined emergency playbooks with automated containment and post-event assessment tools</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MES deviation workflow; automated lot hold; environmental excursion response automation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Digital asset lifecycle management</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Tiered digital asset governance with lifecycle policies, retention rules, and migration plans per asset tier</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lake lifecycle management; model registry; document control; historian archiving strategy</w:t>
            </w:r>
          </w:p>
        </w:tc>
      </w:tr>
    </w:tbl>
    <w:p>
      <w:r>
        <w:br w:type="page"/>
      </w:r>
    </w:p>
    <w:p>
      <w:pPr>
        <w:pStyle w:val="Heading2"/>
        <w:spacing w:before="300" w:after="150"/>
      </w:pPr>
      <w:r>
        <w:t xml:space="preserve">11.2 The Governance Model</w:t>
      </w:r>
    </w:p>
    <w:p>
      <w:pPr>
        <w:spacing w:after="120"/>
      </w:pPr>
      <w:r>
        <w:rPr>
          <w:rFonts w:ascii="Arial" w:cs="Arial" w:eastAsia="Arial" w:hAnsi="Arial"/>
          <w:sz w:val="22"/>
          <w:szCs w:val="22"/>
        </w:rPr>
        <w:t xml:space="preserve">Technical architecture alone does not solve change management. Governance—the organizational structures, decision rights, policies, and cultural norms that determine how change is managed—is equally critical. The following governance model is recommended: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60"/>
        <w:gridCol w:w="3800"/>
      </w:tblGrid>
      <w:tr>
        <w:tc>
          <w:tcPr>
            <w:tcW w:type="dxa" w:w="1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Governance Body</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Cadence</w:t>
            </w:r>
          </w:p>
        </w:tc>
        <w:tc>
          <w:tcPr>
            <w:tcW w:type="dxa" w:w="3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Decisions</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Change Control Board (CCB)</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All Tier 1 and Tier 2 changes per change control framework</w:t>
            </w:r>
          </w:p>
        </w:tc>
        <w:tc>
          <w:tcPr>
            <w:tcW w:type="dxa" w:w="1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Weekly + ad hoc for emergencies</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Change approval/rejection; resource allocation; implementation scheduling; impact assessment review</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Digital Asset Review Board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 model deployment, digital twin calibration, analytics baseline changes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Bi-weekly</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 promotion to production; training data approval; twin calibration acceptance; analytics baseline reset</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Technology Lifecycle Committee</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Vendor roadmaps, obsolescence planning, upgrade strategy, cybersecurity posture</w:t>
            </w:r>
          </w:p>
        </w:tc>
        <w:tc>
          <w:tcPr>
            <w:tcW w:type="dxa" w:w="1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Monthly</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Technology refresh prioritization; end-of-life migration planning; patch management policy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Quality Management Review</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Cross-cutting quality metrics, CAPA trending, regulatory intelligence, validation status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Quality system effectiveness; resource allocation; regulatory response strategy; validation prioritization</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Enterprise Architecture Review</w:t>
            </w:r>
          </w:p>
        </w:tc>
        <w:tc>
          <w:tcPr>
            <w:tcW w:type="dxa" w:w="22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Cross-plant standardization, integration strategy, technology standards</w:t>
            </w:r>
          </w:p>
        </w:tc>
        <w:tc>
          <w:tcPr>
            <w:tcW w:type="dxa" w:w="156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Quarterly</w:t>
            </w:r>
          </w:p>
        </w:tc>
        <w:tc>
          <w:tcPr>
            <w:tcW w:type="dxa" w:w="38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tcPr>
          <w:p>
            <w:r>
              <w:rPr>
                <w:rFonts w:ascii="Arial" w:cs="Arial" w:eastAsia="Arial" w:hAnsi="Arial"/>
                <w:sz w:val="20"/>
                <w:szCs w:val="20"/>
              </w:rPr>
              <w:t xml:space="preserve">Platform standards; vendor consolidation; integration pattern approval; reference architecture updates</w:t>
            </w:r>
          </w:p>
        </w:tc>
      </w:tr>
    </w:tbl>
    <w:p>
      <w:r>
        <w:br w:type="page"/>
      </w:r>
    </w:p>
    <w:p>
      <w:pPr>
        <w:pStyle w:val="Heading1"/>
        <w:spacing w:before="300" w:after="150"/>
      </w:pPr>
      <w:r>
        <w:t xml:space="preserve">12. Conclusions and Strategic Implications</w:t>
      </w:r>
    </w:p>
    <w:p>
      <w:pPr>
        <w:pStyle w:val="Heading2"/>
        <w:spacing w:before="300" w:after="150"/>
      </w:pPr>
      <w:r>
        <w:t xml:space="preserve">12.1 The Irreducible Complexity</w:t>
      </w:r>
    </w:p>
    <w:p>
      <w:pPr>
        <w:spacing w:after="120"/>
      </w:pPr>
      <w:r>
        <w:rPr>
          <w:rFonts w:ascii="Arial" w:cs="Arial" w:eastAsia="Arial" w:hAnsi="Arial"/>
          <w:sz w:val="22"/>
          <w:szCs w:val="22"/>
        </w:rPr>
        <w:t xml:space="preserve">Managing change in a cGMP-regulated digital manufacturing ecosystem is irreducibly complex. The seven change dimensions identified in this document interact nonlinearly, creating emergent risks that cannot be predicted by analyzing any single dimension in isolation. An inventory change combined with a volume ramp-up during a seasonal environmental shift while a technology upgrade is in progress creates a risk profile that is qualitatively different from the sum of its parts.</w:t>
      </w:r>
    </w:p>
    <w:p>
      <w:pPr>
        <w:spacing w:after="200"/>
      </w:pPr>
    </w:p>
    <w:p>
      <w:pPr>
        <w:spacing w:after="120"/>
      </w:pPr>
      <w:r>
        <w:rPr>
          <w:rFonts w:ascii="Arial" w:cs="Arial" w:eastAsia="Arial" w:hAnsi="Arial"/>
          <w:sz w:val="22"/>
          <w:szCs w:val="22"/>
        </w:rPr>
        <w:t xml:space="preserve">The digital footprint architecture described in the companion Solution Architecture document does not eliminate this complexity—nothing can. What it does is make the complexity visible, traceable, and manageable. Sensors detect changes in physical reality. PLCs and DCS enforce controlled responses. MES and QMS document every action. The historian preserves every data point. AI/ML systems detect patterns human operators would miss. And the governance framework ensures that every change is assessed, approved, implemented, and verified.</w:t>
      </w:r>
    </w:p>
    <w:p>
      <w:pPr>
        <w:spacing w:after="200"/>
      </w:pPr>
    </w:p>
    <w:p>
      <w:pPr>
        <w:pStyle w:val="Heading2"/>
        <w:spacing w:before="300" w:after="150"/>
      </w:pPr>
      <w:r>
        <w:t xml:space="preserve">12.2 Five Strategic Imperatives</w:t>
      </w:r>
    </w:p>
    <w:p>
      <w:pPr>
        <w:spacing w:after="120"/>
      </w:pPr>
      <w:r>
        <w:rPr>
          <w:rFonts w:ascii="Arial" w:cs="Arial" w:eastAsia="Arial" w:hAnsi="Arial"/>
          <w:sz w:val="22"/>
          <w:szCs w:val="22"/>
        </w:rPr>
        <w:t xml:space="preserve">Based on the analysis in this document, Hollister should prioritize five strategic imperatives for its digital manufacturing transformation:</w:t>
      </w:r>
    </w:p>
    <w:p>
      <w:pPr>
        <w:spacing w:after="200"/>
      </w:pPr>
    </w:p>
    <w:p>
      <w:pPr>
        <w:spacing w:after="120"/>
      </w:pPr>
      <w:r>
        <w:rPr>
          <w:rFonts w:ascii="Arial" w:cs="Arial" w:eastAsia="Arial" w:hAnsi="Arial"/>
          <w:b/>
          <w:bCs/>
          <w:sz w:val="22"/>
          <w:szCs w:val="22"/>
        </w:rPr>
        <w:t xml:space="preserve">1. Invest in the Integration Layer, Not Just the Endpoints. </w:t>
      </w:r>
      <w:r>
        <w:rPr>
          <w:rFonts w:ascii="Arial" w:cs="Arial" w:eastAsia="Arial" w:hAnsi="Arial"/>
          <w:sz w:val="22"/>
          <w:szCs w:val="22"/>
        </w:rPr>
        <w:t xml:space="preserve">The highest risk is not in any individual system but in the spaces between systems. The Recipe Management Service, the integration bus, the Master Data Management layer, and the Configuration Baseline Service are the critical infrastructure that enables atomic change propagation. These are less visible than sensors and PLCs but more important for change management.</w:t>
      </w:r>
    </w:p>
    <w:p>
      <w:pPr>
        <w:spacing w:after="200"/>
      </w:pPr>
    </w:p>
    <w:p>
      <w:pPr>
        <w:spacing w:after="120"/>
      </w:pPr>
      <w:r>
        <w:rPr>
          <w:rFonts w:ascii="Arial" w:cs="Arial" w:eastAsia="Arial" w:hAnsi="Arial"/>
          <w:b/>
          <w:bCs/>
          <w:sz w:val="22"/>
          <w:szCs w:val="22"/>
        </w:rPr>
        <w:t xml:space="preserve">2. Establish AI/ML Governance Before Deploying AI/ML at Scale. </w:t>
      </w:r>
      <w:r>
        <w:rPr>
          <w:rFonts w:ascii="Arial" w:cs="Arial" w:eastAsia="Arial" w:hAnsi="Arial"/>
          <w:sz w:val="22"/>
          <w:szCs w:val="22"/>
        </w:rPr>
        <w:t xml:space="preserve">The traditional GAMP 5 validation framework does not adequately address continuously-learning systems, model drift, training data governance, or edge vs. cloud inference consistency. Hollister must develop an AI-specific governance framework that extends GAMP 5 for the manufacturing context before scaling AI/ML beyond pilot use cases. This is a regulatory frontier: being proactive positions Hollister as a leader rather than a remediator.</w:t>
      </w:r>
    </w:p>
    <w:p>
      <w:pPr>
        <w:spacing w:after="200"/>
      </w:pPr>
    </w:p>
    <w:p>
      <w:pPr>
        <w:spacing w:after="120"/>
      </w:pPr>
      <w:r>
        <w:rPr>
          <w:rFonts w:ascii="Arial" w:cs="Arial" w:eastAsia="Arial" w:hAnsi="Arial"/>
          <w:b/>
          <w:bCs/>
          <w:sz w:val="22"/>
          <w:szCs w:val="22"/>
        </w:rPr>
        <w:t xml:space="preserve">3. Treat the Interim PLM as a Strategic Asset, Not a Stopgap. </w:t>
      </w:r>
      <w:r>
        <w:rPr>
          <w:rFonts w:ascii="Arial" w:cs="Arial" w:eastAsia="Arial" w:hAnsi="Arial"/>
          <w:sz w:val="22"/>
          <w:szCs w:val="22"/>
        </w:rPr>
        <w:t xml:space="preserve">The interim PLM is the system that manages the most change-sensitive digital assets: product definitions, BOMs, specifications, and design history. The decision to keep the PLM-MES interface decoupled through the Recipe Management Service is architecturally sound, but the interim PLM must still be governed with full change control discipline. A poorly governed interim PLM will create technical debt that costs more to migrate than the permanent PLM itself.</w:t>
      </w:r>
    </w:p>
    <w:p>
      <w:pPr>
        <w:spacing w:after="200"/>
      </w:pPr>
    </w:p>
    <w:p>
      <w:pPr>
        <w:spacing w:after="120"/>
      </w:pPr>
      <w:r>
        <w:rPr>
          <w:rFonts w:ascii="Arial" w:cs="Arial" w:eastAsia="Arial" w:hAnsi="Arial"/>
          <w:b/>
          <w:bCs/>
          <w:sz w:val="22"/>
          <w:szCs w:val="22"/>
        </w:rPr>
        <w:t xml:space="preserve">4. Build Change Management Muscle Before Scaling. </w:t>
      </w:r>
      <w:r>
        <w:rPr>
          <w:rFonts w:ascii="Arial" w:cs="Arial" w:eastAsia="Arial" w:hAnsi="Arial"/>
          <w:sz w:val="22"/>
          <w:szCs w:val="22"/>
        </w:rPr>
        <w:t xml:space="preserve">The pilot line at Ballina is not just a technology proof of concept; it is a change management proof of concept. The real validation is not whether the sensors produce data or the PLCs execute logic—it is whether the organization can manage the rate of change that a fully digital manufacturing line generates. Expect the pilot to surface governance gaps, process bottlenecks, and organizational skill deficits that must be addressed before scaling to additional lines and plants.</w:t>
      </w:r>
    </w:p>
    <w:p>
      <w:pPr>
        <w:spacing w:after="200"/>
      </w:pPr>
    </w:p>
    <w:p>
      <w:pPr>
        <w:spacing w:after="120"/>
      </w:pPr>
      <w:r>
        <w:rPr>
          <w:rFonts w:ascii="Arial" w:cs="Arial" w:eastAsia="Arial" w:hAnsi="Arial"/>
          <w:b/>
          <w:bCs/>
          <w:sz w:val="22"/>
          <w:szCs w:val="22"/>
        </w:rPr>
        <w:t xml:space="preserve">5. Plan for the Change You Cannot Predict. </w:t>
      </w:r>
      <w:r>
        <w:rPr>
          <w:rFonts w:ascii="Arial" w:cs="Arial" w:eastAsia="Arial" w:hAnsi="Arial"/>
          <w:sz w:val="22"/>
          <w:szCs w:val="22"/>
        </w:rPr>
        <w:t xml:space="preserve">The most important changes will be the ones not in this document: the regulation that has not been written, the technology that has not been invented, the supply chain disruption that has not occurred. The architecture must be resilient not just to known change types but to unknown ones. This is why modularity, open standards, and decoupled integration are architectural first principles—they create headroom for adaptation that tightly-coupled, proprietary architectures cannot provide.</w:t>
      </w:r>
    </w:p>
    <w:p>
      <w:pPr>
        <w:spacing w:after="200"/>
      </w:pPr>
    </w:p>
    <w:p>
      <w:pPr>
        <w:spacing w:after="200"/>
      </w:pPr>
    </w:p>
    <w:p>
      <w:pPr>
        <w:spacing w:after="120"/>
      </w:pPr>
      <w:r>
        <w:rPr>
          <w:rFonts w:ascii="Arial" w:cs="Arial" w:eastAsia="Arial" w:hAnsi="Arial"/>
          <w:i/>
          <w:iCs/>
          <w:sz w:val="22"/>
          <w:szCs w:val="22"/>
        </w:rPr>
        <w:t xml:space="preserve">--- End of Document ---</w:t>
      </w:r>
    </w:p>
    <w:p>
      <w:pPr>
        <w:spacing w:after="200"/>
      </w:pPr>
    </w:p>
    <w:p>
      <w:pPr>
        <w:spacing w:after="120"/>
      </w:pPr>
      <w:r>
        <w:rPr>
          <w:rFonts w:ascii="Arial" w:cs="Arial" w:eastAsia="Arial" w:hAnsi="Arial"/>
          <w:i/>
          <w:iCs/>
          <w:sz w:val="22"/>
          <w:szCs w:val="22"/>
        </w:rPr>
        <w:t xml:space="preserve">This analysis should be reviewed in conjunction with the Hollister Digital Manufacturing Footprint Solution Architecture. Together, they define what must be built and why the specific architectural decisions matter.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Managing Change Across the Manufacturing Digital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2026-02-17T13:44:05.699Z</dcterms:created>
  <dcterms:modified xsi:type="dcterms:W3CDTF">2026-02-17T13:44:05.700Z</dcterms:modified>
</cp:coreProperties>
</file>

<file path=docProps/custom.xml><?xml version="1.0" encoding="utf-8"?>
<Properties xmlns="http://schemas.openxmlformats.org/officeDocument/2006/custom-properties" xmlns:vt="http://schemas.openxmlformats.org/officeDocument/2006/docPropsVTypes"/>
</file>