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Design of Experiments (DOE) Framework</w:t>
      </w:r>
    </w:p>
    <w:p>
      <w:pPr>
        <w:spacing w:after="100"/>
        <w:jc w:val="center"/>
      </w:pPr>
      <w:r>
        <w:rPr>
          <w:rFonts w:ascii="Arial" w:cs="Arial" w:eastAsia="Arial" w:hAnsi="Arial"/>
          <w:color w:val="2B7A78"/>
          <w:sz w:val="32"/>
          <w:szCs w:val="32"/>
        </w:rPr>
        <w:t xml:space="preserve">Supply Chain Optimization Across Product Lines</w:t>
      </w:r>
    </w:p>
    <w:p>
      <w:pPr>
        <w:pBdr>
          <w:bottom w:val="single" w:color="2B7A78" w:sz="6" w:space="1"/>
        </w:pBdr>
        <w:spacing w:after="600"/>
        <w:jc w:val="center"/>
      </w:pPr>
      <w:r>
        <w:rPr>
          <w:rFonts w:ascii="Arial" w:cs="Arial" w:eastAsia="Arial" w:hAnsi="Arial"/>
          <w:b/>
          <w:bCs/>
          <w:color w:val="1B3A5C"/>
          <w:sz w:val="28"/>
          <w:szCs w:val="28"/>
        </w:rPr>
        <w:t xml:space="preserve">Hollister Incorporated</w:t>
      </w:r>
    </w:p>
    <w:p>
      <w:pPr>
        <w:spacing w:before="400"/>
        <w:jc w:val="center"/>
      </w:pPr>
      <w:r>
        <w:rPr>
          <w:color w:val="555555"/>
          <w:sz w:val="22"/>
          <w:szCs w:val="22"/>
        </w:rPr>
        <w:t xml:space="preserve">Prepared by: The Value Enablement Group</w:t>
      </w:r>
    </w:p>
    <w:p>
      <w:pPr>
        <w:jc w:val="center"/>
      </w:pPr>
      <w:r>
        <w:rPr>
          <w:color w:val="555555"/>
          <w:sz w:val="22"/>
          <w:szCs w:val="22"/>
        </w:rPr>
        <w:t xml:space="preserve">February 2026</w:t>
      </w:r>
    </w:p>
    <w:p>
      <w:pPr>
        <w:spacing w:after="200"/>
        <w:jc w:val="center"/>
      </w:pPr>
      <w:r>
        <w:rPr>
          <w:b/>
          <w:bCs/>
          <w:color w:val="999999"/>
          <w:sz w:val="20"/>
          <w:szCs w:val="20"/>
        </w:rPr>
        <w:t xml:space="preserve">CONFIDENTIAL</w:t>
      </w:r>
    </w:p>
    <w:p>
      <w:pPr>
        <w:spacing w:before="600"/>
        <w:jc w:val="center"/>
      </w:pPr>
      <w:r>
        <w:rPr>
          <w:i/>
          <w:iCs/>
          <w:color w:val="777777"/>
          <w:sz w:val="20"/>
          <w:szCs w:val="20"/>
        </w:rPr>
        <w:t xml:space="preserve">Solution Architecture Deliverable</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This document presents a structured Design of Experiments (DOE) framework for optimizing Hollister Incorporated’s supply chain across its four major product lines: Ostomy Care, Continence Care, Wound Care, and Critical Care. The framework identifies key experimental factors, appropriate statistical methods, response variables, and projected business impacts for each product line, along with cross-cutting supply chain network experiments.</w:t>
      </w:r>
    </w:p>
    <w:p>
      <w:pPr>
        <w:spacing w:after="120"/>
      </w:pPr>
      <w:r>
        <w:t xml:space="preserve">Hollister operates a global manufacturing and distribution network spanning facilities in Stuarts Draft (Virginia), Kirksville (Missouri), Ballina (Ireland), Kaunas (Lithuania), Bawal (India), and Oud Gastel (Netherlands), supported by SAP ERP infrastructure and the Hollister Production System (HPS) lean methodology. This DOE framework is designed to integrate with HPS principles and SAP-driven planning parameters to deliver measurable improvements in product quality, process efficiency, inventory optimization, and patient outcomes.</w:t>
      </w:r>
    </w:p>
    <w:p>
      <w:pPr>
        <w:spacing w:after="120"/>
      </w:pPr>
      <w:r>
        <w:rPr>
          <w:b/>
          <w:bCs/>
        </w:rPr>
        <w:t xml:space="preserve">Total experiments identified: </w:t>
      </w:r>
      <w:r>
        <w:t xml:space="preserve">37 DOEs across 5 domains, organized by implementation priority and regulatory complexity.</w:t>
      </w:r>
    </w:p>
    <w:p>
      <w:pPr>
        <w:pStyle w:val="Heading1"/>
      </w:pPr>
      <w:r>
        <w:t xml:space="preserve">Scope and Methodology</w:t>
      </w:r>
    </w:p>
    <w:p>
      <w:pPr>
        <w:spacing w:after="120"/>
      </w:pPr>
      <w:r>
        <w:t xml:space="preserve">The DOE framework applies systematic experimental design principles to both product-level manufacturing processes and enterprise supply chain operations. Each experiment is characterized by five dimensions:</w:t>
      </w:r>
    </w:p>
    <w:p>
      <w:pPr>
        <w:pStyle w:val="ListParagraph"/>
        <w:numPr>
          <w:ilvl w:val="0"/>
          <w:numId w:val="2"/>
        </w:numPr>
        <w:spacing w:after="60"/>
      </w:pPr>
      <w:r>
        <w:rPr>
          <w:rFonts w:ascii="Arial" w:cs="Arial" w:eastAsia="Arial" w:hAnsi="Arial"/>
          <w:sz w:val="22"/>
          <w:szCs w:val="22"/>
        </w:rPr>
        <w:t xml:space="preserve">Experimental Factors – the controllable input variables being tested</w:t>
      </w:r>
    </w:p>
    <w:p>
      <w:pPr>
        <w:pStyle w:val="ListParagraph"/>
        <w:numPr>
          <w:ilvl w:val="0"/>
          <w:numId w:val="2"/>
        </w:numPr>
        <w:spacing w:after="60"/>
      </w:pPr>
      <w:r>
        <w:rPr>
          <w:rFonts w:ascii="Arial" w:cs="Arial" w:eastAsia="Arial" w:hAnsi="Arial"/>
          <w:sz w:val="22"/>
          <w:szCs w:val="22"/>
        </w:rPr>
        <w:t xml:space="preserve">Levels – the specific values or conditions for each factor</w:t>
      </w:r>
    </w:p>
    <w:p>
      <w:pPr>
        <w:pStyle w:val="ListParagraph"/>
        <w:numPr>
          <w:ilvl w:val="0"/>
          <w:numId w:val="2"/>
        </w:numPr>
        <w:spacing w:after="60"/>
      </w:pPr>
      <w:r>
        <w:rPr>
          <w:rFonts w:ascii="Arial" w:cs="Arial" w:eastAsia="Arial" w:hAnsi="Arial"/>
          <w:sz w:val="22"/>
          <w:szCs w:val="22"/>
        </w:rPr>
        <w:t xml:space="preserve">Response Variables – the measurable outputs indicating performance</w:t>
      </w:r>
    </w:p>
    <w:p>
      <w:pPr>
        <w:pStyle w:val="ListParagraph"/>
        <w:numPr>
          <w:ilvl w:val="0"/>
          <w:numId w:val="2"/>
        </w:numPr>
        <w:spacing w:after="60"/>
      </w:pPr>
      <w:r>
        <w:rPr>
          <w:rFonts w:ascii="Arial" w:cs="Arial" w:eastAsia="Arial" w:hAnsi="Arial"/>
          <w:sz w:val="22"/>
          <w:szCs w:val="22"/>
        </w:rPr>
        <w:t xml:space="preserve">DOE Method – the statistical design appropriate to the experimental structure</w:t>
      </w:r>
    </w:p>
    <w:p>
      <w:pPr>
        <w:pStyle w:val="ListParagraph"/>
        <w:numPr>
          <w:ilvl w:val="0"/>
          <w:numId w:val="2"/>
        </w:numPr>
        <w:spacing w:after="200"/>
      </w:pPr>
      <w:r>
        <w:rPr>
          <w:rFonts w:ascii="Arial" w:cs="Arial" w:eastAsia="Arial" w:hAnsi="Arial"/>
          <w:sz w:val="22"/>
          <w:szCs w:val="22"/>
        </w:rPr>
        <w:t xml:space="preserve">Business Impact – the strategic value proposition driving the experiment</w:t>
      </w:r>
    </w:p>
    <w:p>
      <w:pPr>
        <w:spacing w:after="120"/>
      </w:pPr>
      <w:r>
        <w:t xml:space="preserve">Methods range from classical full and fractional factorial designs through response surface methodology (RSM), Taguchi robust parameter design, and advanced techniques including stochastic simulation-based DOE for network-level optimization under demand uncertainty.</w:t>
      </w:r>
    </w:p>
    <w:p>
      <w:pPr>
        <w:pStyle w:val="Heading1"/>
      </w:pPr>
      <w:r>
        <w:t xml:space="preserve">Hollister Product Lines and Manufacturing Footprint</w:t>
      </w:r>
    </w:p>
    <w:p>
      <w:pPr>
        <w:spacing w:after="120"/>
      </w:pPr>
      <w:r>
        <w:t xml:space="preserve">Understanding the manufacturing context is essential for proper DOE scoping. Hollister’s product portfolio and manufacturing network create distinct experimental domains:</w:t>
      </w:r>
    </w:p>
    <w:p>
      <w:pPr>
        <w:pStyle w:val="ListParagraph"/>
        <w:numPr>
          <w:ilvl w:val="0"/>
          <w:numId w:val="3"/>
        </w:numPr>
        <w:spacing w:after="60"/>
      </w:pPr>
      <w:r>
        <w:rPr>
          <w:b/>
          <w:bCs/>
        </w:rPr>
        <w:t xml:space="preserve">Ostomy Care</w:t>
      </w:r>
      <w:r>
        <w:t xml:space="preserve"> (Hollister Ostomy + Dansac Ostomy brands) – One-piece and two-piece pouching systems, CeraPlus skin barriers with ceramide technology, accessories. Primary manufacturing: Stuarts Draft, Ballina, Kaunas.</w:t>
      </w:r>
    </w:p>
    <w:p>
      <w:pPr>
        <w:pStyle w:val="ListParagraph"/>
        <w:numPr>
          <w:ilvl w:val="0"/>
          <w:numId w:val="3"/>
        </w:numPr>
        <w:spacing w:after="60"/>
      </w:pPr>
      <w:r>
        <w:rPr>
          <w:b/>
          <w:bCs/>
        </w:rPr>
        <w:t xml:space="preserve">Continence Care</w:t>
      </w:r>
      <w:r>
        <w:t xml:space="preserve"> – VaPro and Advance Plus intermittent catheters, Infyna Chic (women’s catheter), male external catheters, urine collectors, leg bags. R&amp;D center: Ballina. Manufacturing: Ballina, Stuarts Draft, Bawal.</w:t>
      </w:r>
    </w:p>
    <w:p>
      <w:pPr>
        <w:pStyle w:val="ListParagraph"/>
        <w:numPr>
          <w:ilvl w:val="0"/>
          <w:numId w:val="3"/>
        </w:numPr>
        <w:spacing w:after="60"/>
      </w:pPr>
      <w:r>
        <w:rPr>
          <w:b/>
          <w:bCs/>
        </w:rPr>
        <w:t xml:space="preserve">Wound Care</w:t>
      </w:r>
      <w:r>
        <w:t xml:space="preserve"> – Hydrofera Blue antibacterial foam, Restore dressings (foam, silver, alginate, hydrocolloid), Endoform dermal template, wound cleansers. Manufacturing: Stuarts Draft.</w:t>
      </w:r>
    </w:p>
    <w:p>
      <w:pPr>
        <w:pStyle w:val="ListParagraph"/>
        <w:numPr>
          <w:ilvl w:val="0"/>
          <w:numId w:val="3"/>
        </w:numPr>
        <w:spacing w:after="200"/>
      </w:pPr>
      <w:r>
        <w:rPr>
          <w:b/>
          <w:bCs/>
        </w:rPr>
        <w:t xml:space="preserve">Critical Care</w:t>
      </w:r>
      <w:r>
        <w:t xml:space="preserve"> – Tube fasteners, tube attachment devices, fecal management systems. Manufacturing: distributed across US facilities.</w:t>
      </w:r>
    </w:p>
    <w:p>
      <w:pPr>
        <w:pStyle w:val="Heading1"/>
      </w:pPr>
      <w:r>
        <w:t xml:space="preserve">DOE Experiments by Product Line</w:t>
      </w:r>
    </w:p>
    <w:p>
      <w:pPr>
        <w:spacing w:before="300" w:after="60"/>
      </w:pPr>
      <w:r>
        <w:rPr>
          <w:rFonts w:ascii="Arial" w:cs="Arial" w:eastAsia="Arial" w:hAnsi="Arial"/>
          <w:b/>
          <w:bCs/>
          <w:color w:val="2B7A78"/>
          <w:sz w:val="24"/>
          <w:szCs w:val="24"/>
        </w:rPr>
        <w:t xml:space="preserve">1. Ostomy Care DOEs</w:t>
      </w:r>
    </w:p>
    <w:p>
      <w:pPr>
        <w:spacing w:after="120"/>
      </w:pPr>
      <w:r>
        <w:rPr>
          <w:rFonts w:ascii="Arial" w:cs="Arial" w:eastAsia="Arial" w:hAnsi="Arial"/>
          <w:i/>
          <w:iCs/>
          <w:color w:val="555555"/>
          <w:sz w:val="20"/>
          <w:szCs w:val="20"/>
        </w:rPr>
        <w:t xml:space="preserve">Focus: Skin barrier performance, pouch integrity, manufacturing process parameters, CeraPlus ceramide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2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Experimental Factor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Response Variable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Business Impact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Skin barrier formulation blend ratio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blend ratios (ceramide concentration)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Barrier wear time (hours), skin irritation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Full factorial 3²</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Reduced returns, improved patient satisfaction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Pouch film laminate thickness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2 levels (current, -10%)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Odor containment rating, puncture resistance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2-factor factorial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Material cost reduction while maintaining quality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Adhesive cure time vs. temperature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temps × 3 cure times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Peel strength (N/cm), skin barrier integrity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Response surface (CCD)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Process throughput optimization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Flange coupling mechanism tolerance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3 tolerance bands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Audible click rate, leak frequency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Fractional factorial 2³⁻¹</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Field failure reduction, patient confidence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Sterilization method (EtO vs. gamma)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 methods × 3 dose levels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Bioburden, material degradation index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Split-plot design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Regulatory compliance, shelf life extension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Packaging seal width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3 widths (mm)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Sterile barrier integrity, peel force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Randomized block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Packaging waste reduction, ease of opening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CeraPlus ceramide loading concentration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4 loading levels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Moisture vapor transmission rate, skin pH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Taguchi L9 array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Peristomal skin health outcomes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Cut-to-fit vs. pre-cut stoma opening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2 types × 4 stoma sizes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Fit accuracy, application time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Nested factorial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SKU rationalization, inventory reduction</w:t>
            </w:r>
          </w:p>
        </w:tc>
      </w:tr>
    </w:tbl>
    <w:p>
      <w:pPr>
        <w:spacing w:after="200"/>
      </w:pPr>
    </w:p>
    <w:p>
      <w:r>
        <w:br w:type="page"/>
      </w:r>
    </w:p>
    <w:p>
      <w:pPr>
        <w:spacing w:before="300" w:after="60"/>
      </w:pPr>
      <w:r>
        <w:rPr>
          <w:rFonts w:ascii="Arial" w:cs="Arial" w:eastAsia="Arial" w:hAnsi="Arial"/>
          <w:b/>
          <w:bCs/>
          <w:color w:val="2B7A78"/>
          <w:sz w:val="24"/>
          <w:szCs w:val="24"/>
        </w:rPr>
        <w:t xml:space="preserve">2. Continence Care DOEs</w:t>
      </w:r>
    </w:p>
    <w:p>
      <w:pPr>
        <w:spacing w:after="120"/>
      </w:pPr>
      <w:r>
        <w:rPr>
          <w:rFonts w:ascii="Arial" w:cs="Arial" w:eastAsia="Arial" w:hAnsi="Arial"/>
          <w:i/>
          <w:iCs/>
          <w:color w:val="555555"/>
          <w:sz w:val="20"/>
          <w:szCs w:val="20"/>
        </w:rPr>
        <w:t xml:space="preserve">Focus: Catheter coating and design, infection prevention, patient experience, self-catheterization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2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Experimental Factor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Response Variable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Business Impact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Catheter hydrophilic coating thickness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thickness levels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Friction coefficient, UTI incidence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Full factorial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Clinical outcome improvement, market differentiation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VaPro protective tip geometry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4 tip designs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Bacterial transfer rate, insertion force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Balanced incomplete block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Infection risk reduction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Lubrication activation method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Water vs. saline vs. pre-activated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Lubricity retention (minutes), patient comfort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Latin square design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User experience optimization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Catheter shaft material (PVC vs. POBE)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2 materials × 3 durometers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Kink resistance, insertion ease score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2³ factorial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Material cost, patient preference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Leg bag valve mechanism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valve types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Flow rate, leak rate, one-hand operability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Randomized complete block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Patient independence, caregiver burden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Packaging sterile field design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3 configurations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Contamination rate, time to catheterize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Crossover design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Self-catheterization success rate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Infyna Chic form factor dimensions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length × 2 diameter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Discreetness rating, flow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Response surface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Female patient adoption rate</w:t>
            </w:r>
          </w:p>
        </w:tc>
      </w:tr>
    </w:tbl>
    <w:p>
      <w:pPr>
        <w:spacing w:after="200"/>
      </w:pPr>
    </w:p>
    <w:p>
      <w:pPr>
        <w:spacing w:before="300" w:after="60"/>
      </w:pPr>
      <w:r>
        <w:rPr>
          <w:rFonts w:ascii="Arial" w:cs="Arial" w:eastAsia="Arial" w:hAnsi="Arial"/>
          <w:b/>
          <w:bCs/>
          <w:color w:val="2B7A78"/>
          <w:sz w:val="24"/>
          <w:szCs w:val="24"/>
        </w:rPr>
        <w:t xml:space="preserve">3. Wound Care DOEs</w:t>
      </w:r>
    </w:p>
    <w:p>
      <w:pPr>
        <w:spacing w:after="120"/>
      </w:pPr>
      <w:r>
        <w:rPr>
          <w:rFonts w:ascii="Arial" w:cs="Arial" w:eastAsia="Arial" w:hAnsi="Arial"/>
          <w:i/>
          <w:iCs/>
          <w:color w:val="555555"/>
          <w:sz w:val="20"/>
          <w:szCs w:val="20"/>
        </w:rPr>
        <w:t xml:space="preserve">Focus: Dressing performance, antimicrobial efficacy, ECM processing, moisture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2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Experimental Factor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Response Variable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Business Impact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Hydrofera Blue foam pore size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pore size distributions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Absorption rate (g/cm²), antimicrobial efficacy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Full factorial 3²</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Wound healing time reduction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Silver dressing Ag+ release kinetics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4 concentration × 2 release profiles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Zone of inhibition, cytotoxicity index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Fractional factorial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Bioburden management effectiveness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Endoform ECM processing temperature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temperatures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Collagen integrity, epithelialization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Randomized block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Wound closure outcomes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Alginate dressing fiber blend ratio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3 Ca/Na alginate ratios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Gel blocking, fluid handling capacity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Mixture design (simplex)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Exudate management optimization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Hydrocolloid adhesion vs. moisture handling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adhesive × 3 hydrocolloid levels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Wear time, MVTR, skin maceration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Response surface (Box-Behnken)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Extended wear capability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Wound cleanser surfactant concentration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4 concentration levels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Biofilm disruption %, tissue viability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Dose-response design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Debridement efficacy vs. tissue safety</w:t>
            </w:r>
          </w:p>
        </w:tc>
      </w:tr>
    </w:tbl>
    <w:p>
      <w:pPr>
        <w:spacing w:after="200"/>
      </w:pPr>
    </w:p>
    <w:p>
      <w:r>
        <w:br w:type="page"/>
      </w:r>
    </w:p>
    <w:p>
      <w:pPr>
        <w:spacing w:before="300" w:after="60"/>
      </w:pPr>
      <w:r>
        <w:rPr>
          <w:rFonts w:ascii="Arial" w:cs="Arial" w:eastAsia="Arial" w:hAnsi="Arial"/>
          <w:b/>
          <w:bCs/>
          <w:color w:val="2B7A78"/>
          <w:sz w:val="24"/>
          <w:szCs w:val="24"/>
        </w:rPr>
        <w:t xml:space="preserve">4. Critical Care DOEs</w:t>
      </w:r>
    </w:p>
    <w:p>
      <w:pPr>
        <w:spacing w:after="120"/>
      </w:pPr>
      <w:r>
        <w:rPr>
          <w:rFonts w:ascii="Arial" w:cs="Arial" w:eastAsia="Arial" w:hAnsi="Arial"/>
          <w:i/>
          <w:iCs/>
          <w:color w:val="555555"/>
          <w:sz w:val="20"/>
          <w:szCs w:val="20"/>
        </w:rPr>
        <w:t xml:space="preserve">Focus: Securement reliability, pressure injury prevention, ICU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2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Experimental Factor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Response Variable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Business Impact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Tube fastener adhesive formulation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adhesive types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Securement force, skin strip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Randomized complete block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Unplanned extubation reduction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Tube attachment device material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2 materials × 2 thicknesses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Flexibility score, skin pressure index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2² full factorial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Pressure injury prevention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Fecal collector seal geometry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seal profiles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Wear time, leak incidence, peristomal skin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Balanced incomplete block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ICU nursing efficiency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Securement device repositionability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3 adhesive release profiles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Repositioning cycles before failure, residue score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Accelerated life test design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Cost per patient day reduction</w:t>
            </w:r>
          </w:p>
        </w:tc>
      </w:tr>
    </w:tbl>
    <w:p>
      <w:pPr>
        <w:spacing w:after="200"/>
      </w:pPr>
    </w:p>
    <w:p>
      <w:pPr>
        <w:spacing w:before="300" w:after="60"/>
      </w:pPr>
      <w:r>
        <w:rPr>
          <w:rFonts w:ascii="Arial" w:cs="Arial" w:eastAsia="Arial" w:hAnsi="Arial"/>
          <w:b/>
          <w:bCs/>
          <w:color w:val="2B7A78"/>
          <w:sz w:val="24"/>
          <w:szCs w:val="24"/>
        </w:rPr>
        <w:t xml:space="preserve">5. Cross-Cutting Supply Chain Network DOEs</w:t>
      </w:r>
    </w:p>
    <w:p>
      <w:pPr>
        <w:spacing w:after="120"/>
      </w:pPr>
      <w:r>
        <w:rPr>
          <w:rFonts w:ascii="Arial" w:cs="Arial" w:eastAsia="Arial" w:hAnsi="Arial"/>
          <w:i/>
          <w:iCs/>
          <w:color w:val="555555"/>
          <w:sz w:val="20"/>
          <w:szCs w:val="20"/>
        </w:rPr>
        <w:t xml:space="preserve">Focus: Network optimization, inventory buffers, ERP parameter tuning, lean kanban calibration,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2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Experimental Factor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Response Variable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Business Impact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Supplier lead time variability (raw materials)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supplier tiers × 2 regions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On-time delivery %, buffer stock 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Split-plot (region = whole plot)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Working capital optimization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Production batch size vs. changeover frequency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4 batch sizes × product family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OEE, inventory carrying cost, fill rate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Response surface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WIP efficiency, right-sized inventory buffers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Distribution center routing (Stuarts Draft vs. Ballina vs. Kaunas)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DCs × 4 market regions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Transit time, cost per unit, carbon footprint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Fractional factorial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Logistics cost and sustainability optimization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Demand forecasting model selection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3 models (ARIMA, ML, hybrid)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MAPE, bias, forecast value added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Paired comparison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Service level vs. inventory tradeoff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Sterilization queue scheduling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 scheduling algorithms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Queue wait time, equipment utilization, throughput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Discrete event simulation + DOE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Bottleneck elimination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Kanban signal calibration (Ballina lean)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3 kanban quantities × 3 replenishment frequencies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Stockout rate, WIP turns, floor space utilization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Taguchi robust design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Lean maturity advancement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Multi-site capacity allocation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Demand scenarios × 3 allocation strategies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Total cost to serve, resilience index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Stochastic DOE (Monte Carlo)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Network resilience, risk mitigation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SAP ERP replenishment parameter tuning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Safety stock × reorder point × lot size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Service level, excess inventory $, expedite frequency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Definitive screening design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18"/>
                <w:szCs w:val="18"/>
              </w:rPr>
              <w:t xml:space="preserve">ERP-driven inventory optimization</w:t>
            </w:r>
          </w:p>
        </w:tc>
      </w:tr>
    </w:tbl>
    <w:p>
      <w:pPr>
        <w:spacing w:after="200"/>
      </w:pPr>
    </w:p>
    <w:p>
      <w:r>
        <w:br w:type="page"/>
      </w:r>
    </w:p>
    <w:p>
      <w:pPr>
        <w:pStyle w:val="Heading1"/>
      </w:pPr>
      <w:r>
        <w:t xml:space="preserve">Implementation Prioritization Matrix</w:t>
      </w:r>
    </w:p>
    <w:p>
      <w:pPr>
        <w:spacing w:after="120"/>
      </w:pPr>
      <w:r>
        <w:t xml:space="preserve">The following matrix provides a recommended sequencing based on business impact, experimental complexity, regulatory burden, and alignment with Hollister’s strategic priorities including the €80M Ballina R&amp;D investment and HPS lean maturity goals.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gridCol w:w="960"/>
      </w:tblGrid>
      <w:tr>
        <w:tc>
          <w:tcPr>
            <w:tcW w:type="dxa" w:w="1400"/>
            <w:tcBorders>
              <w:top w:val="single" w:color="CCCCCC" w:sz="1"/>
              <w:left w:val="single" w:color="CCCCCC" w:sz="1"/>
              <w:bottom w:val="single" w:color="CCCCCC" w:sz="1"/>
              <w:right w:val="single" w:color="CCCCCC" w:sz="1"/>
            </w:tcBorders>
            <w:shd w:fill="2B7A7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Product Line</w:t>
            </w:r>
          </w:p>
        </w:tc>
        <w:tc>
          <w:tcPr>
            <w:tcW w:type="dxa" w:w="1400"/>
            <w:tcBorders>
              <w:top w:val="single" w:color="CCCCCC" w:sz="1"/>
              <w:left w:val="single" w:color="CCCCCC" w:sz="1"/>
              <w:bottom w:val="single" w:color="CCCCCC" w:sz="1"/>
              <w:right w:val="single" w:color="CCCCCC" w:sz="1"/>
            </w:tcBorders>
            <w:shd w:fill="2B7A7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Business Impact</w:t>
            </w:r>
          </w:p>
        </w:tc>
        <w:tc>
          <w:tcPr>
            <w:tcW w:type="dxa" w:w="1400"/>
            <w:tcBorders>
              <w:top w:val="single" w:color="CCCCCC" w:sz="1"/>
              <w:left w:val="single" w:color="CCCCCC" w:sz="1"/>
              <w:bottom w:val="single" w:color="CCCCCC" w:sz="1"/>
              <w:right w:val="single" w:color="CCCCCC" w:sz="1"/>
            </w:tcBorders>
            <w:shd w:fill="2B7A7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Complexity</w:t>
            </w:r>
          </w:p>
        </w:tc>
        <w:tc>
          <w:tcPr>
            <w:tcW w:type="dxa" w:w="1400"/>
            <w:tcBorders>
              <w:top w:val="single" w:color="CCCCCC" w:sz="1"/>
              <w:left w:val="single" w:color="CCCCCC" w:sz="1"/>
              <w:bottom w:val="single" w:color="CCCCCC" w:sz="1"/>
              <w:right w:val="single" w:color="CCCCCC" w:sz="1"/>
            </w:tcBorders>
            <w:shd w:fill="2B7A7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Regulatory Load</w:t>
            </w:r>
          </w:p>
        </w:tc>
        <w:tc>
          <w:tcPr>
            <w:tcW w:type="dxa" w:w="1400"/>
            <w:tcBorders>
              <w:top w:val="single" w:color="CCCCCC" w:sz="1"/>
              <w:left w:val="single" w:color="CCCCCC" w:sz="1"/>
              <w:bottom w:val="single" w:color="CCCCCC" w:sz="1"/>
              <w:right w:val="single" w:color="CCCCCC" w:sz="1"/>
            </w:tcBorders>
            <w:shd w:fill="2B7A7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Priority</w:t>
            </w:r>
          </w:p>
        </w:tc>
        <w:tc>
          <w:tcPr>
            <w:tcW w:type="dxa" w:w="1400"/>
            <w:tcBorders>
              <w:top w:val="single" w:color="CCCCCC" w:sz="1"/>
              <w:left w:val="single" w:color="CCCCCC" w:sz="1"/>
              <w:bottom w:val="single" w:color="CCCCCC" w:sz="1"/>
              <w:right w:val="single" w:color="CCCCCC" w:sz="1"/>
            </w:tcBorders>
            <w:shd w:fill="2B7A7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Timeline</w:t>
            </w:r>
          </w:p>
        </w:tc>
        <w:tc>
          <w:tcPr>
            <w:tcW w:type="dxa" w:w="960"/>
            <w:tcBorders>
              <w:top w:val="single" w:color="CCCCCC" w:sz="1"/>
              <w:left w:val="single" w:color="CCCCCC" w:sz="1"/>
              <w:bottom w:val="single" w:color="CCCCCC" w:sz="1"/>
              <w:right w:val="single" w:color="CCCCCC" w:sz="1"/>
            </w:tcBorders>
            <w:shd w:fill="2B7A7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Investment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Ostomy Care</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High</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Medium</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Q1-Q2</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Continence Care</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High</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High</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Q2-Q3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Supply Chain Network</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High</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Medium</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Q1-Q2</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Wound Care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Medium</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Medium</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Q3-Q4</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Critical Care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Medium</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Low</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Q3-Q4</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w:t>
            </w:r>
          </w:p>
        </w:tc>
      </w:tr>
    </w:tbl>
    <w:p>
      <w:pPr>
        <w:spacing w:before="200" w:after="200"/>
      </w:pPr>
    </w:p>
    <w:p>
      <w:pPr>
        <w:pStyle w:val="Heading1"/>
      </w:pPr>
      <w:r>
        <w:t xml:space="preserve">Implementation Roadmap</w:t>
      </w:r>
    </w:p>
    <w:p>
      <w:pPr>
        <w:pStyle w:val="Heading2"/>
      </w:pPr>
      <w:r>
        <w:t xml:space="preserve">Phase 1: Foundation (Months 1–3)</w:t>
      </w:r>
    </w:p>
    <w:p>
      <w:pPr>
        <w:pStyle w:val="ListParagraph"/>
        <w:numPr>
          <w:ilvl w:val="0"/>
          <w:numId w:val="4"/>
        </w:numPr>
        <w:spacing w:after="60"/>
      </w:pPr>
      <w:r>
        <w:t xml:space="preserve">Establish DOE governance structure aligned with HPS lean methodology</w:t>
      </w:r>
    </w:p>
    <w:p>
      <w:pPr>
        <w:pStyle w:val="ListParagraph"/>
        <w:numPr>
          <w:ilvl w:val="0"/>
          <w:numId w:val="4"/>
        </w:numPr>
        <w:spacing w:after="60"/>
      </w:pPr>
      <w:r>
        <w:t xml:space="preserve">Deploy supply chain network DOEs (inventory buffers, SAP parameter tuning, kanban calibration)</w:t>
      </w:r>
    </w:p>
    <w:p>
      <w:pPr>
        <w:pStyle w:val="ListParagraph"/>
        <w:numPr>
          <w:ilvl w:val="0"/>
          <w:numId w:val="4"/>
        </w:numPr>
        <w:spacing w:after="60"/>
      </w:pPr>
      <w:r>
        <w:t xml:space="preserve">Initiate ostomy care CeraPlus barrier formulation and adhesive cure DOEs</w:t>
      </w:r>
    </w:p>
    <w:p>
      <w:pPr>
        <w:pStyle w:val="ListParagraph"/>
        <w:numPr>
          <w:ilvl w:val="0"/>
          <w:numId w:val="4"/>
        </w:numPr>
        <w:spacing w:after="60"/>
      </w:pPr>
      <w:r>
        <w:t xml:space="preserve">Integrate DOE data collection with SAP ERP quality management module</w:t>
      </w:r>
    </w:p>
    <w:p>
      <w:pPr>
        <w:pStyle w:val="ListParagraph"/>
        <w:numPr>
          <w:ilvl w:val="0"/>
          <w:numId w:val="4"/>
        </w:numPr>
        <w:spacing w:after="200"/>
      </w:pPr>
      <w:r>
        <w:t xml:space="preserve">Train cross-functional teams at Stuarts Draft and Ballina on DOE methodology</w:t>
      </w:r>
    </w:p>
    <w:p>
      <w:pPr>
        <w:pStyle w:val="Heading2"/>
      </w:pPr>
      <w:r>
        <w:t xml:space="preserve">Phase 2: Expansion (Months 4–6)</w:t>
      </w:r>
    </w:p>
    <w:p>
      <w:pPr>
        <w:pStyle w:val="ListParagraph"/>
        <w:numPr>
          <w:ilvl w:val="0"/>
          <w:numId w:val="4"/>
        </w:numPr>
        <w:spacing w:after="60"/>
      </w:pPr>
      <w:r>
        <w:t xml:space="preserve">Launch continence care catheter coating and VaPro tip geometry experiments</w:t>
      </w:r>
    </w:p>
    <w:p>
      <w:pPr>
        <w:pStyle w:val="ListParagraph"/>
        <w:numPr>
          <w:ilvl w:val="0"/>
          <w:numId w:val="4"/>
        </w:numPr>
        <w:spacing w:after="60"/>
      </w:pPr>
      <w:r>
        <w:t xml:space="preserve">Execute multi-site capacity allocation and distribution routing DOEs</w:t>
      </w:r>
    </w:p>
    <w:p>
      <w:pPr>
        <w:pStyle w:val="ListParagraph"/>
        <w:numPr>
          <w:ilvl w:val="0"/>
          <w:numId w:val="4"/>
        </w:numPr>
        <w:spacing w:after="60"/>
      </w:pPr>
      <w:r>
        <w:t xml:space="preserve">Begin regulatory pre-submission consultations for product-modifying experiments</w:t>
      </w:r>
    </w:p>
    <w:p>
      <w:pPr>
        <w:pStyle w:val="ListParagraph"/>
        <w:numPr>
          <w:ilvl w:val="0"/>
          <w:numId w:val="4"/>
        </w:numPr>
        <w:spacing w:after="200"/>
      </w:pPr>
      <w:r>
        <w:t xml:space="preserve">Establish DOE results repository and knowledge management system</w:t>
      </w:r>
    </w:p>
    <w:p>
      <w:pPr>
        <w:pStyle w:val="Heading2"/>
      </w:pPr>
      <w:r>
        <w:t xml:space="preserve">Phase 3: Optimization (Months 7–12)</w:t>
      </w:r>
    </w:p>
    <w:p>
      <w:pPr>
        <w:pStyle w:val="ListParagraph"/>
        <w:numPr>
          <w:ilvl w:val="0"/>
          <w:numId w:val="4"/>
        </w:numPr>
        <w:spacing w:after="60"/>
      </w:pPr>
      <w:r>
        <w:t xml:space="preserve">Deploy wound care and critical care DOEs</w:t>
      </w:r>
    </w:p>
    <w:p>
      <w:pPr>
        <w:pStyle w:val="ListParagraph"/>
        <w:numPr>
          <w:ilvl w:val="0"/>
          <w:numId w:val="4"/>
        </w:numPr>
        <w:spacing w:after="60"/>
      </w:pPr>
      <w:r>
        <w:t xml:space="preserve">Implement confirmation runs and validated optimal settings</w:t>
      </w:r>
    </w:p>
    <w:p>
      <w:pPr>
        <w:pStyle w:val="ListParagraph"/>
        <w:numPr>
          <w:ilvl w:val="0"/>
          <w:numId w:val="4"/>
        </w:numPr>
        <w:spacing w:after="60"/>
      </w:pPr>
      <w:r>
        <w:t xml:space="preserve">Build predictive models from DOE results feeding into digital twin capabilities</w:t>
      </w:r>
    </w:p>
    <w:p>
      <w:pPr>
        <w:pStyle w:val="ListParagraph"/>
        <w:numPr>
          <w:ilvl w:val="0"/>
          <w:numId w:val="4"/>
        </w:numPr>
        <w:spacing w:after="60"/>
      </w:pPr>
      <w:r>
        <w:t xml:space="preserve">Quantify cumulative business value (target: 15–20% supply chain cost reduction)</w:t>
      </w:r>
    </w:p>
    <w:p>
      <w:pPr>
        <w:pStyle w:val="ListParagraph"/>
        <w:numPr>
          <w:ilvl w:val="0"/>
          <w:numId w:val="4"/>
        </w:numPr>
        <w:spacing w:after="200"/>
      </w:pPr>
      <w:r>
        <w:t xml:space="preserve">Transition to continuous improvement cycle using DOE as standard HPS practice</w:t>
      </w:r>
    </w:p>
    <w:p>
      <w:pPr>
        <w:pStyle w:val="Heading1"/>
      </w:pPr>
      <w:r>
        <w:t xml:space="preserve">DOE Governance and Integration Points</w:t>
      </w:r>
    </w:p>
    <w:p>
      <w:pPr>
        <w:spacing w:after="120"/>
      </w:pPr>
      <w:r>
        <w:t xml:space="preserve">Effective DOE execution requires integration with Hollister’s existing operational and governance frameworks:</w:t>
      </w:r>
    </w:p>
    <w:p>
      <w:pPr>
        <w:pStyle w:val="ListParagraph"/>
        <w:numPr>
          <w:ilvl w:val="0"/>
          <w:numId w:val="4"/>
        </w:numPr>
        <w:spacing w:after="60"/>
      </w:pPr>
      <w:r>
        <w:rPr>
          <w:b/>
          <w:bCs/>
        </w:rPr>
        <w:t xml:space="preserve">HPS Integration</w:t>
      </w:r>
      <w:r>
        <w:t xml:space="preserve"> – DOE experiments should be governed as HPS improvement projects with standardized A3 problem-solving documentation and PDCA cycle alignment</w:t>
      </w:r>
    </w:p>
    <w:p>
      <w:pPr>
        <w:pStyle w:val="ListParagraph"/>
        <w:numPr>
          <w:ilvl w:val="0"/>
          <w:numId w:val="4"/>
        </w:numPr>
        <w:spacing w:after="60"/>
      </w:pPr>
      <w:r>
        <w:rPr>
          <w:b/>
          <w:bCs/>
        </w:rPr>
        <w:t xml:space="preserve">SAP ERP Data Layer</w:t>
      </w:r>
      <w:r>
        <w:t xml:space="preserve"> – Experimental parameters and results should feed into SAP Quality Management (QM) and Production Planning (PP) modules for automated parameter adjustment</w:t>
      </w:r>
    </w:p>
    <w:p>
      <w:pPr>
        <w:pStyle w:val="ListParagraph"/>
        <w:numPr>
          <w:ilvl w:val="0"/>
          <w:numId w:val="4"/>
        </w:numPr>
        <w:spacing w:after="60"/>
      </w:pPr>
      <w:r>
        <w:rPr>
          <w:b/>
          <w:bCs/>
        </w:rPr>
        <w:t xml:space="preserve">Regulatory Alignment</w:t>
      </w:r>
      <w:r>
        <w:t xml:space="preserve"> – Product-modifying DOEs (especially ostomy barrier and catheter experiments) require Design History File (DHF) documentation per FDA 21 CFR 820 and EU MDR 2017/745</w:t>
      </w:r>
    </w:p>
    <w:p>
      <w:pPr>
        <w:pStyle w:val="ListParagraph"/>
        <w:numPr>
          <w:ilvl w:val="0"/>
          <w:numId w:val="4"/>
        </w:numPr>
        <w:spacing w:after="60"/>
      </w:pPr>
      <w:r>
        <w:rPr>
          <w:b/>
          <w:bCs/>
        </w:rPr>
        <w:t xml:space="preserve">Cross-Functional Ownership</w:t>
      </w:r>
      <w:r>
        <w:t xml:space="preserve"> – Each DOE should have a designated owner spanning R&amp;D, Manufacturing, Supply Chain, and Quality, with executive sponsorship from Global Operations leadership</w:t>
      </w:r>
    </w:p>
    <w:p>
      <w:pPr>
        <w:pStyle w:val="ListParagraph"/>
        <w:numPr>
          <w:ilvl w:val="0"/>
          <w:numId w:val="4"/>
        </w:numPr>
        <w:spacing w:after="200"/>
      </w:pPr>
      <w:r>
        <w:rPr>
          <w:b/>
          <w:bCs/>
        </w:rPr>
        <w:t xml:space="preserve">Knowledge Capture</w:t>
      </w:r>
      <w:r>
        <w:t xml:space="preserve"> – DOE results should be encoded into a structured knowledge repository (semantic layer) enabling reuse across sites and future product development programs</w:t>
      </w:r>
    </w:p>
    <w:p>
      <w:pPr>
        <w:pStyle w:val="Heading1"/>
      </w:pPr>
      <w:r>
        <w:t xml:space="preserve">Expected Outcomes</w:t>
      </w:r>
    </w:p>
    <w:p>
      <w:pPr>
        <w:spacing w:after="120"/>
      </w:pPr>
      <w:r>
        <w:t xml:space="preserve">When fully implemented, this DOE framework is projected to deliver the following quantified benefits across Hollister’s supply chain and product portfolio:</w:t>
      </w:r>
    </w:p>
    <w:p>
      <w:pPr>
        <w:pStyle w:val="ListParagraph"/>
        <w:numPr>
          <w:ilvl w:val="0"/>
          <w:numId w:val="5"/>
        </w:numPr>
        <w:spacing w:after="60"/>
      </w:pPr>
      <w:r>
        <w:t xml:space="preserve">15–20% reduction in supply chain operating costs through inventory buffer optimization and logistics network redesign</w:t>
      </w:r>
    </w:p>
    <w:p>
      <w:pPr>
        <w:pStyle w:val="ListParagraph"/>
        <w:numPr>
          <w:ilvl w:val="0"/>
          <w:numId w:val="5"/>
        </w:numPr>
        <w:spacing w:after="60"/>
      </w:pPr>
      <w:r>
        <w:t xml:space="preserve">10–15% improvement in OEE across manufacturing sites through process parameter optimization</w:t>
      </w:r>
    </w:p>
    <w:p>
      <w:pPr>
        <w:pStyle w:val="ListParagraph"/>
        <w:numPr>
          <w:ilvl w:val="0"/>
          <w:numId w:val="5"/>
        </w:numPr>
        <w:spacing w:after="60"/>
      </w:pPr>
      <w:r>
        <w:t xml:space="preserve">Measurable improvement in patient outcomes (barrier wear time, UTI reduction, wound healing rates)</w:t>
      </w:r>
    </w:p>
    <w:p>
      <w:pPr>
        <w:pStyle w:val="ListParagraph"/>
        <w:numPr>
          <w:ilvl w:val="0"/>
          <w:numId w:val="5"/>
        </w:numPr>
        <w:spacing w:after="60"/>
      </w:pPr>
      <w:r>
        <w:t xml:space="preserve">30–40% reduction in expedited orders through improved demand-supply alignment</w:t>
      </w:r>
    </w:p>
    <w:p>
      <w:pPr>
        <w:pStyle w:val="ListParagraph"/>
        <w:numPr>
          <w:ilvl w:val="0"/>
          <w:numId w:val="5"/>
        </w:numPr>
        <w:spacing w:after="60"/>
      </w:pPr>
      <w:r>
        <w:t xml:space="preserve">SKU rationalization enabling 10–15% inventory reduction while maintaining service levels</w:t>
      </w:r>
    </w:p>
    <w:p>
      <w:pPr>
        <w:pStyle w:val="ListParagraph"/>
        <w:numPr>
          <w:ilvl w:val="0"/>
          <w:numId w:val="5"/>
        </w:numPr>
        <w:spacing w:after="60"/>
      </w:pPr>
      <w:r>
        <w:t xml:space="preserve">Accelerated time-to-market for new product variants through systematic experimental learning</w:t>
      </w:r>
    </w:p>
    <w:p>
      <w:pPr>
        <w:pStyle w:val="ListParagraph"/>
        <w:numPr>
          <w:ilvl w:val="0"/>
          <w:numId w:val="5"/>
        </w:numPr>
        <w:spacing w:after="200"/>
      </w:pPr>
      <w:r>
        <w:t xml:space="preserve">Foundation for digital twin and predictive analytics capabilities leveraging DOE-derived models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999999"/>
        <w:sz w:val="14"/>
        <w:szCs w:val="14"/>
      </w:rPr>
      <w:t xml:space="preserve">The Value Enablement Group – Confidential</w:t>
    </w:r>
    <w:r>
      <w:rPr>
        <w:rFonts w:ascii="Arial" w:cs="Arial" w:eastAsia="Arial" w:hAnsi="Arial"/>
      </w:rPr>
      <w:t xml:space="preserve">	</w:t>
    </w: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7A78" w:sz="4" w:space="4"/>
      </w:pBdr>
      <w:tabs>
        <w:tab w:val="right" w:pos="9360"/>
      </w:tabs>
    </w:pPr>
    <w:r>
      <w:rPr>
        <w:rFonts w:ascii="Arial" w:cs="Arial" w:eastAsia="Arial" w:hAnsi="Arial"/>
        <w:b/>
        <w:bCs/>
        <w:color w:val="1B3A5C"/>
        <w:sz w:val="16"/>
        <w:szCs w:val="16"/>
      </w:rPr>
      <w:t xml:space="preserve">Hollister Incorporated</w:t>
    </w:r>
    <w:r>
      <w:rPr>
        <w:rFonts w:ascii="Arial" w:cs="Arial" w:eastAsia="Arial" w:hAnsi="Arial"/>
      </w:rPr>
      <w:t xml:space="preserve">	</w:t>
    </w:r>
    <w:r>
      <w:rPr>
        <w:rFonts w:ascii="Arial" w:cs="Arial" w:eastAsia="Arial" w:hAnsi="Arial"/>
        <w:color w:val="888888"/>
        <w:sz w:val="16"/>
        <w:szCs w:val="16"/>
      </w:rPr>
      <w:t xml:space="preserve">DOE Framework – Supply Chain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7A7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C8DA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2026-02-17T12:52:24.076Z</dcterms:created>
  <dcterms:modified xsi:type="dcterms:W3CDTF">2026-02-17T12:52:24.077Z</dcterms:modified>
</cp:coreProperties>
</file>

<file path=docProps/custom.xml><?xml version="1.0" encoding="utf-8"?>
<Properties xmlns="http://schemas.openxmlformats.org/officeDocument/2006/custom-properties" xmlns:vt="http://schemas.openxmlformats.org/officeDocument/2006/docPropsVTypes"/>
</file>