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rPr/>
      </w:pPr>
      <w:r w:rsidRPr="00000000" w:rsidR="00000000" w:rsidDel="00000000">
        <w:rPr>
          <w:rtl w:val="0"/>
        </w:rPr>
      </w:r>
    </w:p>
    <w:tbl>
      <w:tblPr>
        <w:tblStyle w:val="Table1"/>
        <w:bidiVisual w:val="0"/>
        <w:tblW w:w="3310.0" w:type="dxa"/>
        <w:jc w:val="left"/>
        <w:tblLayout w:type="fixed"/>
        <w:tblLook w:val="0600"/>
      </w:tblPr>
      <w:tblGrid>
        <w:gridCol w:w="2375"/>
        <w:gridCol w:w="935"/>
        <w:tblGridChange w:id="0">
          <w:tblGrid>
            <w:gridCol w:w="2375"/>
            <w:gridCol w:w="935"/>
          </w:tblGrid>
        </w:tblGridChange>
      </w:tblGrid>
      <w:tr>
        <w:tc>
          <w:tcPr>
            <w:tcMar>
              <w:top w:w="100.0" w:type="dxa"/>
              <w:left w:w="100.0" w:type="dxa"/>
              <w:bottom w:w="100.0" w:type="dxa"/>
              <w:right w:w="100.0" w:type="dxa"/>
            </w:tcMar>
            <w:vAlign w:val="bottom"/>
          </w:tcPr>
          <w:p w:rsidP="00000000" w:rsidRPr="00000000" w:rsidR="00000000" w:rsidDel="00000000" w:rsidRDefault="00000000">
            <w:pPr>
              <w:contextualSpacing w:val="0"/>
              <w:rPr/>
            </w:pPr>
            <w:commentRangeStart w:id="0"/>
            <w:r w:rsidRPr="00000000" w:rsidR="00000000" w:rsidDel="00000000">
              <w:rPr>
                <w:b w:val="1"/>
                <w:rtl w:val="0"/>
              </w:rPr>
              <w:t xml:space="preserve">Entity</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b w:val="1"/>
                <w:rtl w:val="0"/>
              </w:rPr>
              <w:t xml:space="preserve">Core?</w:t>
            </w:r>
            <w:commentRangeEnd w:id="0"/>
            <w:r w:rsidRPr="00000000" w:rsidR="00000000" w:rsidDel="00000000">
              <w:commentReference w:id="0"/>
            </w:r>
            <w:r w:rsidRPr="00000000" w:rsidR="00000000" w:rsidDel="00000000">
              <w:rPr>
                <w:rtl w:val="0"/>
              </w:rPr>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Business Unit</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Capability</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Customer</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Information</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Organization</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Stakeholder</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Value Stage</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Value Stream</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Y</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Business Process</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Customer Segment</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Goal</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Initiative</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Mission</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Objective</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Product</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Product Line</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Product Portfolio</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Program</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Project</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Project Portfolio</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Strategy</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Tactic</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r>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Vision</w:t>
            </w:r>
          </w:p>
        </w:tc>
        <w:tc>
          <w:tcPr>
            <w:tcMar>
              <w:top w:w="100.0" w:type="dxa"/>
              <w:left w:w="100.0" w:type="dxa"/>
              <w:bottom w:w="100.0" w:type="dxa"/>
              <w:right w:w="100.0" w:type="dxa"/>
            </w:tcMar>
            <w:vAlign w:val="bottom"/>
          </w:tcPr>
          <w:p w:rsidP="00000000" w:rsidRPr="00000000" w:rsidR="00000000" w:rsidDel="00000000" w:rsidRDefault="00000000">
            <w:pPr>
              <w:contextualSpacing w:val="0"/>
              <w:rPr/>
            </w:pPr>
            <w:r w:rsidRPr="00000000" w:rsidR="00000000" w:rsidDel="00000000">
              <w:rPr>
                <w:rtl w:val="0"/>
              </w:rPr>
              <w:t xml:space="preserve">N</w:t>
            </w:r>
          </w:p>
        </w:tc>
      </w:tr>
    </w:tbl>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Relationships between non-core entities and between a core entity and a non-core entity are excluded from the core. These get added back in when the core has stabilized and we start considering linkages to strategy, initiative, process, IT portfolio, et cetera.</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The strategy domain is going to be a challenge. There are 30+ different approaches to strategy, with about half a dozen being relatively popular.</w:t>
      </w:r>
    </w:p>
    <w:p w:rsidP="00000000" w:rsidRPr="00000000" w:rsidR="00000000" w:rsidDel="00000000" w:rsidRDefault="00000000">
      <w:pPr>
        <w:contextualSpacing w:val="0"/>
        <w:rPr/>
      </w:pPr>
      <w:r w:rsidRPr="00000000" w:rsidR="00000000" w:rsidDel="00000000">
        <w:rPr>
          <w:rtl w:val="0"/>
        </w:rPr>
        <w:t xml:space="preserve">To be able to accommodate all of these approaches, we need a simple metamodel from which the others can be considered to be specializations. In the work on this topic that Neal and I did a couple of years ago, we distilled strategy down to a simple action/effect pattern coupled with a set of analytic approach patterns. We believed that all of the strategy models we considered could be considered as views on specializations of this metamodel pattern. For example, SWOT drops the action/effect part of the metamodel and aggregates the actions and effects into groups according to the analytic dimensions of Strength, Weakness, Opportunity, Threat. We looked at how this projects onto Porter’s Five Forces and Kaplan-Norton Strategy Maps and it seemed to work. We did not exhaustively test other models.</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There is a bit of metamodeling slight of hand here as the AnalyticApproach entity relates not to actions and effects but rather to an instance of the action/effect pattern. I would handle this technically by introducing the notion of a query as a first class entity in the metamodel. This is a routine procedure in logic and semantics, but is not a part of any UML or MOF based modeling framework. The query allows one part of the metamodel to refer to a selection/projection of another part of the model. I am convinced that we will need such machinery to handle linkages from the core parts of the BA metamodel to the non-core parts.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sectPr>
      <w:pgSz w:w="12240" w:h="15840"/>
      <w:pgMar w:left="1440" w:right="1440" w:top="1440" w:bottom="144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id="0" w:date="2014-04-10T19:29:52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Products (that's why companies do exist)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Project (required for initiatives)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Business process (important business architecture concept)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 Franz Thiel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 w:styleId="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settings.xml" Type="http://schemas.openxmlformats.org/officeDocument/2006/relationships/settings" Id="rId2"/><Relationship Target="comments.xml" Type="http://schemas.openxmlformats.org/officeDocument/2006/relationships/comments" Id="rId1"/><Relationship Target="numbering.xml" Type="http://schemas.openxmlformats.org/officeDocument/2006/relationships/numbering" Id="rId4"/><Relationship Target="fontTable.xml" Type="http://schemas.openxmlformats.org/officeDocument/2006/relationships/fontTable" Id="rId3"/><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 Ryne's Model Review (recommendations).docx</dc:title>
</cp:coreProperties>
</file>