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B066" w14:textId="7810B3B8" w:rsidR="00CE6ECD" w:rsidRDefault="008405D5">
      <w:pPr>
        <w:rPr>
          <w:b/>
          <w:bCs/>
        </w:rPr>
      </w:pPr>
      <w:r>
        <w:rPr>
          <w:b/>
          <w:bCs/>
        </w:rPr>
        <w:t>Identification of binary attributes related to high acceptance rates for Coffee House coupons</w:t>
      </w:r>
    </w:p>
    <w:p w14:paraId="233DE2FD" w14:textId="23BD4C12" w:rsidR="008405D5" w:rsidRDefault="008405D5" w:rsidP="008405D5">
      <w:pPr>
        <w:jc w:val="both"/>
      </w:pPr>
      <w:r>
        <w:t>I analyzed attributes that contributed to high rates of acceptance of Coffee House coupons (CC). I approached this first by plotting the rate of coupon acceptance for any given attribute in each category of data (</w:t>
      </w:r>
      <w:r w:rsidRPr="008405D5">
        <w:rPr>
          <w:b/>
          <w:bCs/>
        </w:rPr>
        <w:t>Fig</w:t>
      </w:r>
      <w:r>
        <w:t xml:space="preserve">. 1). The only excluded category was related to ‘car’s as the majority of this data were empty.  The red line in </w:t>
      </w:r>
      <w:r w:rsidRPr="008405D5">
        <w:rPr>
          <w:b/>
          <w:bCs/>
        </w:rPr>
        <w:t>Fig</w:t>
      </w:r>
      <w:r>
        <w:rPr>
          <w:b/>
          <w:bCs/>
        </w:rPr>
        <w:t>.</w:t>
      </w:r>
      <w:r w:rsidRPr="008405D5">
        <w:rPr>
          <w:b/>
          <w:bCs/>
        </w:rPr>
        <w:t xml:space="preserve"> </w:t>
      </w:r>
      <w:r>
        <w:t>1 shows the average acceptance rate for CC, 50%. Values higher than this are demonstrate a higher probability of CC relative to the basal CC. The top three single attributes that correlate with high CC are: {Occupation: Healthcare Practitioners &amp; Technical; CC = 76%, Age: below 21; CC = 70%, CoffeHouse Visit Frequency: 4-8; CC = 69%} (</w:t>
      </w:r>
      <w:r w:rsidRPr="008405D5">
        <w:rPr>
          <w:b/>
          <w:bCs/>
        </w:rPr>
        <w:t>Fig.</w:t>
      </w:r>
      <w:r>
        <w:t xml:space="preserve"> 1). I then asked whether or not binary combinations of attributes that result in the highest CC for a given category result in even higher CC. For example: “What is the CC for healthcare practi</w:t>
      </w:r>
      <w:r w:rsidR="00CB463D">
        <w:t>ti</w:t>
      </w:r>
      <w:r>
        <w:t>oners that go to a CoffeeHouse 4-8 times a month?”.  I made a simple heat map (</w:t>
      </w:r>
      <w:r>
        <w:rPr>
          <w:b/>
          <w:bCs/>
        </w:rPr>
        <w:t xml:space="preserve">Fig. </w:t>
      </w:r>
      <w:r>
        <w:t>2) to investigate this, where the color represents CC and the number in the square represents the number of observations for the binary condition. The ax</w:t>
      </w:r>
      <w:r w:rsidR="00563B17">
        <w:t>e</w:t>
      </w:r>
      <w:r>
        <w:t xml:space="preserve">s are each high CC attribute. We can see that the categories with very high CC tend to possess few (&lt;100) observations and should therefore hesitate on generalizing some of the assumptions of this study. However, performing these analyses I found </w:t>
      </w:r>
      <w:r w:rsidR="00CB463D">
        <w:t>a few attribute tuples that result in extraordinarily high CC</w:t>
      </w:r>
      <w:r w:rsidR="00152BD1">
        <w:t>.</w:t>
      </w:r>
      <w:r w:rsidR="00CB463D">
        <w:t xml:space="preserve"> </w:t>
      </w:r>
      <w:r w:rsidR="00152BD1">
        <w:t>F</w:t>
      </w:r>
      <w:r w:rsidR="00CB463D">
        <w:t>or example</w:t>
      </w:r>
      <w:r w:rsidR="00E81299">
        <w:t>,</w:t>
      </w:r>
      <w:r w:rsidR="00CB463D">
        <w:t xml:space="preserve"> healthcare practitioners</w:t>
      </w:r>
      <w:r w:rsidR="00E81299">
        <w:t xml:space="preserve"> </w:t>
      </w:r>
      <w:r w:rsidR="00CB463D">
        <w:t>that go to more expensive restaurants &gt;8 times a month have 100% acceptance rate, although only 10 observations of this exist. A more frequent attribute tuple with high acceptance rate is an income from 87500-99999 and &gt;8 coffee house visits per month at CC = 90% and 42 observations. The top 20 CCs from binary attribute groups is given in (</w:t>
      </w:r>
      <w:r w:rsidR="00CB463D">
        <w:rPr>
          <w:b/>
          <w:bCs/>
        </w:rPr>
        <w:t xml:space="preserve">Table </w:t>
      </w:r>
      <w:r w:rsidR="00CB463D">
        <w:t xml:space="preserve">1). We can see this type of Bayesian analysis is very powerful for identifying whether or not a person is likely to accept Coffee Coupons. This analysis can be applied to other accept conditions and can be further implemented at higher than binary </w:t>
      </w:r>
      <w:r w:rsidR="00304645">
        <w:t>dimensions</w:t>
      </w:r>
      <w:r w:rsidR="00CB463D">
        <w:t xml:space="preserve">, at the cost of higher compute. </w:t>
      </w:r>
    </w:p>
    <w:p w14:paraId="4488E406" w14:textId="77777777" w:rsidR="00CB463D" w:rsidRDefault="00CB463D" w:rsidP="008405D5">
      <w:pPr>
        <w:jc w:val="both"/>
        <w:rPr>
          <w:b/>
          <w:bCs/>
        </w:rPr>
      </w:pPr>
    </w:p>
    <w:p w14:paraId="77DF3884" w14:textId="77777777" w:rsidR="00CB463D" w:rsidRDefault="00CB463D" w:rsidP="008405D5">
      <w:pPr>
        <w:jc w:val="both"/>
        <w:rPr>
          <w:b/>
          <w:bCs/>
        </w:rPr>
      </w:pPr>
    </w:p>
    <w:p w14:paraId="05D93532" w14:textId="77777777" w:rsidR="00CB463D" w:rsidRDefault="00CB463D" w:rsidP="008405D5">
      <w:pPr>
        <w:jc w:val="both"/>
        <w:rPr>
          <w:b/>
          <w:bCs/>
        </w:rPr>
      </w:pPr>
    </w:p>
    <w:p w14:paraId="70DF9E90" w14:textId="77777777" w:rsidR="00CB463D" w:rsidRDefault="00CB463D" w:rsidP="008405D5">
      <w:pPr>
        <w:jc w:val="both"/>
        <w:rPr>
          <w:b/>
          <w:bCs/>
        </w:rPr>
      </w:pPr>
    </w:p>
    <w:p w14:paraId="32A4E2E8" w14:textId="77777777" w:rsidR="00CB463D" w:rsidRDefault="00CB463D" w:rsidP="008405D5">
      <w:pPr>
        <w:jc w:val="both"/>
        <w:rPr>
          <w:b/>
          <w:bCs/>
        </w:rPr>
      </w:pPr>
    </w:p>
    <w:p w14:paraId="285AF7DC" w14:textId="77777777" w:rsidR="00CB463D" w:rsidRDefault="00CB463D" w:rsidP="008405D5">
      <w:pPr>
        <w:jc w:val="both"/>
        <w:rPr>
          <w:b/>
          <w:bCs/>
        </w:rPr>
      </w:pPr>
    </w:p>
    <w:p w14:paraId="652C4E15" w14:textId="77777777" w:rsidR="00CB463D" w:rsidRDefault="00CB463D" w:rsidP="008405D5">
      <w:pPr>
        <w:jc w:val="both"/>
        <w:rPr>
          <w:b/>
          <w:bCs/>
        </w:rPr>
      </w:pPr>
    </w:p>
    <w:p w14:paraId="2C18755D" w14:textId="77777777" w:rsidR="00CB463D" w:rsidRDefault="00CB463D" w:rsidP="008405D5">
      <w:pPr>
        <w:jc w:val="both"/>
        <w:rPr>
          <w:b/>
          <w:bCs/>
        </w:rPr>
      </w:pPr>
    </w:p>
    <w:p w14:paraId="64B83FE7" w14:textId="77777777" w:rsidR="00CB463D" w:rsidRDefault="00CB463D" w:rsidP="008405D5">
      <w:pPr>
        <w:jc w:val="both"/>
        <w:rPr>
          <w:b/>
          <w:bCs/>
        </w:rPr>
      </w:pPr>
    </w:p>
    <w:p w14:paraId="2366D457" w14:textId="77777777" w:rsidR="00CB463D" w:rsidRDefault="00CB463D" w:rsidP="008405D5">
      <w:pPr>
        <w:jc w:val="both"/>
        <w:rPr>
          <w:b/>
          <w:bCs/>
        </w:rPr>
      </w:pPr>
    </w:p>
    <w:p w14:paraId="2A80F43B" w14:textId="77777777" w:rsidR="00CB463D" w:rsidRDefault="00CB463D" w:rsidP="008405D5">
      <w:pPr>
        <w:jc w:val="both"/>
        <w:rPr>
          <w:b/>
          <w:bCs/>
        </w:rPr>
      </w:pPr>
    </w:p>
    <w:p w14:paraId="45E21B4C" w14:textId="77777777" w:rsidR="00CB463D" w:rsidRDefault="00CB463D" w:rsidP="008405D5">
      <w:pPr>
        <w:jc w:val="both"/>
        <w:rPr>
          <w:b/>
          <w:bCs/>
        </w:rPr>
      </w:pPr>
    </w:p>
    <w:p w14:paraId="7CACF23D" w14:textId="77777777" w:rsidR="00CB463D" w:rsidRDefault="00CB463D" w:rsidP="008405D5">
      <w:pPr>
        <w:jc w:val="both"/>
        <w:rPr>
          <w:b/>
          <w:bCs/>
        </w:rPr>
      </w:pPr>
    </w:p>
    <w:p w14:paraId="5DA10422" w14:textId="77777777" w:rsidR="00CB463D" w:rsidRDefault="00CB463D" w:rsidP="008405D5">
      <w:pPr>
        <w:jc w:val="both"/>
        <w:rPr>
          <w:b/>
          <w:bCs/>
        </w:rPr>
      </w:pPr>
    </w:p>
    <w:p w14:paraId="7A3893B8" w14:textId="77777777" w:rsidR="00CB463D" w:rsidRDefault="00CB463D" w:rsidP="008405D5">
      <w:pPr>
        <w:jc w:val="both"/>
        <w:rPr>
          <w:b/>
          <w:bCs/>
        </w:rPr>
      </w:pPr>
    </w:p>
    <w:p w14:paraId="05200B65" w14:textId="1ABD5F71" w:rsidR="00CB463D" w:rsidRPr="00CB463D" w:rsidRDefault="00CB463D" w:rsidP="00CB463D">
      <w:pPr>
        <w:jc w:val="both"/>
      </w:pPr>
      <w:r>
        <w:rPr>
          <w:b/>
          <w:bCs/>
        </w:rPr>
        <w:t xml:space="preserve">Figure </w:t>
      </w:r>
      <w:r>
        <w:rPr>
          <w:b/>
          <w:bCs/>
        </w:rPr>
        <w:t>1</w:t>
      </w:r>
      <w:r>
        <w:t xml:space="preserve">. </w:t>
      </w:r>
      <w:r>
        <w:t>Calculated CC of each category of attributes</w:t>
      </w:r>
      <w:r>
        <w:t>.</w:t>
      </w:r>
      <w:r>
        <w:t xml:space="preserve"> The red line represents the average CC of 50%.</w:t>
      </w:r>
    </w:p>
    <w:p w14:paraId="3D51F3EF" w14:textId="08DA21C9" w:rsidR="00CB463D" w:rsidRDefault="00CB463D" w:rsidP="008405D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34EBFE9" wp14:editId="6DDBB193">
            <wp:extent cx="5943600" cy="5734685"/>
            <wp:effectExtent l="0" t="0" r="0" b="0"/>
            <wp:docPr id="190973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7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6000" w14:textId="77777777" w:rsidR="00CB463D" w:rsidRDefault="00CB463D" w:rsidP="008405D5">
      <w:pPr>
        <w:jc w:val="both"/>
        <w:rPr>
          <w:b/>
          <w:bCs/>
        </w:rPr>
      </w:pPr>
    </w:p>
    <w:p w14:paraId="6D1F9E21" w14:textId="77777777" w:rsidR="00CB463D" w:rsidRDefault="00CB463D" w:rsidP="008405D5">
      <w:pPr>
        <w:jc w:val="both"/>
        <w:rPr>
          <w:b/>
          <w:bCs/>
        </w:rPr>
      </w:pPr>
    </w:p>
    <w:p w14:paraId="7ED945C1" w14:textId="77777777" w:rsidR="00CB463D" w:rsidRDefault="00CB463D" w:rsidP="008405D5">
      <w:pPr>
        <w:jc w:val="both"/>
        <w:rPr>
          <w:b/>
          <w:bCs/>
        </w:rPr>
      </w:pPr>
    </w:p>
    <w:p w14:paraId="2F53CD9F" w14:textId="77777777" w:rsidR="00CB463D" w:rsidRDefault="00CB463D" w:rsidP="008405D5">
      <w:pPr>
        <w:jc w:val="both"/>
        <w:rPr>
          <w:b/>
          <w:bCs/>
        </w:rPr>
      </w:pPr>
    </w:p>
    <w:p w14:paraId="5FF6D9E5" w14:textId="77777777" w:rsidR="00CB463D" w:rsidRDefault="00CB463D" w:rsidP="008405D5">
      <w:pPr>
        <w:jc w:val="both"/>
        <w:rPr>
          <w:b/>
          <w:bCs/>
        </w:rPr>
      </w:pPr>
    </w:p>
    <w:p w14:paraId="276FFCB3" w14:textId="3D04106C" w:rsidR="00CB463D" w:rsidRDefault="00CB463D" w:rsidP="008405D5">
      <w:pPr>
        <w:jc w:val="both"/>
      </w:pPr>
      <w:r>
        <w:rPr>
          <w:b/>
          <w:bCs/>
        </w:rPr>
        <w:lastRenderedPageBreak/>
        <w:t xml:space="preserve">Figure 2. </w:t>
      </w:r>
      <w:r w:rsidRPr="00CB463D">
        <w:t>H</w:t>
      </w:r>
      <w:r w:rsidRPr="00CB463D">
        <w:t xml:space="preserve">eatmap colored by the probability of accepting a </w:t>
      </w:r>
      <w:r>
        <w:t xml:space="preserve">coffee house </w:t>
      </w:r>
      <w:r w:rsidRPr="00CB463D">
        <w:t>coupon</w:t>
      </w:r>
      <w:r>
        <w:t xml:space="preserve"> (CC)</w:t>
      </w:r>
      <w:r w:rsidRPr="00CB463D">
        <w:t xml:space="preserve"> and annotated with the number of observations of that type of individual just in case a single/few person(s) comprises that category. NULL values are white (instances where no individual satisfies both conditions).</w:t>
      </w:r>
    </w:p>
    <w:p w14:paraId="4F8CD0A4" w14:textId="4C703B73" w:rsidR="00CB463D" w:rsidRDefault="00CB463D" w:rsidP="008405D5">
      <w:pPr>
        <w:jc w:val="both"/>
      </w:pPr>
      <w:r>
        <w:rPr>
          <w:noProof/>
        </w:rPr>
        <w:drawing>
          <wp:inline distT="0" distB="0" distL="0" distR="0" wp14:anchorId="08A586B8" wp14:editId="3428B406">
            <wp:extent cx="5943600" cy="6308725"/>
            <wp:effectExtent l="0" t="0" r="0" b="0"/>
            <wp:docPr id="102494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48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2821" w14:textId="77777777" w:rsidR="00CB463D" w:rsidRDefault="00CB463D" w:rsidP="008405D5">
      <w:pPr>
        <w:jc w:val="both"/>
      </w:pPr>
    </w:p>
    <w:p w14:paraId="236D31AE" w14:textId="77777777" w:rsidR="00CB463D" w:rsidRDefault="00CB463D" w:rsidP="008405D5">
      <w:pPr>
        <w:jc w:val="both"/>
      </w:pPr>
    </w:p>
    <w:p w14:paraId="37868D3B" w14:textId="77777777" w:rsidR="00CB463D" w:rsidRPr="00CB463D" w:rsidRDefault="00CB463D" w:rsidP="008405D5">
      <w:pPr>
        <w:jc w:val="both"/>
      </w:pPr>
    </w:p>
    <w:p w14:paraId="7E1B9096" w14:textId="77777777" w:rsidR="00CB463D" w:rsidRDefault="00CB463D" w:rsidP="008405D5">
      <w:pPr>
        <w:jc w:val="both"/>
        <w:rPr>
          <w:b/>
          <w:bCs/>
        </w:rPr>
      </w:pPr>
    </w:p>
    <w:p w14:paraId="7DF0DFA4" w14:textId="1C121E27" w:rsidR="00CB463D" w:rsidRPr="00CB463D" w:rsidRDefault="00CB463D" w:rsidP="008405D5">
      <w:pPr>
        <w:jc w:val="both"/>
      </w:pPr>
      <w:r>
        <w:rPr>
          <w:b/>
          <w:bCs/>
        </w:rPr>
        <w:lastRenderedPageBreak/>
        <w:t>Table 1</w:t>
      </w:r>
      <w:r>
        <w:t>. Top 20 CC of groups that satisfy a binary set of high cc attributes.</w:t>
      </w:r>
    </w:p>
    <w:p w14:paraId="734A36E4" w14:textId="0E376380" w:rsidR="00CB463D" w:rsidRPr="00CB463D" w:rsidRDefault="00CB463D" w:rsidP="008405D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4D2C3" wp14:editId="567BDB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658360"/>
            <wp:effectExtent l="0" t="0" r="0" b="8890"/>
            <wp:wrapSquare wrapText="bothSides"/>
            <wp:docPr id="49530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044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463D" w:rsidRPr="00CB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D5"/>
    <w:rsid w:val="00000912"/>
    <w:rsid w:val="00152BD1"/>
    <w:rsid w:val="00304645"/>
    <w:rsid w:val="00312BE3"/>
    <w:rsid w:val="00563B17"/>
    <w:rsid w:val="005C2F47"/>
    <w:rsid w:val="008405D5"/>
    <w:rsid w:val="00CB463D"/>
    <w:rsid w:val="00CE6ECD"/>
    <w:rsid w:val="00E8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BE66"/>
  <w15:chartTrackingRefBased/>
  <w15:docId w15:val="{82AA4BB6-FC6F-4866-B283-9BA49F71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Wang</dc:creator>
  <cp:keywords/>
  <dc:description/>
  <cp:lastModifiedBy>Jeffrey Wang</cp:lastModifiedBy>
  <cp:revision>6</cp:revision>
  <dcterms:created xsi:type="dcterms:W3CDTF">2023-10-04T21:53:00Z</dcterms:created>
  <dcterms:modified xsi:type="dcterms:W3CDTF">2023-10-04T22:21:00Z</dcterms:modified>
</cp:coreProperties>
</file>