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NIST 800-53A</w:t>
      </w:r>
    </w:p>
    <w:p>
      <w:pPr>
        <w:spacing w:after="120"/>
        <w:jc w:val="center"/>
      </w:pPr>
      <w:r>
        <w:rPr>
          <w:color w:val="2c5282"/>
          <w:sz w:val="36"/>
          <w:szCs w:val="36"/>
        </w:rPr>
        <w:t xml:space="preserve">Framework Integration Guide</w:t>
      </w:r>
    </w:p>
    <w:p>
      <w:pPr>
        <w:spacing w:after="600"/>
        <w:jc w:val="center"/>
      </w:pPr>
      <w:r>
        <w:rPr>
          <w:i/>
          <w:iCs/>
          <w:color w:val="4a5568"/>
          <w:sz w:val="28"/>
          <w:szCs w:val="28"/>
        </w:rPr>
        <w:t xml:space="preserve">AI-Powered Security Auditor</w:t>
      </w:r>
    </w:p>
    <w:p>
      <w:pPr>
        <w:jc w:val="center"/>
      </w:pPr>
      <w:r>
        <w:rPr>
          <w:color w:val="718096"/>
          <w:sz w:val="24"/>
          <w:szCs w:val="24"/>
        </w:rPr>
        <w:t xml:space="preserve">Multi-Framework Compliance Assessment</w:t>
      </w:r>
    </w:p>
    <w:p>
      <w:pPr>
        <w:spacing w:before="1200"/>
        <w:jc w:val="center"/>
      </w:pPr>
      <w:r>
        <w:rPr>
          <w:sz w:val="22"/>
          <w:szCs w:val="22"/>
        </w:rPr>
        <w:t xml:space="preserve">Version 1.0</w:t>
      </w:r>
    </w:p>
    <w:p>
      <w:pPr>
        <w:jc w:val="center"/>
      </w:pPr>
      <w:r>
        <w:rPr>
          <w:sz w:val="22"/>
          <w:szCs w:val="22"/>
        </w:rPr>
        <w:t xml:space="preserve">December 2024</w:t>
      </w:r>
    </w:p>
    <w:p>
      <w:r>
        <w:br w:type="page"/>
      </w:r>
    </w:p>
    <w:p>
      <w:pPr>
        <w:pStyle w:val="Heading1"/>
      </w:pPr>
      <w:r>
        <w:t xml:space="preserve">Executive Summary</w:t>
      </w:r>
    </w:p>
    <w:p>
      <w:pPr>
        <w:spacing w:after="120"/>
      </w:pPr>
      <w:r>
        <w:t xml:space="preserve">This document defines the integration of NIST Special Publication 800-53A (Assessing Security and Privacy Controls) into the AI-Powered Security Auditor. The integration enables automated compliance assessment against federal security standards while leveraging the existing multi-agent architecture.</w:t>
      </w:r>
    </w:p>
    <w:p>
      <w:pPr>
        <w:spacing w:after="120"/>
      </w:pPr>
      <w:r>
        <w:t xml:space="preserve">NIST 800-53A provides the assessment methodology that complements the NIST 800-53 control catalog. By implementing this framework, the Security Auditor can support federal agencies, government contractors, and organizations seeking FedRAMP authorization.</w:t>
      </w:r>
    </w:p>
    <w:p>
      <w:pPr>
        <w:spacing w:after="200"/>
      </w:pPr>
      <w:r>
        <w:rPr>
          <w:b/>
          <w:bCs/>
        </w:rPr>
        <w:t xml:space="preserve">Key Benefits:</w:t>
      </w:r>
    </w:p>
    <w:p>
      <w:pPr>
        <w:pStyle w:val="ListParagraph"/>
        <w:numPr>
          <w:ilvl w:val="0"/>
          <w:numId w:val="2"/>
        </w:numPr>
      </w:pPr>
      <w:r>
        <w:t xml:space="preserve">Unified assessment methodology across SOC 2 and NIST frameworks</w:t>
      </w:r>
    </w:p>
    <w:p>
      <w:pPr>
        <w:pStyle w:val="ListParagraph"/>
        <w:numPr>
          <w:ilvl w:val="0"/>
          <w:numId w:val="2"/>
        </w:numPr>
      </w:pPr>
      <w:r>
        <w:t xml:space="preserve">Direct mapping between SOC 2 Trust Service Criteria and NIST control families</w:t>
      </w:r>
    </w:p>
    <w:p>
      <w:pPr>
        <w:pStyle w:val="ListParagraph"/>
        <w:numPr>
          <w:ilvl w:val="0"/>
          <w:numId w:val="2"/>
        </w:numPr>
      </w:pPr>
      <w:r>
        <w:t xml:space="preserve">Support for FedRAMP baselines (Low, Moderate, High)</w:t>
      </w:r>
    </w:p>
    <w:p>
      <w:pPr>
        <w:pStyle w:val="ListParagraph"/>
        <w:numPr>
          <w:ilvl w:val="0"/>
          <w:numId w:val="2"/>
        </w:numPr>
      </w:pPr>
      <w:r>
        <w:t xml:space="preserve">Assessment depth and coverage parameters aligned with federal requirements</w:t>
      </w:r>
    </w:p>
    <w:p>
      <w:pPr>
        <w:pStyle w:val="Heading1"/>
      </w:pPr>
      <w:r>
        <w:t xml:space="preserve">NIST 800-53A Overview</w:t>
      </w:r>
    </w:p>
    <w:p>
      <w:pPr>
        <w:pStyle w:val="Heading2"/>
      </w:pPr>
      <w:r>
        <w:t xml:space="preserve">Purpose and Scope</w:t>
      </w:r>
    </w:p>
    <w:p>
      <w:pPr>
        <w:spacing w:after="120"/>
      </w:pPr>
      <w:r>
        <w:t xml:space="preserve">NIST SP 800-53A "Assessing Security and Privacy Controls in Information Systems and Organizations" provides a comprehensive framework for developing assessment plans and conducting security control assessments. It serves as the authoritative source for federal information security assessments.</w:t>
      </w:r>
    </w:p>
    <w:p>
      <w:pPr>
        <w:pStyle w:val="Heading2"/>
      </w:pPr>
      <w:r>
        <w:t xml:space="preserve">Assessment Methodology</w:t>
      </w:r>
    </w:p>
    <w:p>
      <w:pPr>
        <w:spacing w:after="120"/>
      </w:pPr>
      <w:r>
        <w:t xml:space="preserve">The framework defines three assessment methods that map directly to Security Auditor agent 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Method</w:t>
            </w:r>
          </w:p>
        </w:tc>
        <w:tc>
          <w:tcPr>
            <w:tcW w:type="dxa" w:w="24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Definition</w:t>
            </w:r>
          </w:p>
        </w:tc>
        <w:tc>
          <w:tcPr>
            <w:tcW w:type="dxa" w:w="24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Security Auditor Agent</w:t>
            </w:r>
          </w:p>
        </w:tc>
        <w:tc>
          <w:tcPr>
            <w:tcW w:type="dxa" w:w="27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Assessment Objects</w:t>
            </w:r>
          </w:p>
        </w:tc>
      </w:tr>
      <w:tr>
        <w:tc>
          <w:tcPr>
            <w:tcW w:type="dxa" w:w="1800"/>
            <w:tcBorders>
              <w:top w:val="single" w:color="CCCCCC" w:sz="1"/>
              <w:left w:val="single" w:color="CCCCCC" w:sz="1"/>
              <w:bottom w:val="single" w:color="CCCCCC" w:sz="1"/>
              <w:right w:val="single" w:color="CCCCCC" w:sz="1"/>
            </w:tcBorders>
          </w:tcPr>
          <w:p>
            <w:r>
              <w:rPr>
                <w:b/>
                <w:bCs/>
              </w:rPr>
              <w:t xml:space="preserve">EXAMINE</w:t>
            </w:r>
          </w:p>
        </w:tc>
        <w:tc>
          <w:tcPr>
            <w:tcW w:type="dxa" w:w="2400"/>
            <w:tcBorders>
              <w:top w:val="single" w:color="CCCCCC" w:sz="1"/>
              <w:left w:val="single" w:color="CCCCCC" w:sz="1"/>
              <w:bottom w:val="single" w:color="CCCCCC" w:sz="1"/>
              <w:right w:val="single" w:color="CCCCCC" w:sz="1"/>
            </w:tcBorders>
          </w:tcPr>
          <w:p>
            <w:r>
              <w:t xml:space="preserve">Review, inspect, observe, study, analyze documentation and mechanisms</w:t>
            </w:r>
          </w:p>
        </w:tc>
        <w:tc>
          <w:tcPr>
            <w:tcW w:type="dxa" w:w="2400"/>
            <w:tcBorders>
              <w:top w:val="single" w:color="CCCCCC" w:sz="1"/>
              <w:left w:val="single" w:color="CCCCCC" w:sz="1"/>
              <w:bottom w:val="single" w:color="CCCCCC" w:sz="1"/>
              <w:right w:val="single" w:color="CCCCCC" w:sz="1"/>
            </w:tcBorders>
          </w:tcPr>
          <w:p>
            <w:r>
              <w:t xml:space="preserve">Code Security Analyzer, Log Analyzer, Compliance Checker (RAG)</w:t>
            </w:r>
          </w:p>
        </w:tc>
        <w:tc>
          <w:tcPr>
            <w:tcW w:type="dxa" w:w="2760"/>
            <w:tcBorders>
              <w:top w:val="single" w:color="CCCCCC" w:sz="1"/>
              <w:left w:val="single" w:color="CCCCCC" w:sz="1"/>
              <w:bottom w:val="single" w:color="CCCCCC" w:sz="1"/>
              <w:right w:val="single" w:color="CCCCCC" w:sz="1"/>
            </w:tcBorders>
          </w:tcPr>
          <w:p>
            <w:r>
              <w:t xml:space="preserve">Specifications, mechanisms, activities</w:t>
            </w:r>
          </w:p>
        </w:tc>
      </w:tr>
      <w:tr>
        <w:tc>
          <w:tcPr>
            <w:tcW w:type="dxa" w:w="1800"/>
            <w:tcBorders>
              <w:top w:val="single" w:color="CCCCCC" w:sz="1"/>
              <w:left w:val="single" w:color="CCCCCC" w:sz="1"/>
              <w:bottom w:val="single" w:color="CCCCCC" w:sz="1"/>
              <w:right w:val="single" w:color="CCCCCC" w:sz="1"/>
            </w:tcBorders>
            <w:shd w:fill="F7FAFC" w:val="clear"/>
          </w:tcPr>
          <w:p>
            <w:r>
              <w:rPr>
                <w:b/>
                <w:bCs/>
              </w:rPr>
              <w:t xml:space="preserve">INTERVIEW</w:t>
            </w:r>
          </w:p>
        </w:tc>
        <w:tc>
          <w:tcPr>
            <w:tcW w:type="dxa" w:w="2400"/>
            <w:tcBorders>
              <w:top w:val="single" w:color="CCCCCC" w:sz="1"/>
              <w:left w:val="single" w:color="CCCCCC" w:sz="1"/>
              <w:bottom w:val="single" w:color="CCCCCC" w:sz="1"/>
              <w:right w:val="single" w:color="CCCCCC" w:sz="1"/>
            </w:tcBorders>
            <w:shd w:fill="F7FAFC" w:val="clear"/>
          </w:tcPr>
          <w:p>
            <w:r>
              <w:t xml:space="preserve">Conduct discussions with individuals or groups</w:t>
            </w:r>
          </w:p>
        </w:tc>
        <w:tc>
          <w:tcPr>
            <w:tcW w:type="dxa" w:w="2400"/>
            <w:tcBorders>
              <w:top w:val="single" w:color="CCCCCC" w:sz="1"/>
              <w:left w:val="single" w:color="CCCCCC" w:sz="1"/>
              <w:bottom w:val="single" w:color="CCCCCC" w:sz="1"/>
              <w:right w:val="single" w:color="CCCCCC" w:sz="1"/>
            </w:tcBorders>
            <w:shd w:fill="F7FAFC" w:val="clear"/>
          </w:tcPr>
          <w:p>
            <w:r>
              <w:rPr>
                <w:i/>
                <w:iCs/>
                <w:color w:val="666666"/>
              </w:rPr>
              <w:t xml:space="preserve">Human Required</w:t>
            </w:r>
          </w:p>
        </w:tc>
        <w:tc>
          <w:tcPr>
            <w:tcW w:type="dxa" w:w="2760"/>
            <w:tcBorders>
              <w:top w:val="single" w:color="CCCCCC" w:sz="1"/>
              <w:left w:val="single" w:color="CCCCCC" w:sz="1"/>
              <w:bottom w:val="single" w:color="CCCCCC" w:sz="1"/>
              <w:right w:val="single" w:color="CCCCCC" w:sz="1"/>
            </w:tcBorders>
            <w:shd w:fill="F7FAFC" w:val="clear"/>
          </w:tcPr>
          <w:p>
            <w:r>
              <w:t xml:space="preserve">Personnel with security responsibilities</w:t>
            </w:r>
          </w:p>
        </w:tc>
      </w:tr>
      <w:tr>
        <w:tc>
          <w:tcPr>
            <w:tcW w:type="dxa" w:w="1800"/>
            <w:tcBorders>
              <w:top w:val="single" w:color="CCCCCC" w:sz="1"/>
              <w:left w:val="single" w:color="CCCCCC" w:sz="1"/>
              <w:bottom w:val="single" w:color="CCCCCC" w:sz="1"/>
              <w:right w:val="single" w:color="CCCCCC" w:sz="1"/>
            </w:tcBorders>
          </w:tcPr>
          <w:p>
            <w:r>
              <w:rPr>
                <w:b/>
                <w:bCs/>
              </w:rPr>
              <w:t xml:space="preserve">TEST</w:t>
            </w:r>
          </w:p>
        </w:tc>
        <w:tc>
          <w:tcPr>
            <w:tcW w:type="dxa" w:w="2400"/>
            <w:tcBorders>
              <w:top w:val="single" w:color="CCCCCC" w:sz="1"/>
              <w:left w:val="single" w:color="CCCCCC" w:sz="1"/>
              <w:bottom w:val="single" w:color="CCCCCC" w:sz="1"/>
              <w:right w:val="single" w:color="CCCCCC" w:sz="1"/>
            </w:tcBorders>
          </w:tcPr>
          <w:p>
            <w:r>
              <w:t xml:space="preserve">Exercise mechanisms under operational conditions</w:t>
            </w:r>
          </w:p>
        </w:tc>
        <w:tc>
          <w:tcPr>
            <w:tcW w:type="dxa" w:w="2400"/>
            <w:tcBorders>
              <w:top w:val="single" w:color="CCCCCC" w:sz="1"/>
              <w:left w:val="single" w:color="CCCCCC" w:sz="1"/>
              <w:bottom w:val="single" w:color="CCCCCC" w:sz="1"/>
              <w:right w:val="single" w:color="CCCCCC" w:sz="1"/>
            </w:tcBorders>
          </w:tcPr>
          <w:p>
            <w:r>
              <w:t xml:space="preserve">Vulnerability Scanner (OWASP ZAP)</w:t>
            </w:r>
          </w:p>
        </w:tc>
        <w:tc>
          <w:tcPr>
            <w:tcW w:type="dxa" w:w="2760"/>
            <w:tcBorders>
              <w:top w:val="single" w:color="CCCCCC" w:sz="1"/>
              <w:left w:val="single" w:color="CCCCCC" w:sz="1"/>
              <w:bottom w:val="single" w:color="CCCCCC" w:sz="1"/>
              <w:right w:val="single" w:color="CCCCCC" w:sz="1"/>
            </w:tcBorders>
          </w:tcPr>
          <w:p>
            <w:r>
              <w:t xml:space="preserve">Mechanisms, activities</w:t>
            </w:r>
          </w:p>
        </w:tc>
      </w:tr>
    </w:tbl>
    <w:p>
      <w:pPr>
        <w:pStyle w:val="Heading2"/>
        <w:spacing w:before="360"/>
      </w:pPr>
      <w:r>
        <w:t xml:space="preserve">Assessment Depth and Coverage</w:t>
      </w:r>
    </w:p>
    <w:p>
      <w:pPr>
        <w:spacing w:after="120"/>
      </w:pPr>
      <w:r>
        <w:t xml:space="preserve">NIST 800-53A defines parameters for assessment rigor:</w:t>
      </w:r>
    </w:p>
    <w:p>
      <w:pPr>
        <w:spacing w:after="80" w:before="200"/>
      </w:pPr>
      <w:r>
        <w:rPr>
          <w:b/>
          <w:bCs/>
        </w:rPr>
        <w:t xml:space="preserve">Depth Levels:</w:t>
      </w:r>
    </w:p>
    <w:p>
      <w:pPr>
        <w:pStyle w:val="ListParagraph"/>
        <w:numPr>
          <w:ilvl w:val="0"/>
          <w:numId w:val="2"/>
        </w:numPr>
      </w:pPr>
      <w:r>
        <w:rPr>
          <w:b/>
          <w:bCs/>
        </w:rPr>
        <w:t xml:space="preserve">Basic: </w:t>
      </w:r>
      <w:r>
        <w:t xml:space="preserve">High-level review using readily available information</w:t>
      </w:r>
    </w:p>
    <w:p>
      <w:pPr>
        <w:pStyle w:val="ListParagraph"/>
        <w:numPr>
          <w:ilvl w:val="0"/>
          <w:numId w:val="2"/>
        </w:numPr>
      </w:pPr>
      <w:r>
        <w:rPr>
          <w:b/>
          <w:bCs/>
        </w:rPr>
        <w:t xml:space="preserve">Focused: </w:t>
      </w:r>
      <w:r>
        <w:t xml:space="preserve">More in-depth analysis with specific evidence requirements</w:t>
      </w:r>
    </w:p>
    <w:p>
      <w:pPr>
        <w:pStyle w:val="ListParagraph"/>
        <w:numPr>
          <w:ilvl w:val="0"/>
          <w:numId w:val="2"/>
        </w:numPr>
      </w:pPr>
      <w:r>
        <w:rPr>
          <w:b/>
          <w:bCs/>
        </w:rPr>
        <w:t xml:space="preserve">Comprehensive: </w:t>
      </w:r>
      <w:r>
        <w:t xml:space="preserve">Detailed examination with extensive testing and validation</w:t>
      </w:r>
    </w:p>
    <w:p>
      <w:pPr>
        <w:spacing w:after="80" w:before="200"/>
      </w:pPr>
      <w:r>
        <w:rPr>
          <w:b/>
          <w:bCs/>
        </w:rPr>
        <w:t xml:space="preserve">Coverage Levels:</w:t>
      </w:r>
    </w:p>
    <w:p>
      <w:pPr>
        <w:pStyle w:val="ListParagraph"/>
        <w:numPr>
          <w:ilvl w:val="0"/>
          <w:numId w:val="2"/>
        </w:numPr>
      </w:pPr>
      <w:r>
        <w:rPr>
          <w:b/>
          <w:bCs/>
        </w:rPr>
        <w:t xml:space="preserve">Representative: </w:t>
      </w:r>
      <w:r>
        <w:t xml:space="preserve">Sample-based assessment of control implementation</w:t>
      </w:r>
    </w:p>
    <w:p>
      <w:pPr>
        <w:pStyle w:val="ListParagraph"/>
        <w:numPr>
          <w:ilvl w:val="0"/>
          <w:numId w:val="2"/>
        </w:numPr>
      </w:pPr>
      <w:r>
        <w:rPr>
          <w:b/>
          <w:bCs/>
        </w:rPr>
        <w:t xml:space="preserve">Specific: </w:t>
      </w:r>
      <w:r>
        <w:t xml:space="preserve">Targeted assessment of identified critical components</w:t>
      </w:r>
    </w:p>
    <w:p>
      <w:pPr>
        <w:pStyle w:val="ListParagraph"/>
        <w:numPr>
          <w:ilvl w:val="0"/>
          <w:numId w:val="2"/>
        </w:numPr>
      </w:pPr>
      <w:r>
        <w:rPr>
          <w:b/>
          <w:bCs/>
        </w:rPr>
        <w:t xml:space="preserve">Comprehensive: </w:t>
      </w:r>
      <w:r>
        <w:t xml:space="preserve">Full assessment of all applicable control implementations</w:t>
      </w:r>
    </w:p>
    <w:p>
      <w:r>
        <w:br w:type="page"/>
      </w:r>
    </w:p>
    <w:p>
      <w:pPr>
        <w:pStyle w:val="Heading1"/>
      </w:pPr>
      <w:r>
        <w:t xml:space="preserve">SOC 2 to NIST 800-53 Control Mapping</w:t>
      </w:r>
    </w:p>
    <w:p>
      <w:pPr>
        <w:spacing w:after="200"/>
      </w:pPr>
      <w:r>
        <w:t xml:space="preserve">The following table provides the authoritative mapping between SOC 2 Trust Service Criteria and NIST 800-53 control families. This mapping enables the Security Auditor to assess controls under both frameworks simultaneously.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2860"/>
      </w:tblGrid>
      <w:tr>
        <w:trPr>
          <w:tblHeader/>
        </w:trPr>
        <w:tc>
          <w:tcPr>
            <w:tcW w:type="dxa" w:w="15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SOC 2</w:t>
            </w:r>
          </w:p>
        </w:tc>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SOC 2 Title</w:t>
            </w:r>
          </w:p>
        </w:tc>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NIST Family</w:t>
            </w:r>
          </w:p>
        </w:tc>
        <w:tc>
          <w:tcPr>
            <w:tcW w:type="dxa" w:w="28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Key NIST Controls</w:t>
            </w:r>
          </w:p>
        </w:tc>
      </w:tr>
      <w:tr>
        <w:tc>
          <w:tcPr>
            <w:tcW w:type="dxa" w:w="1500"/>
            <w:tcBorders>
              <w:top w:val="single" w:color="CCCCCC" w:sz="1"/>
              <w:left w:val="single" w:color="CCCCCC" w:sz="1"/>
              <w:bottom w:val="single" w:color="CCCCCC" w:sz="1"/>
              <w:right w:val="single" w:color="CCCCCC" w:sz="1"/>
            </w:tcBorders>
          </w:tcPr>
          <w:p>
            <w:r>
              <w:rPr>
                <w:b/>
                <w:bCs/>
              </w:rPr>
              <w:t xml:space="preserve">CC6.1</w:t>
            </w:r>
          </w:p>
        </w:tc>
        <w:tc>
          <w:tcPr>
            <w:tcW w:type="dxa" w:w="2800"/>
            <w:tcBorders>
              <w:top w:val="single" w:color="CCCCCC" w:sz="1"/>
              <w:left w:val="single" w:color="CCCCCC" w:sz="1"/>
              <w:bottom w:val="single" w:color="CCCCCC" w:sz="1"/>
              <w:right w:val="single" w:color="CCCCCC" w:sz="1"/>
            </w:tcBorders>
          </w:tcPr>
          <w:p>
            <w:r>
              <w:t xml:space="preserve">Logical Access Security</w:t>
            </w:r>
          </w:p>
        </w:tc>
        <w:tc>
          <w:tcPr>
            <w:tcW w:type="dxa" w:w="2200"/>
            <w:tcBorders>
              <w:top w:val="single" w:color="CCCCCC" w:sz="1"/>
              <w:left w:val="single" w:color="CCCCCC" w:sz="1"/>
              <w:bottom w:val="single" w:color="CCCCCC" w:sz="1"/>
              <w:right w:val="single" w:color="CCCCCC" w:sz="1"/>
            </w:tcBorders>
          </w:tcPr>
          <w:p>
            <w:r>
              <w:t xml:space="preserve">AC, IA</w:t>
            </w:r>
          </w:p>
        </w:tc>
        <w:tc>
          <w:tcPr>
            <w:tcW w:type="dxa" w:w="2860"/>
            <w:tcBorders>
              <w:top w:val="single" w:color="CCCCCC" w:sz="1"/>
              <w:left w:val="single" w:color="CCCCCC" w:sz="1"/>
              <w:bottom w:val="single" w:color="CCCCCC" w:sz="1"/>
              <w:right w:val="single" w:color="CCCCCC" w:sz="1"/>
            </w:tcBorders>
          </w:tcPr>
          <w:p>
            <w:r>
              <w:t xml:space="preserve">AC-2, AC-3, AC-6, IA-2, IA-5</w:t>
            </w:r>
          </w:p>
        </w:tc>
      </w:tr>
      <w:tr>
        <w:tc>
          <w:tcPr>
            <w:tcW w:type="dxa" w:w="1500"/>
            <w:tcBorders>
              <w:top w:val="single" w:color="CCCCCC" w:sz="1"/>
              <w:left w:val="single" w:color="CCCCCC" w:sz="1"/>
              <w:bottom w:val="single" w:color="CCCCCC" w:sz="1"/>
              <w:right w:val="single" w:color="CCCCCC" w:sz="1"/>
            </w:tcBorders>
            <w:shd w:fill="F7FAFC" w:val="clear"/>
          </w:tcPr>
          <w:p>
            <w:r>
              <w:rPr>
                <w:b/>
                <w:bCs/>
              </w:rPr>
              <w:t xml:space="preserve">CC6.2</w:t>
            </w:r>
          </w:p>
        </w:tc>
        <w:tc>
          <w:tcPr>
            <w:tcW w:type="dxa" w:w="2800"/>
            <w:tcBorders>
              <w:top w:val="single" w:color="CCCCCC" w:sz="1"/>
              <w:left w:val="single" w:color="CCCCCC" w:sz="1"/>
              <w:bottom w:val="single" w:color="CCCCCC" w:sz="1"/>
              <w:right w:val="single" w:color="CCCCCC" w:sz="1"/>
            </w:tcBorders>
            <w:shd w:fill="F7FAFC" w:val="clear"/>
          </w:tcPr>
          <w:p>
            <w:r>
              <w:t xml:space="preserve">User Registration</w:t>
            </w:r>
          </w:p>
        </w:tc>
        <w:tc>
          <w:tcPr>
            <w:tcW w:type="dxa" w:w="2200"/>
            <w:tcBorders>
              <w:top w:val="single" w:color="CCCCCC" w:sz="1"/>
              <w:left w:val="single" w:color="CCCCCC" w:sz="1"/>
              <w:bottom w:val="single" w:color="CCCCCC" w:sz="1"/>
              <w:right w:val="single" w:color="CCCCCC" w:sz="1"/>
            </w:tcBorders>
            <w:shd w:fill="F7FAFC" w:val="clear"/>
          </w:tcPr>
          <w:p>
            <w:r>
              <w:t xml:space="preserve">AC, PS</w:t>
            </w:r>
          </w:p>
        </w:tc>
        <w:tc>
          <w:tcPr>
            <w:tcW w:type="dxa" w:w="2860"/>
            <w:tcBorders>
              <w:top w:val="single" w:color="CCCCCC" w:sz="1"/>
              <w:left w:val="single" w:color="CCCCCC" w:sz="1"/>
              <w:bottom w:val="single" w:color="CCCCCC" w:sz="1"/>
              <w:right w:val="single" w:color="CCCCCC" w:sz="1"/>
            </w:tcBorders>
            <w:shd w:fill="F7FAFC" w:val="clear"/>
          </w:tcPr>
          <w:p>
            <w:r>
              <w:t xml:space="preserve">AC-2(1), PS-2, PS-3</w:t>
            </w:r>
          </w:p>
        </w:tc>
      </w:tr>
      <w:tr>
        <w:tc>
          <w:tcPr>
            <w:tcW w:type="dxa" w:w="1500"/>
            <w:tcBorders>
              <w:top w:val="single" w:color="CCCCCC" w:sz="1"/>
              <w:left w:val="single" w:color="CCCCCC" w:sz="1"/>
              <w:bottom w:val="single" w:color="CCCCCC" w:sz="1"/>
              <w:right w:val="single" w:color="CCCCCC" w:sz="1"/>
            </w:tcBorders>
          </w:tcPr>
          <w:p>
            <w:r>
              <w:rPr>
                <w:b/>
                <w:bCs/>
              </w:rPr>
              <w:t xml:space="preserve">CC6.3</w:t>
            </w:r>
          </w:p>
        </w:tc>
        <w:tc>
          <w:tcPr>
            <w:tcW w:type="dxa" w:w="2800"/>
            <w:tcBorders>
              <w:top w:val="single" w:color="CCCCCC" w:sz="1"/>
              <w:left w:val="single" w:color="CCCCCC" w:sz="1"/>
              <w:bottom w:val="single" w:color="CCCCCC" w:sz="1"/>
              <w:right w:val="single" w:color="CCCCCC" w:sz="1"/>
            </w:tcBorders>
          </w:tcPr>
          <w:p>
            <w:r>
              <w:t xml:space="preserve">Access Removal</w:t>
            </w:r>
          </w:p>
        </w:tc>
        <w:tc>
          <w:tcPr>
            <w:tcW w:type="dxa" w:w="2200"/>
            <w:tcBorders>
              <w:top w:val="single" w:color="CCCCCC" w:sz="1"/>
              <w:left w:val="single" w:color="CCCCCC" w:sz="1"/>
              <w:bottom w:val="single" w:color="CCCCCC" w:sz="1"/>
              <w:right w:val="single" w:color="CCCCCC" w:sz="1"/>
            </w:tcBorders>
          </w:tcPr>
          <w:p>
            <w:r>
              <w:t xml:space="preserve">AC, PS</w:t>
            </w:r>
          </w:p>
        </w:tc>
        <w:tc>
          <w:tcPr>
            <w:tcW w:type="dxa" w:w="2860"/>
            <w:tcBorders>
              <w:top w:val="single" w:color="CCCCCC" w:sz="1"/>
              <w:left w:val="single" w:color="CCCCCC" w:sz="1"/>
              <w:bottom w:val="single" w:color="CCCCCC" w:sz="1"/>
              <w:right w:val="single" w:color="CCCCCC" w:sz="1"/>
            </w:tcBorders>
          </w:tcPr>
          <w:p>
            <w:r>
              <w:t xml:space="preserve">AC-2(2), PS-4, PS-5</w:t>
            </w:r>
          </w:p>
        </w:tc>
      </w:tr>
      <w:tr>
        <w:tc>
          <w:tcPr>
            <w:tcW w:type="dxa" w:w="1500"/>
            <w:tcBorders>
              <w:top w:val="single" w:color="CCCCCC" w:sz="1"/>
              <w:left w:val="single" w:color="CCCCCC" w:sz="1"/>
              <w:bottom w:val="single" w:color="CCCCCC" w:sz="1"/>
              <w:right w:val="single" w:color="CCCCCC" w:sz="1"/>
            </w:tcBorders>
            <w:shd w:fill="F7FAFC" w:val="clear"/>
          </w:tcPr>
          <w:p>
            <w:r>
              <w:rPr>
                <w:b/>
                <w:bCs/>
              </w:rPr>
              <w:t xml:space="preserve">CC6.6</w:t>
            </w:r>
          </w:p>
        </w:tc>
        <w:tc>
          <w:tcPr>
            <w:tcW w:type="dxa" w:w="2800"/>
            <w:tcBorders>
              <w:top w:val="single" w:color="CCCCCC" w:sz="1"/>
              <w:left w:val="single" w:color="CCCCCC" w:sz="1"/>
              <w:bottom w:val="single" w:color="CCCCCC" w:sz="1"/>
              <w:right w:val="single" w:color="CCCCCC" w:sz="1"/>
            </w:tcBorders>
            <w:shd w:fill="F7FAFC" w:val="clear"/>
          </w:tcPr>
          <w:p>
            <w:r>
              <w:t xml:space="preserve">External Threat Protection</w:t>
            </w:r>
          </w:p>
        </w:tc>
        <w:tc>
          <w:tcPr>
            <w:tcW w:type="dxa" w:w="2200"/>
            <w:tcBorders>
              <w:top w:val="single" w:color="CCCCCC" w:sz="1"/>
              <w:left w:val="single" w:color="CCCCCC" w:sz="1"/>
              <w:bottom w:val="single" w:color="CCCCCC" w:sz="1"/>
              <w:right w:val="single" w:color="CCCCCC" w:sz="1"/>
            </w:tcBorders>
            <w:shd w:fill="F7FAFC" w:val="clear"/>
          </w:tcPr>
          <w:p>
            <w:r>
              <w:t xml:space="preserve">RA, SI, SC</w:t>
            </w:r>
          </w:p>
        </w:tc>
        <w:tc>
          <w:tcPr>
            <w:tcW w:type="dxa" w:w="2860"/>
            <w:tcBorders>
              <w:top w:val="single" w:color="CCCCCC" w:sz="1"/>
              <w:left w:val="single" w:color="CCCCCC" w:sz="1"/>
              <w:bottom w:val="single" w:color="CCCCCC" w:sz="1"/>
              <w:right w:val="single" w:color="CCCCCC" w:sz="1"/>
            </w:tcBorders>
            <w:shd w:fill="F7FAFC" w:val="clear"/>
          </w:tcPr>
          <w:p>
            <w:r>
              <w:t xml:space="preserve">RA-5, SI-2, SI-3, SC-7</w:t>
            </w:r>
          </w:p>
        </w:tc>
      </w:tr>
      <w:tr>
        <w:tc>
          <w:tcPr>
            <w:tcW w:type="dxa" w:w="1500"/>
            <w:tcBorders>
              <w:top w:val="single" w:color="CCCCCC" w:sz="1"/>
              <w:left w:val="single" w:color="CCCCCC" w:sz="1"/>
              <w:bottom w:val="single" w:color="CCCCCC" w:sz="1"/>
              <w:right w:val="single" w:color="CCCCCC" w:sz="1"/>
            </w:tcBorders>
          </w:tcPr>
          <w:p>
            <w:r>
              <w:rPr>
                <w:b/>
                <w:bCs/>
              </w:rPr>
              <w:t xml:space="preserve">CC6.7</w:t>
            </w:r>
          </w:p>
        </w:tc>
        <w:tc>
          <w:tcPr>
            <w:tcW w:type="dxa" w:w="2800"/>
            <w:tcBorders>
              <w:top w:val="single" w:color="CCCCCC" w:sz="1"/>
              <w:left w:val="single" w:color="CCCCCC" w:sz="1"/>
              <w:bottom w:val="single" w:color="CCCCCC" w:sz="1"/>
              <w:right w:val="single" w:color="CCCCCC" w:sz="1"/>
            </w:tcBorders>
          </w:tcPr>
          <w:p>
            <w:r>
              <w:t xml:space="preserve">Information Transmission</w:t>
            </w:r>
          </w:p>
        </w:tc>
        <w:tc>
          <w:tcPr>
            <w:tcW w:type="dxa" w:w="2200"/>
            <w:tcBorders>
              <w:top w:val="single" w:color="CCCCCC" w:sz="1"/>
              <w:left w:val="single" w:color="CCCCCC" w:sz="1"/>
              <w:bottom w:val="single" w:color="CCCCCC" w:sz="1"/>
              <w:right w:val="single" w:color="CCCCCC" w:sz="1"/>
            </w:tcBorders>
          </w:tcPr>
          <w:p>
            <w:r>
              <w:t xml:space="preserve">SC</w:t>
            </w:r>
          </w:p>
        </w:tc>
        <w:tc>
          <w:tcPr>
            <w:tcW w:type="dxa" w:w="2860"/>
            <w:tcBorders>
              <w:top w:val="single" w:color="CCCCCC" w:sz="1"/>
              <w:left w:val="single" w:color="CCCCCC" w:sz="1"/>
              <w:bottom w:val="single" w:color="CCCCCC" w:sz="1"/>
              <w:right w:val="single" w:color="CCCCCC" w:sz="1"/>
            </w:tcBorders>
          </w:tcPr>
          <w:p>
            <w:r>
              <w:t xml:space="preserve">SC-8, SC-13, SC-23</w:t>
            </w:r>
          </w:p>
        </w:tc>
      </w:tr>
      <w:tr>
        <w:tc>
          <w:tcPr>
            <w:tcW w:type="dxa" w:w="1500"/>
            <w:tcBorders>
              <w:top w:val="single" w:color="CCCCCC" w:sz="1"/>
              <w:left w:val="single" w:color="CCCCCC" w:sz="1"/>
              <w:bottom w:val="single" w:color="CCCCCC" w:sz="1"/>
              <w:right w:val="single" w:color="CCCCCC" w:sz="1"/>
            </w:tcBorders>
            <w:shd w:fill="F7FAFC" w:val="clear"/>
          </w:tcPr>
          <w:p>
            <w:r>
              <w:rPr>
                <w:b/>
                <w:bCs/>
              </w:rPr>
              <w:t xml:space="preserve">CC7.1</w:t>
            </w:r>
          </w:p>
        </w:tc>
        <w:tc>
          <w:tcPr>
            <w:tcW w:type="dxa" w:w="2800"/>
            <w:tcBorders>
              <w:top w:val="single" w:color="CCCCCC" w:sz="1"/>
              <w:left w:val="single" w:color="CCCCCC" w:sz="1"/>
              <w:bottom w:val="single" w:color="CCCCCC" w:sz="1"/>
              <w:right w:val="single" w:color="CCCCCC" w:sz="1"/>
            </w:tcBorders>
            <w:shd w:fill="F7FAFC" w:val="clear"/>
          </w:tcPr>
          <w:p>
            <w:r>
              <w:t xml:space="preserve">Security Event Detection</w:t>
            </w:r>
          </w:p>
        </w:tc>
        <w:tc>
          <w:tcPr>
            <w:tcW w:type="dxa" w:w="2200"/>
            <w:tcBorders>
              <w:top w:val="single" w:color="CCCCCC" w:sz="1"/>
              <w:left w:val="single" w:color="CCCCCC" w:sz="1"/>
              <w:bottom w:val="single" w:color="CCCCCC" w:sz="1"/>
              <w:right w:val="single" w:color="CCCCCC" w:sz="1"/>
            </w:tcBorders>
            <w:shd w:fill="F7FAFC" w:val="clear"/>
          </w:tcPr>
          <w:p>
            <w:r>
              <w:t xml:space="preserve">AU, SI</w:t>
            </w:r>
          </w:p>
        </w:tc>
        <w:tc>
          <w:tcPr>
            <w:tcW w:type="dxa" w:w="2860"/>
            <w:tcBorders>
              <w:top w:val="single" w:color="CCCCCC" w:sz="1"/>
              <w:left w:val="single" w:color="CCCCCC" w:sz="1"/>
              <w:bottom w:val="single" w:color="CCCCCC" w:sz="1"/>
              <w:right w:val="single" w:color="CCCCCC" w:sz="1"/>
            </w:tcBorders>
            <w:shd w:fill="F7FAFC" w:val="clear"/>
          </w:tcPr>
          <w:p>
            <w:r>
              <w:t xml:space="preserve">AU-2, AU-6, SI-4</w:t>
            </w:r>
          </w:p>
        </w:tc>
      </w:tr>
      <w:tr>
        <w:tc>
          <w:tcPr>
            <w:tcW w:type="dxa" w:w="1500"/>
            <w:tcBorders>
              <w:top w:val="single" w:color="CCCCCC" w:sz="1"/>
              <w:left w:val="single" w:color="CCCCCC" w:sz="1"/>
              <w:bottom w:val="single" w:color="CCCCCC" w:sz="1"/>
              <w:right w:val="single" w:color="CCCCCC" w:sz="1"/>
            </w:tcBorders>
          </w:tcPr>
          <w:p>
            <w:r>
              <w:rPr>
                <w:b/>
                <w:bCs/>
              </w:rPr>
              <w:t xml:space="preserve">CC7.2</w:t>
            </w:r>
          </w:p>
        </w:tc>
        <w:tc>
          <w:tcPr>
            <w:tcW w:type="dxa" w:w="2800"/>
            <w:tcBorders>
              <w:top w:val="single" w:color="CCCCCC" w:sz="1"/>
              <w:left w:val="single" w:color="CCCCCC" w:sz="1"/>
              <w:bottom w:val="single" w:color="CCCCCC" w:sz="1"/>
              <w:right w:val="single" w:color="CCCCCC" w:sz="1"/>
            </w:tcBorders>
          </w:tcPr>
          <w:p>
            <w:r>
              <w:t xml:space="preserve">System Monitoring</w:t>
            </w:r>
          </w:p>
        </w:tc>
        <w:tc>
          <w:tcPr>
            <w:tcW w:type="dxa" w:w="2200"/>
            <w:tcBorders>
              <w:top w:val="single" w:color="CCCCCC" w:sz="1"/>
              <w:left w:val="single" w:color="CCCCCC" w:sz="1"/>
              <w:bottom w:val="single" w:color="CCCCCC" w:sz="1"/>
              <w:right w:val="single" w:color="CCCCCC" w:sz="1"/>
            </w:tcBorders>
          </w:tcPr>
          <w:p>
            <w:r>
              <w:t xml:space="preserve">AU</w:t>
            </w:r>
          </w:p>
        </w:tc>
        <w:tc>
          <w:tcPr>
            <w:tcW w:type="dxa" w:w="2860"/>
            <w:tcBorders>
              <w:top w:val="single" w:color="CCCCCC" w:sz="1"/>
              <w:left w:val="single" w:color="CCCCCC" w:sz="1"/>
              <w:bottom w:val="single" w:color="CCCCCC" w:sz="1"/>
              <w:right w:val="single" w:color="CCCCCC" w:sz="1"/>
            </w:tcBorders>
          </w:tcPr>
          <w:p>
            <w:r>
              <w:t xml:space="preserve">AU-3, AU-9, AU-12</w:t>
            </w:r>
          </w:p>
        </w:tc>
      </w:tr>
      <w:tr>
        <w:tc>
          <w:tcPr>
            <w:tcW w:type="dxa" w:w="1500"/>
            <w:tcBorders>
              <w:top w:val="single" w:color="CCCCCC" w:sz="1"/>
              <w:left w:val="single" w:color="CCCCCC" w:sz="1"/>
              <w:bottom w:val="single" w:color="CCCCCC" w:sz="1"/>
              <w:right w:val="single" w:color="CCCCCC" w:sz="1"/>
            </w:tcBorders>
            <w:shd w:fill="F7FAFC" w:val="clear"/>
          </w:tcPr>
          <w:p>
            <w:r>
              <w:rPr>
                <w:b/>
                <w:bCs/>
              </w:rPr>
              <w:t xml:space="preserve">CC7.3</w:t>
            </w:r>
          </w:p>
        </w:tc>
        <w:tc>
          <w:tcPr>
            <w:tcW w:type="dxa" w:w="2800"/>
            <w:tcBorders>
              <w:top w:val="single" w:color="CCCCCC" w:sz="1"/>
              <w:left w:val="single" w:color="CCCCCC" w:sz="1"/>
              <w:bottom w:val="single" w:color="CCCCCC" w:sz="1"/>
              <w:right w:val="single" w:color="CCCCCC" w:sz="1"/>
            </w:tcBorders>
            <w:shd w:fill="F7FAFC" w:val="clear"/>
          </w:tcPr>
          <w:p>
            <w:r>
              <w:t xml:space="preserve">Security Event Evaluation</w:t>
            </w:r>
          </w:p>
        </w:tc>
        <w:tc>
          <w:tcPr>
            <w:tcW w:type="dxa" w:w="2200"/>
            <w:tcBorders>
              <w:top w:val="single" w:color="CCCCCC" w:sz="1"/>
              <w:left w:val="single" w:color="CCCCCC" w:sz="1"/>
              <w:bottom w:val="single" w:color="CCCCCC" w:sz="1"/>
              <w:right w:val="single" w:color="CCCCCC" w:sz="1"/>
            </w:tcBorders>
            <w:shd w:fill="F7FAFC" w:val="clear"/>
          </w:tcPr>
          <w:p>
            <w:r>
              <w:t xml:space="preserve">IR</w:t>
            </w:r>
          </w:p>
        </w:tc>
        <w:tc>
          <w:tcPr>
            <w:tcW w:type="dxa" w:w="2860"/>
            <w:tcBorders>
              <w:top w:val="single" w:color="CCCCCC" w:sz="1"/>
              <w:left w:val="single" w:color="CCCCCC" w:sz="1"/>
              <w:bottom w:val="single" w:color="CCCCCC" w:sz="1"/>
              <w:right w:val="single" w:color="CCCCCC" w:sz="1"/>
            </w:tcBorders>
            <w:shd w:fill="F7FAFC" w:val="clear"/>
          </w:tcPr>
          <w:p>
            <w:r>
              <w:t xml:space="preserve">IR-4, IR-5, IR-6</w:t>
            </w:r>
          </w:p>
        </w:tc>
      </w:tr>
      <w:tr>
        <w:tc>
          <w:tcPr>
            <w:tcW w:type="dxa" w:w="1500"/>
            <w:tcBorders>
              <w:top w:val="single" w:color="CCCCCC" w:sz="1"/>
              <w:left w:val="single" w:color="CCCCCC" w:sz="1"/>
              <w:bottom w:val="single" w:color="CCCCCC" w:sz="1"/>
              <w:right w:val="single" w:color="CCCCCC" w:sz="1"/>
            </w:tcBorders>
          </w:tcPr>
          <w:p>
            <w:r>
              <w:rPr>
                <w:b/>
                <w:bCs/>
              </w:rPr>
              <w:t xml:space="preserve">CC8.1</w:t>
            </w:r>
          </w:p>
        </w:tc>
        <w:tc>
          <w:tcPr>
            <w:tcW w:type="dxa" w:w="2800"/>
            <w:tcBorders>
              <w:top w:val="single" w:color="CCCCCC" w:sz="1"/>
              <w:left w:val="single" w:color="CCCCCC" w:sz="1"/>
              <w:bottom w:val="single" w:color="CCCCCC" w:sz="1"/>
              <w:right w:val="single" w:color="CCCCCC" w:sz="1"/>
            </w:tcBorders>
          </w:tcPr>
          <w:p>
            <w:r>
              <w:t xml:space="preserve">Change Management</w:t>
            </w:r>
          </w:p>
        </w:tc>
        <w:tc>
          <w:tcPr>
            <w:tcW w:type="dxa" w:w="2200"/>
            <w:tcBorders>
              <w:top w:val="single" w:color="CCCCCC" w:sz="1"/>
              <w:left w:val="single" w:color="CCCCCC" w:sz="1"/>
              <w:bottom w:val="single" w:color="CCCCCC" w:sz="1"/>
              <w:right w:val="single" w:color="CCCCCC" w:sz="1"/>
            </w:tcBorders>
          </w:tcPr>
          <w:p>
            <w:r>
              <w:t xml:space="preserve">CM</w:t>
            </w:r>
          </w:p>
        </w:tc>
        <w:tc>
          <w:tcPr>
            <w:tcW w:type="dxa" w:w="2860"/>
            <w:tcBorders>
              <w:top w:val="single" w:color="CCCCCC" w:sz="1"/>
              <w:left w:val="single" w:color="CCCCCC" w:sz="1"/>
              <w:bottom w:val="single" w:color="CCCCCC" w:sz="1"/>
              <w:right w:val="single" w:color="CCCCCC" w:sz="1"/>
            </w:tcBorders>
          </w:tcPr>
          <w:p>
            <w:r>
              <w:t xml:space="preserve">CM-2, CM-3, CM-4, CM-6</w:t>
            </w:r>
          </w:p>
        </w:tc>
      </w:tr>
      <w:tr>
        <w:tc>
          <w:tcPr>
            <w:tcW w:type="dxa" w:w="1500"/>
            <w:tcBorders>
              <w:top w:val="single" w:color="CCCCCC" w:sz="1"/>
              <w:left w:val="single" w:color="CCCCCC" w:sz="1"/>
              <w:bottom w:val="single" w:color="CCCCCC" w:sz="1"/>
              <w:right w:val="single" w:color="CCCCCC" w:sz="1"/>
            </w:tcBorders>
            <w:shd w:fill="F7FAFC" w:val="clear"/>
          </w:tcPr>
          <w:p>
            <w:r>
              <w:rPr>
                <w:b/>
                <w:bCs/>
              </w:rPr>
              <w:t xml:space="preserve">CC9.1</w:t>
            </w:r>
          </w:p>
        </w:tc>
        <w:tc>
          <w:tcPr>
            <w:tcW w:type="dxa" w:w="2800"/>
            <w:tcBorders>
              <w:top w:val="single" w:color="CCCCCC" w:sz="1"/>
              <w:left w:val="single" w:color="CCCCCC" w:sz="1"/>
              <w:bottom w:val="single" w:color="CCCCCC" w:sz="1"/>
              <w:right w:val="single" w:color="CCCCCC" w:sz="1"/>
            </w:tcBorders>
            <w:shd w:fill="F7FAFC" w:val="clear"/>
          </w:tcPr>
          <w:p>
            <w:r>
              <w:t xml:space="preserve">Risk Assessment</w:t>
            </w:r>
          </w:p>
        </w:tc>
        <w:tc>
          <w:tcPr>
            <w:tcW w:type="dxa" w:w="2200"/>
            <w:tcBorders>
              <w:top w:val="single" w:color="CCCCCC" w:sz="1"/>
              <w:left w:val="single" w:color="CCCCCC" w:sz="1"/>
              <w:bottom w:val="single" w:color="CCCCCC" w:sz="1"/>
              <w:right w:val="single" w:color="CCCCCC" w:sz="1"/>
            </w:tcBorders>
            <w:shd w:fill="F7FAFC" w:val="clear"/>
          </w:tcPr>
          <w:p>
            <w:r>
              <w:t xml:space="preserve">RA</w:t>
            </w:r>
          </w:p>
        </w:tc>
        <w:tc>
          <w:tcPr>
            <w:tcW w:type="dxa" w:w="2860"/>
            <w:tcBorders>
              <w:top w:val="single" w:color="CCCCCC" w:sz="1"/>
              <w:left w:val="single" w:color="CCCCCC" w:sz="1"/>
              <w:bottom w:val="single" w:color="CCCCCC" w:sz="1"/>
              <w:right w:val="single" w:color="CCCCCC" w:sz="1"/>
            </w:tcBorders>
            <w:shd w:fill="F7FAFC" w:val="clear"/>
          </w:tcPr>
          <w:p>
            <w:r>
              <w:t xml:space="preserve">RA-3, RA-5, RA-7</w:t>
            </w:r>
          </w:p>
        </w:tc>
      </w:tr>
    </w:tbl>
    <w:p>
      <w:r>
        <w:br w:type="page"/>
      </w:r>
    </w:p>
    <w:p>
      <w:pPr>
        <w:pStyle w:val="Heading1"/>
      </w:pPr>
      <w:r>
        <w:t xml:space="preserve">NIST 800-53 Control Families</w:t>
      </w:r>
    </w:p>
    <w:p>
      <w:pPr>
        <w:spacing w:after="200"/>
      </w:pPr>
      <w:r>
        <w:t xml:space="preserve">The following control families are most relevant to the Security Auditor's automated assessment capabilities:</w:t>
      </w:r>
    </w:p>
    <w:p>
      <w:pPr>
        <w:pStyle w:val="Heading2"/>
      </w:pPr>
      <w:r>
        <w:t xml:space="preserve">AC - Access Control</w:t>
      </w:r>
    </w:p>
    <w:p>
      <w:pPr>
        <w:spacing w:after="120"/>
      </w:pPr>
      <w:r>
        <w:t xml:space="preserve">The Access Control family establishes policy and procedures for managing access to organizational systems. The Code Security Analyzer detects access control vulnerabilities in source code, while the Compliance Checker validates policy documentation.</w:t>
      </w:r>
    </w:p>
    <w:p>
      <w:pPr>
        <w:spacing w:after="80"/>
      </w:pPr>
      <w:r>
        <w:rPr>
          <w:b/>
          <w:bCs/>
        </w:rPr>
        <w:t xml:space="preserve">Key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Control</w:t>
            </w:r>
          </w:p>
        </w:tc>
        <w:tc>
          <w:tcPr>
            <w:tcW w:type="dxa" w:w="26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Title</w:t>
            </w:r>
          </w:p>
        </w:tc>
        <w:tc>
          <w:tcPr>
            <w:tcW w:type="dxa" w:w="53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Automated Assessment Capability</w:t>
            </w:r>
          </w:p>
        </w:tc>
      </w:tr>
      <w:tr>
        <w:tc>
          <w:tcPr>
            <w:tcW w:type="dxa" w:w="1400"/>
            <w:tcBorders>
              <w:top w:val="single" w:color="CCCCCC" w:sz="1"/>
              <w:left w:val="single" w:color="CCCCCC" w:sz="1"/>
              <w:bottom w:val="single" w:color="CCCCCC" w:sz="1"/>
              <w:right w:val="single" w:color="CCCCCC" w:sz="1"/>
            </w:tcBorders>
          </w:tcPr>
          <w:p>
            <w:r>
              <w:t xml:space="preserve">AC-2</w:t>
            </w:r>
          </w:p>
        </w:tc>
        <w:tc>
          <w:tcPr>
            <w:tcW w:type="dxa" w:w="2600"/>
            <w:tcBorders>
              <w:top w:val="single" w:color="CCCCCC" w:sz="1"/>
              <w:left w:val="single" w:color="CCCCCC" w:sz="1"/>
              <w:bottom w:val="single" w:color="CCCCCC" w:sz="1"/>
              <w:right w:val="single" w:color="CCCCCC" w:sz="1"/>
            </w:tcBorders>
          </w:tcPr>
          <w:p>
            <w:r>
              <w:t xml:space="preserve">Account Management</w:t>
            </w:r>
          </w:p>
        </w:tc>
        <w:tc>
          <w:tcPr>
            <w:tcW w:type="dxa" w:w="5360"/>
            <w:tcBorders>
              <w:top w:val="single" w:color="CCCCCC" w:sz="1"/>
              <w:left w:val="single" w:color="CCCCCC" w:sz="1"/>
              <w:bottom w:val="single" w:color="CCCCCC" w:sz="1"/>
              <w:right w:val="single" w:color="CCCCCC" w:sz="1"/>
            </w:tcBorders>
          </w:tcPr>
          <w:p>
            <w:r>
              <w:t xml:space="preserve">Log Analyzer detects account creation/deletion events; Compliance Checker validates account management procedures</w:t>
            </w:r>
          </w:p>
        </w:tc>
      </w:tr>
      <w:tr>
        <w:tc>
          <w:tcPr>
            <w:tcW w:type="dxa" w:w="1400"/>
            <w:tcBorders>
              <w:top w:val="single" w:color="CCCCCC" w:sz="1"/>
              <w:left w:val="single" w:color="CCCCCC" w:sz="1"/>
              <w:bottom w:val="single" w:color="CCCCCC" w:sz="1"/>
              <w:right w:val="single" w:color="CCCCCC" w:sz="1"/>
            </w:tcBorders>
            <w:shd w:fill="F7FAFC" w:val="clear"/>
          </w:tcPr>
          <w:p>
            <w:r>
              <w:t xml:space="preserve">AC-3</w:t>
            </w:r>
          </w:p>
        </w:tc>
        <w:tc>
          <w:tcPr>
            <w:tcW w:type="dxa" w:w="2600"/>
            <w:tcBorders>
              <w:top w:val="single" w:color="CCCCCC" w:sz="1"/>
              <w:left w:val="single" w:color="CCCCCC" w:sz="1"/>
              <w:bottom w:val="single" w:color="CCCCCC" w:sz="1"/>
              <w:right w:val="single" w:color="CCCCCC" w:sz="1"/>
            </w:tcBorders>
            <w:shd w:fill="F7FAFC" w:val="clear"/>
          </w:tcPr>
          <w:p>
            <w:r>
              <w:t xml:space="preserve">Access Enforcement</w:t>
            </w:r>
          </w:p>
        </w:tc>
        <w:tc>
          <w:tcPr>
            <w:tcW w:type="dxa" w:w="5360"/>
            <w:tcBorders>
              <w:top w:val="single" w:color="CCCCCC" w:sz="1"/>
              <w:left w:val="single" w:color="CCCCCC" w:sz="1"/>
              <w:bottom w:val="single" w:color="CCCCCC" w:sz="1"/>
              <w:right w:val="single" w:color="CCCCCC" w:sz="1"/>
            </w:tcBorders>
            <w:shd w:fill="F7FAFC" w:val="clear"/>
          </w:tcPr>
          <w:p>
            <w:r>
              <w:t xml:space="preserve">Code Analyzer detects missing authorization checks (CWE-862, CWE-863); Vulnerability Scanner tests access boundaries</w:t>
            </w:r>
          </w:p>
        </w:tc>
      </w:tr>
      <w:tr>
        <w:tc>
          <w:tcPr>
            <w:tcW w:type="dxa" w:w="1400"/>
            <w:tcBorders>
              <w:top w:val="single" w:color="CCCCCC" w:sz="1"/>
              <w:left w:val="single" w:color="CCCCCC" w:sz="1"/>
              <w:bottom w:val="single" w:color="CCCCCC" w:sz="1"/>
              <w:right w:val="single" w:color="CCCCCC" w:sz="1"/>
            </w:tcBorders>
          </w:tcPr>
          <w:p>
            <w:r>
              <w:t xml:space="preserve">AC-6</w:t>
            </w:r>
          </w:p>
        </w:tc>
        <w:tc>
          <w:tcPr>
            <w:tcW w:type="dxa" w:w="2600"/>
            <w:tcBorders>
              <w:top w:val="single" w:color="CCCCCC" w:sz="1"/>
              <w:left w:val="single" w:color="CCCCCC" w:sz="1"/>
              <w:bottom w:val="single" w:color="CCCCCC" w:sz="1"/>
              <w:right w:val="single" w:color="CCCCCC" w:sz="1"/>
            </w:tcBorders>
          </w:tcPr>
          <w:p>
            <w:r>
              <w:t xml:space="preserve">Least Privilege</w:t>
            </w:r>
          </w:p>
        </w:tc>
        <w:tc>
          <w:tcPr>
            <w:tcW w:type="dxa" w:w="5360"/>
            <w:tcBorders>
              <w:top w:val="single" w:color="CCCCCC" w:sz="1"/>
              <w:left w:val="single" w:color="CCCCCC" w:sz="1"/>
              <w:bottom w:val="single" w:color="CCCCCC" w:sz="1"/>
              <w:right w:val="single" w:color="CCCCCC" w:sz="1"/>
            </w:tcBorders>
          </w:tcPr>
          <w:p>
            <w:r>
              <w:t xml:space="preserve">Code Analyzer identifies overprivileged operations; Log Analyzer detects privilege escalation attempts</w:t>
            </w:r>
          </w:p>
        </w:tc>
      </w:tr>
    </w:tbl>
    <w:p>
      <w:pPr>
        <w:pStyle w:val="Heading2"/>
        <w:spacing w:before="360"/>
      </w:pPr>
      <w:r>
        <w:t xml:space="preserve">AU - Audit and Accountability</w:t>
      </w:r>
    </w:p>
    <w:p>
      <w:pPr>
        <w:spacing w:after="120"/>
      </w:pPr>
      <w:r>
        <w:t xml:space="preserve">The Audit and Accountability family focuses on audit record generation, protection, and analysis. The Log Analyzer agent is purpose-built for AU control assessment.</w:t>
      </w:r>
    </w:p>
    <w:p>
      <w:pPr>
        <w:spacing w:after="80"/>
      </w:pPr>
      <w:r>
        <w:rPr>
          <w:b/>
          <w:bCs/>
        </w:rPr>
        <w:t xml:space="preserve">Key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Control</w:t>
            </w:r>
          </w:p>
        </w:tc>
        <w:tc>
          <w:tcPr>
            <w:tcW w:type="dxa" w:w="26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Title</w:t>
            </w:r>
          </w:p>
        </w:tc>
        <w:tc>
          <w:tcPr>
            <w:tcW w:type="dxa" w:w="53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Automated Assessment Capability</w:t>
            </w:r>
          </w:p>
        </w:tc>
      </w:tr>
      <w:tr>
        <w:tc>
          <w:tcPr>
            <w:tcW w:type="dxa" w:w="1400"/>
            <w:tcBorders>
              <w:top w:val="single" w:color="CCCCCC" w:sz="1"/>
              <w:left w:val="single" w:color="CCCCCC" w:sz="1"/>
              <w:bottom w:val="single" w:color="CCCCCC" w:sz="1"/>
              <w:right w:val="single" w:color="CCCCCC" w:sz="1"/>
            </w:tcBorders>
          </w:tcPr>
          <w:p>
            <w:r>
              <w:t xml:space="preserve">AU-2</w:t>
            </w:r>
          </w:p>
        </w:tc>
        <w:tc>
          <w:tcPr>
            <w:tcW w:type="dxa" w:w="2600"/>
            <w:tcBorders>
              <w:top w:val="single" w:color="CCCCCC" w:sz="1"/>
              <w:left w:val="single" w:color="CCCCCC" w:sz="1"/>
              <w:bottom w:val="single" w:color="CCCCCC" w:sz="1"/>
              <w:right w:val="single" w:color="CCCCCC" w:sz="1"/>
            </w:tcBorders>
          </w:tcPr>
          <w:p>
            <w:r>
              <w:t xml:space="preserve">Event Logging</w:t>
            </w:r>
          </w:p>
        </w:tc>
        <w:tc>
          <w:tcPr>
            <w:tcW w:type="dxa" w:w="5360"/>
            <w:tcBorders>
              <w:top w:val="single" w:color="CCCCCC" w:sz="1"/>
              <w:left w:val="single" w:color="CCCCCC" w:sz="1"/>
              <w:bottom w:val="single" w:color="CCCCCC" w:sz="1"/>
              <w:right w:val="single" w:color="CCCCCC" w:sz="1"/>
            </w:tcBorders>
          </w:tcPr>
          <w:p>
            <w:r>
              <w:t xml:space="preserve">Log Analyzer validates presence of required event types; Code Analyzer checks logging implementation</w:t>
            </w:r>
          </w:p>
        </w:tc>
      </w:tr>
      <w:tr>
        <w:tc>
          <w:tcPr>
            <w:tcW w:type="dxa" w:w="1400"/>
            <w:tcBorders>
              <w:top w:val="single" w:color="CCCCCC" w:sz="1"/>
              <w:left w:val="single" w:color="CCCCCC" w:sz="1"/>
              <w:bottom w:val="single" w:color="CCCCCC" w:sz="1"/>
              <w:right w:val="single" w:color="CCCCCC" w:sz="1"/>
            </w:tcBorders>
            <w:shd w:fill="F7FAFC" w:val="clear"/>
          </w:tcPr>
          <w:p>
            <w:r>
              <w:t xml:space="preserve">AU-3</w:t>
            </w:r>
          </w:p>
        </w:tc>
        <w:tc>
          <w:tcPr>
            <w:tcW w:type="dxa" w:w="2600"/>
            <w:tcBorders>
              <w:top w:val="single" w:color="CCCCCC" w:sz="1"/>
              <w:left w:val="single" w:color="CCCCCC" w:sz="1"/>
              <w:bottom w:val="single" w:color="CCCCCC" w:sz="1"/>
              <w:right w:val="single" w:color="CCCCCC" w:sz="1"/>
            </w:tcBorders>
            <w:shd w:fill="F7FAFC" w:val="clear"/>
          </w:tcPr>
          <w:p>
            <w:r>
              <w:t xml:space="preserve">Content of Audit Records</w:t>
            </w:r>
          </w:p>
        </w:tc>
        <w:tc>
          <w:tcPr>
            <w:tcW w:type="dxa" w:w="5360"/>
            <w:tcBorders>
              <w:top w:val="single" w:color="CCCCCC" w:sz="1"/>
              <w:left w:val="single" w:color="CCCCCC" w:sz="1"/>
              <w:bottom w:val="single" w:color="CCCCCC" w:sz="1"/>
              <w:right w:val="single" w:color="CCCCCC" w:sz="1"/>
            </w:tcBorders>
            <w:shd w:fill="F7FAFC" w:val="clear"/>
          </w:tcPr>
          <w:p>
            <w:r>
              <w:t xml:space="preserve">Log Analyzer validates audit record completeness (timestamp, source, type, outcome)</w:t>
            </w:r>
          </w:p>
        </w:tc>
      </w:tr>
      <w:tr>
        <w:tc>
          <w:tcPr>
            <w:tcW w:type="dxa" w:w="1400"/>
            <w:tcBorders>
              <w:top w:val="single" w:color="CCCCCC" w:sz="1"/>
              <w:left w:val="single" w:color="CCCCCC" w:sz="1"/>
              <w:bottom w:val="single" w:color="CCCCCC" w:sz="1"/>
              <w:right w:val="single" w:color="CCCCCC" w:sz="1"/>
            </w:tcBorders>
          </w:tcPr>
          <w:p>
            <w:r>
              <w:t xml:space="preserve">AU-6</w:t>
            </w:r>
          </w:p>
        </w:tc>
        <w:tc>
          <w:tcPr>
            <w:tcW w:type="dxa" w:w="2600"/>
            <w:tcBorders>
              <w:top w:val="single" w:color="CCCCCC" w:sz="1"/>
              <w:left w:val="single" w:color="CCCCCC" w:sz="1"/>
              <w:bottom w:val="single" w:color="CCCCCC" w:sz="1"/>
              <w:right w:val="single" w:color="CCCCCC" w:sz="1"/>
            </w:tcBorders>
          </w:tcPr>
          <w:p>
            <w:r>
              <w:t xml:space="preserve">Audit Record Review</w:t>
            </w:r>
          </w:p>
        </w:tc>
        <w:tc>
          <w:tcPr>
            <w:tcW w:type="dxa" w:w="5360"/>
            <w:tcBorders>
              <w:top w:val="single" w:color="CCCCCC" w:sz="1"/>
              <w:left w:val="single" w:color="CCCCCC" w:sz="1"/>
              <w:bottom w:val="single" w:color="CCCCCC" w:sz="1"/>
              <w:right w:val="single" w:color="CCCCCC" w:sz="1"/>
            </w:tcBorders>
          </w:tcPr>
          <w:p>
            <w:r>
              <w:t xml:space="preserve">Log Analyzer performs automated anomaly detection and event correlation</w:t>
            </w:r>
          </w:p>
        </w:tc>
      </w:tr>
      <w:tr>
        <w:tc>
          <w:tcPr>
            <w:tcW w:type="dxa" w:w="1400"/>
            <w:tcBorders>
              <w:top w:val="single" w:color="CCCCCC" w:sz="1"/>
              <w:left w:val="single" w:color="CCCCCC" w:sz="1"/>
              <w:bottom w:val="single" w:color="CCCCCC" w:sz="1"/>
              <w:right w:val="single" w:color="CCCCCC" w:sz="1"/>
            </w:tcBorders>
            <w:shd w:fill="F7FAFC" w:val="clear"/>
          </w:tcPr>
          <w:p>
            <w:r>
              <w:t xml:space="preserve">AU-12</w:t>
            </w:r>
          </w:p>
        </w:tc>
        <w:tc>
          <w:tcPr>
            <w:tcW w:type="dxa" w:w="2600"/>
            <w:tcBorders>
              <w:top w:val="single" w:color="CCCCCC" w:sz="1"/>
              <w:left w:val="single" w:color="CCCCCC" w:sz="1"/>
              <w:bottom w:val="single" w:color="CCCCCC" w:sz="1"/>
              <w:right w:val="single" w:color="CCCCCC" w:sz="1"/>
            </w:tcBorders>
            <w:shd w:fill="F7FAFC" w:val="clear"/>
          </w:tcPr>
          <w:p>
            <w:r>
              <w:t xml:space="preserve">Audit Record Generation</w:t>
            </w:r>
          </w:p>
        </w:tc>
        <w:tc>
          <w:tcPr>
            <w:tcW w:type="dxa" w:w="5360"/>
            <w:tcBorders>
              <w:top w:val="single" w:color="CCCCCC" w:sz="1"/>
              <w:left w:val="single" w:color="CCCCCC" w:sz="1"/>
              <w:bottom w:val="single" w:color="CCCCCC" w:sz="1"/>
              <w:right w:val="single" w:color="CCCCCC" w:sz="1"/>
            </w:tcBorders>
            <w:shd w:fill="F7FAFC" w:val="clear"/>
          </w:tcPr>
          <w:p>
            <w:r>
              <w:t xml:space="preserve">Code Analyzer identifies audit logging gaps; validates audit API usage patterns</w:t>
            </w:r>
          </w:p>
        </w:tc>
      </w:tr>
    </w:tbl>
    <w:p>
      <w:pPr>
        <w:pStyle w:val="Heading2"/>
        <w:spacing w:before="360"/>
      </w:pPr>
      <w:r>
        <w:t xml:space="preserve">RA - Risk Assessment</w:t>
      </w:r>
    </w:p>
    <w:p>
      <w:pPr>
        <w:spacing w:after="120"/>
      </w:pPr>
      <w:r>
        <w:t xml:space="preserve">The Risk Assessment family covers vulnerability scanning and risk analysis. The Vulnerability Scanner agent directly implements RA-5 testing requirements.</w:t>
      </w:r>
    </w:p>
    <w:p>
      <w:pPr>
        <w:spacing w:after="80"/>
      </w:pPr>
      <w:r>
        <w:rPr>
          <w:b/>
          <w:bCs/>
        </w:rPr>
        <w:t xml:space="preserve">Key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Control</w:t>
            </w:r>
          </w:p>
        </w:tc>
        <w:tc>
          <w:tcPr>
            <w:tcW w:type="dxa" w:w="26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Title</w:t>
            </w:r>
          </w:p>
        </w:tc>
        <w:tc>
          <w:tcPr>
            <w:tcW w:type="dxa" w:w="53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Automated Assessment Capability</w:t>
            </w:r>
          </w:p>
        </w:tc>
      </w:tr>
      <w:tr>
        <w:tc>
          <w:tcPr>
            <w:tcW w:type="dxa" w:w="1400"/>
            <w:tcBorders>
              <w:top w:val="single" w:color="CCCCCC" w:sz="1"/>
              <w:left w:val="single" w:color="CCCCCC" w:sz="1"/>
              <w:bottom w:val="single" w:color="CCCCCC" w:sz="1"/>
              <w:right w:val="single" w:color="CCCCCC" w:sz="1"/>
            </w:tcBorders>
          </w:tcPr>
          <w:p>
            <w:r>
              <w:t xml:space="preserve">RA-3</w:t>
            </w:r>
          </w:p>
        </w:tc>
        <w:tc>
          <w:tcPr>
            <w:tcW w:type="dxa" w:w="2600"/>
            <w:tcBorders>
              <w:top w:val="single" w:color="CCCCCC" w:sz="1"/>
              <w:left w:val="single" w:color="CCCCCC" w:sz="1"/>
              <w:bottom w:val="single" w:color="CCCCCC" w:sz="1"/>
              <w:right w:val="single" w:color="CCCCCC" w:sz="1"/>
            </w:tcBorders>
          </w:tcPr>
          <w:p>
            <w:r>
              <w:t xml:space="preserve">Risk Assessment</w:t>
            </w:r>
          </w:p>
        </w:tc>
        <w:tc>
          <w:tcPr>
            <w:tcW w:type="dxa" w:w="5360"/>
            <w:tcBorders>
              <w:top w:val="single" w:color="CCCCCC" w:sz="1"/>
              <w:left w:val="single" w:color="CCCCCC" w:sz="1"/>
              <w:bottom w:val="single" w:color="CCCCCC" w:sz="1"/>
              <w:right w:val="single" w:color="CCCCCC" w:sz="1"/>
            </w:tcBorders>
          </w:tcPr>
          <w:p>
            <w:r>
              <w:t xml:space="preserve">Compliance Checker validates risk assessment documentation via RAG retrieval</w:t>
            </w:r>
          </w:p>
        </w:tc>
      </w:tr>
      <w:tr>
        <w:tc>
          <w:tcPr>
            <w:tcW w:type="dxa" w:w="1400"/>
            <w:tcBorders>
              <w:top w:val="single" w:color="CCCCCC" w:sz="1"/>
              <w:left w:val="single" w:color="CCCCCC" w:sz="1"/>
              <w:bottom w:val="single" w:color="CCCCCC" w:sz="1"/>
              <w:right w:val="single" w:color="CCCCCC" w:sz="1"/>
            </w:tcBorders>
            <w:shd w:fill="F7FAFC" w:val="clear"/>
          </w:tcPr>
          <w:p>
            <w:r>
              <w:t xml:space="preserve">RA-5</w:t>
            </w:r>
          </w:p>
        </w:tc>
        <w:tc>
          <w:tcPr>
            <w:tcW w:type="dxa" w:w="2600"/>
            <w:tcBorders>
              <w:top w:val="single" w:color="CCCCCC" w:sz="1"/>
              <w:left w:val="single" w:color="CCCCCC" w:sz="1"/>
              <w:bottom w:val="single" w:color="CCCCCC" w:sz="1"/>
              <w:right w:val="single" w:color="CCCCCC" w:sz="1"/>
            </w:tcBorders>
            <w:shd w:fill="F7FAFC" w:val="clear"/>
          </w:tcPr>
          <w:p>
            <w:r>
              <w:t xml:space="preserve">Vulnerability Monitoring &amp; Scanning</w:t>
            </w:r>
          </w:p>
        </w:tc>
        <w:tc>
          <w:tcPr>
            <w:tcW w:type="dxa" w:w="5360"/>
            <w:tcBorders>
              <w:top w:val="single" w:color="CCCCCC" w:sz="1"/>
              <w:left w:val="single" w:color="CCCCCC" w:sz="1"/>
              <w:bottom w:val="single" w:color="CCCCCC" w:sz="1"/>
              <w:right w:val="single" w:color="CCCCCC" w:sz="1"/>
            </w:tcBorders>
            <w:shd w:fill="F7FAFC" w:val="clear"/>
          </w:tcPr>
          <w:p>
            <w:r>
              <w:t xml:space="preserve">Vulnerability Scanner performs OWASP ZAP scans; Code Analyzer provides SAST coverage</w:t>
            </w:r>
          </w:p>
        </w:tc>
      </w:tr>
    </w:tbl>
    <w:p>
      <w:r>
        <w:br w:type="page"/>
      </w:r>
    </w:p>
    <w:p>
      <w:pPr>
        <w:pStyle w:val="Heading1"/>
      </w:pPr>
      <w:r>
        <w:t xml:space="preserve">Implementation Architecture</w:t>
      </w:r>
    </w:p>
    <w:p>
      <w:pPr>
        <w:pStyle w:val="Heading2"/>
      </w:pPr>
      <w:r>
        <w:t xml:space="preserve">Framework Adapter Pattern</w:t>
      </w:r>
    </w:p>
    <w:p>
      <w:pPr>
        <w:spacing w:after="120"/>
      </w:pPr>
      <w:r>
        <w:t xml:space="preserve">The Security Auditor uses a framework adapter pattern that enables simultaneous assessment against multiple compliance frameworks. Each adapter translates framework-specific requirements into unified assessment operations.</w:t>
      </w:r>
    </w:p>
    <w:p>
      <w:pPr>
        <w:spacing w:after="120" w:before="200"/>
      </w:pPr>
      <w:r>
        <w:rPr>
          <w:b/>
          <w:bCs/>
        </w:rPr>
        <w:t xml:space="preserve">Architecture Components:</w:t>
      </w:r>
    </w:p>
    <w:p>
      <w:pPr>
        <w:pStyle w:val="ListParagraph"/>
        <w:numPr>
          <w:ilvl w:val="0"/>
          <w:numId w:val="3"/>
        </w:numPr>
      </w:pPr>
      <w:r>
        <w:rPr>
          <w:b/>
          <w:bCs/>
        </w:rPr>
        <w:t xml:space="preserve">Multi-Framework Orchestrator: </w:t>
      </w:r>
      <w:r>
        <w:t xml:space="preserve">Coordinates assessment across SOC 2, NIST 800-53A, and FedRAMP</w:t>
      </w:r>
    </w:p>
    <w:p>
      <w:pPr>
        <w:pStyle w:val="ListParagraph"/>
        <w:numPr>
          <w:ilvl w:val="0"/>
          <w:numId w:val="3"/>
        </w:numPr>
      </w:pPr>
      <w:r>
        <w:rPr>
          <w:b/>
          <w:bCs/>
        </w:rPr>
        <w:t xml:space="preserve">Framework Adapter Layer: </w:t>
      </w:r>
      <w:r>
        <w:t xml:space="preserve">Translates framework controls to agent operations</w:t>
      </w:r>
    </w:p>
    <w:p>
      <w:pPr>
        <w:pStyle w:val="ListParagraph"/>
        <w:numPr>
          <w:ilvl w:val="0"/>
          <w:numId w:val="3"/>
        </w:numPr>
      </w:pPr>
      <w:r>
        <w:rPr>
          <w:b/>
          <w:bCs/>
        </w:rPr>
        <w:t xml:space="preserve">Unified Agent Pool: </w:t>
      </w:r>
      <w:r>
        <w:t xml:space="preserve">Shared agents execute assessments across all frameworks</w:t>
      </w:r>
    </w:p>
    <w:p>
      <w:pPr>
        <w:pStyle w:val="ListParagraph"/>
        <w:numPr>
          <w:ilvl w:val="0"/>
          <w:numId w:val="3"/>
        </w:numPr>
      </w:pPr>
      <w:r>
        <w:rPr>
          <w:b/>
          <w:bCs/>
        </w:rPr>
        <w:t xml:space="preserve">Evidence Aggregation Layer: </w:t>
      </w:r>
      <w:r>
        <w:t xml:space="preserve">Maps findings to multiple framework controls simultaneously</w:t>
      </w:r>
    </w:p>
    <w:p>
      <w:pPr>
        <w:pStyle w:val="Heading2"/>
      </w:pPr>
      <w:r>
        <w:t xml:space="preserve">Assessment Objective Decomposition</w:t>
      </w:r>
    </w:p>
    <w:p>
      <w:pPr>
        <w:spacing w:after="120"/>
      </w:pPr>
      <w:r>
        <w:t xml:space="preserve">NIST 800-53A decomposes each control into specific assessment objectives. The RAG pipeline uses control-objective-aware chunking to ensure precise evidence retrieval.</w:t>
      </w:r>
    </w:p>
    <w:p>
      <w:pPr>
        <w:spacing w:after="80"/>
      </w:pPr>
      <w:r>
        <w:rPr>
          <w:b/>
          <w:bCs/>
          <w:i/>
          <w:iCs/>
        </w:rPr>
        <w:t xml:space="preserve">Example: AC-2 Account Management Objectives</w:t>
      </w:r>
    </w:p>
    <w:p>
      <w:pPr>
        <w:pStyle w:val="ListParagraph"/>
        <w:numPr>
          <w:ilvl w:val="0"/>
          <w:numId w:val="2"/>
        </w:numPr>
      </w:pPr>
      <w:r>
        <w:rPr>
          <w:b/>
          <w:bCs/>
        </w:rPr>
        <w:t xml:space="preserve">AC-2(a): </w:t>
      </w:r>
      <w:r>
        <w:t xml:space="preserve">Account types requiring assignment are defined</w:t>
      </w:r>
    </w:p>
    <w:p>
      <w:pPr>
        <w:pStyle w:val="ListParagraph"/>
        <w:numPr>
          <w:ilvl w:val="0"/>
          <w:numId w:val="2"/>
        </w:numPr>
      </w:pPr>
      <w:r>
        <w:rPr>
          <w:b/>
          <w:bCs/>
        </w:rPr>
        <w:t xml:space="preserve">AC-2(b): </w:t>
      </w:r>
      <w:r>
        <w:t xml:space="preserve">Account managers are assigned for each account type</w:t>
      </w:r>
    </w:p>
    <w:p>
      <w:pPr>
        <w:pStyle w:val="ListParagraph"/>
        <w:numPr>
          <w:ilvl w:val="0"/>
          <w:numId w:val="2"/>
        </w:numPr>
      </w:pPr>
      <w:r>
        <w:rPr>
          <w:b/>
          <w:bCs/>
        </w:rPr>
        <w:t xml:space="preserve">AC-2(c): </w:t>
      </w:r>
      <w:r>
        <w:t xml:space="preserve">Conditions for group/role membership are established</w:t>
      </w:r>
    </w:p>
    <w:p>
      <w:pPr>
        <w:pStyle w:val="ListParagraph"/>
        <w:numPr>
          <w:ilvl w:val="0"/>
          <w:numId w:val="2"/>
        </w:numPr>
      </w:pPr>
      <w:r>
        <w:rPr>
          <w:b/>
          <w:bCs/>
        </w:rPr>
        <w:t xml:space="preserve">AC-2(d): </w:t>
      </w:r>
      <w:r>
        <w:t xml:space="preserve">Authorized users, group/role membership, and access authorizations are specified</w:t>
      </w:r>
    </w:p>
    <w:p>
      <w:pPr>
        <w:pStyle w:val="Heading2"/>
      </w:pPr>
      <w:r>
        <w:t xml:space="preserve">FedRAMP Baseline Support</w:t>
      </w:r>
    </w:p>
    <w:p>
      <w:pPr>
        <w:spacing w:after="120"/>
      </w:pPr>
      <w:r>
        <w:t xml:space="preserve">FedRAMP uses NIST 800-53 controls with specific baselines. The framework supports all three authorization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Baseline</w:t>
            </w:r>
          </w:p>
        </w:tc>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Control Count</w:t>
            </w:r>
          </w:p>
        </w:tc>
        <w:tc>
          <w:tcPr>
            <w:tcW w:type="dxa" w:w="51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Use Case</w:t>
            </w:r>
          </w:p>
        </w:tc>
      </w:tr>
      <w:tr>
        <w:tc>
          <w:tcPr>
            <w:tcW w:type="dxa" w:w="2000"/>
            <w:tcBorders>
              <w:top w:val="single" w:color="CCCCCC" w:sz="1"/>
              <w:left w:val="single" w:color="CCCCCC" w:sz="1"/>
              <w:bottom w:val="single" w:color="CCCCCC" w:sz="1"/>
              <w:right w:val="single" w:color="CCCCCC" w:sz="1"/>
            </w:tcBorders>
          </w:tcPr>
          <w:p>
            <w:r>
              <w:rPr>
                <w:b/>
                <w:bCs/>
              </w:rPr>
              <w:t xml:space="preserve">Low</w:t>
            </w:r>
          </w:p>
        </w:tc>
        <w:tc>
          <w:tcPr>
            <w:tcW w:type="dxa" w:w="2200"/>
            <w:tcBorders>
              <w:top w:val="single" w:color="CCCCCC" w:sz="1"/>
              <w:left w:val="single" w:color="CCCCCC" w:sz="1"/>
              <w:bottom w:val="single" w:color="CCCCCC" w:sz="1"/>
              <w:right w:val="single" w:color="CCCCCC" w:sz="1"/>
            </w:tcBorders>
          </w:tcPr>
          <w:p>
            <w:r>
              <w:t xml:space="preserve">125 controls</w:t>
            </w:r>
          </w:p>
        </w:tc>
        <w:tc>
          <w:tcPr>
            <w:tcW w:type="dxa" w:w="5160"/>
            <w:tcBorders>
              <w:top w:val="single" w:color="CCCCCC" w:sz="1"/>
              <w:left w:val="single" w:color="CCCCCC" w:sz="1"/>
              <w:bottom w:val="single" w:color="CCCCCC" w:sz="1"/>
              <w:right w:val="single" w:color="CCCCCC" w:sz="1"/>
            </w:tcBorders>
          </w:tcPr>
          <w:p>
            <w:r>
              <w:t xml:space="preserve">Systems with low confidentiality, integrity, availability impact</w:t>
            </w:r>
          </w:p>
        </w:tc>
      </w:tr>
      <w:tr>
        <w:tc>
          <w:tcPr>
            <w:tcW w:type="dxa" w:w="2000"/>
            <w:tcBorders>
              <w:top w:val="single" w:color="CCCCCC" w:sz="1"/>
              <w:left w:val="single" w:color="CCCCCC" w:sz="1"/>
              <w:bottom w:val="single" w:color="CCCCCC" w:sz="1"/>
              <w:right w:val="single" w:color="CCCCCC" w:sz="1"/>
            </w:tcBorders>
            <w:shd w:fill="F7FAFC" w:val="clear"/>
          </w:tcPr>
          <w:p>
            <w:r>
              <w:rPr>
                <w:b/>
                <w:bCs/>
              </w:rPr>
              <w:t xml:space="preserve">Moderate</w:t>
            </w:r>
          </w:p>
        </w:tc>
        <w:tc>
          <w:tcPr>
            <w:tcW w:type="dxa" w:w="2200"/>
            <w:tcBorders>
              <w:top w:val="single" w:color="CCCCCC" w:sz="1"/>
              <w:left w:val="single" w:color="CCCCCC" w:sz="1"/>
              <w:bottom w:val="single" w:color="CCCCCC" w:sz="1"/>
              <w:right w:val="single" w:color="CCCCCC" w:sz="1"/>
            </w:tcBorders>
            <w:shd w:fill="F7FAFC" w:val="clear"/>
          </w:tcPr>
          <w:p>
            <w:r>
              <w:t xml:space="preserve">325 controls</w:t>
            </w:r>
          </w:p>
        </w:tc>
        <w:tc>
          <w:tcPr>
            <w:tcW w:type="dxa" w:w="5160"/>
            <w:tcBorders>
              <w:top w:val="single" w:color="CCCCCC" w:sz="1"/>
              <w:left w:val="single" w:color="CCCCCC" w:sz="1"/>
              <w:bottom w:val="single" w:color="CCCCCC" w:sz="1"/>
              <w:right w:val="single" w:color="CCCCCC" w:sz="1"/>
            </w:tcBorders>
            <w:shd w:fill="F7FAFC" w:val="clear"/>
          </w:tcPr>
          <w:p>
            <w:r>
              <w:t xml:space="preserve">Most common; sensitive but not classified data</w:t>
            </w:r>
          </w:p>
        </w:tc>
      </w:tr>
      <w:tr>
        <w:tc>
          <w:tcPr>
            <w:tcW w:type="dxa" w:w="2000"/>
            <w:tcBorders>
              <w:top w:val="single" w:color="CCCCCC" w:sz="1"/>
              <w:left w:val="single" w:color="CCCCCC" w:sz="1"/>
              <w:bottom w:val="single" w:color="CCCCCC" w:sz="1"/>
              <w:right w:val="single" w:color="CCCCCC" w:sz="1"/>
            </w:tcBorders>
          </w:tcPr>
          <w:p>
            <w:r>
              <w:rPr>
                <w:b/>
                <w:bCs/>
              </w:rPr>
              <w:t xml:space="preserve">High</w:t>
            </w:r>
          </w:p>
        </w:tc>
        <w:tc>
          <w:tcPr>
            <w:tcW w:type="dxa" w:w="2200"/>
            <w:tcBorders>
              <w:top w:val="single" w:color="CCCCCC" w:sz="1"/>
              <w:left w:val="single" w:color="CCCCCC" w:sz="1"/>
              <w:bottom w:val="single" w:color="CCCCCC" w:sz="1"/>
              <w:right w:val="single" w:color="CCCCCC" w:sz="1"/>
            </w:tcBorders>
          </w:tcPr>
          <w:p>
            <w:r>
              <w:t xml:space="preserve">421 controls</w:t>
            </w:r>
          </w:p>
        </w:tc>
        <w:tc>
          <w:tcPr>
            <w:tcW w:type="dxa" w:w="5160"/>
            <w:tcBorders>
              <w:top w:val="single" w:color="CCCCCC" w:sz="1"/>
              <w:left w:val="single" w:color="CCCCCC" w:sz="1"/>
              <w:bottom w:val="single" w:color="CCCCCC" w:sz="1"/>
              <w:right w:val="single" w:color="CCCCCC" w:sz="1"/>
            </w:tcBorders>
          </w:tcPr>
          <w:p>
            <w:r>
              <w:t xml:space="preserve">Mission-critical systems; law enforcement, emergency services</w:t>
            </w:r>
          </w:p>
        </w:tc>
      </w:tr>
    </w:tbl>
    <w:p>
      <w:r>
        <w:br w:type="page"/>
      </w:r>
    </w:p>
    <w:p>
      <w:pPr>
        <w:pStyle w:val="Heading1"/>
      </w:pPr>
      <w:r>
        <w:t xml:space="preserve">API Usage</w:t>
      </w:r>
    </w:p>
    <w:p>
      <w:pPr>
        <w:pStyle w:val="Heading2"/>
      </w:pPr>
      <w:r>
        <w:t xml:space="preserve">Orchestrator Configuration</w:t>
      </w:r>
    </w:p>
    <w:p>
      <w:pPr>
        <w:spacing w:after="120"/>
      </w:pPr>
      <w:r>
        <w:t xml:space="preserve">Configure the orchestrator to use NIST 800-53A framework with depth and coverage parameters:</w:t>
      </w:r>
    </w:p>
    <w:p>
      <w:pPr>
        <w:shd w:fill="F7FAFC" w:val="clear"/>
        <w:spacing w:after="120" w:before="200"/>
      </w:pPr>
      <w:r>
        <w:rPr>
          <w:rFonts w:ascii="Courier New" w:cs="Courier New" w:eastAsia="Courier New" w:hAnsi="Courier New"/>
          <w:sz w:val="20"/>
          <w:szCs w:val="20"/>
        </w:rPr>
        <w:t xml:space="preserve">from agents.orchestrator import SecurityAuditOrchestrator</w:t>
      </w:r>
    </w:p>
    <w:p>
      <w:pPr>
        <w:shd w:fill="F7FAFC" w:val="clear"/>
      </w:pPr>
      <w:r>
        <w:rPr>
          <w:rFonts w:ascii="Courier New" w:cs="Courier New" w:eastAsia="Courier New" w:hAnsi="Courier New"/>
          <w:sz w:val="20"/>
          <w:szCs w:val="20"/>
        </w:rPr>
        <w:t xml:space="preserve"/>
      </w:r>
    </w:p>
    <w:p>
      <w:pPr>
        <w:shd w:fill="F7FAFC" w:val="clear"/>
      </w:pPr>
      <w:r>
        <w:rPr>
          <w:rFonts w:ascii="Courier New" w:cs="Courier New" w:eastAsia="Courier New" w:hAnsi="Courier New"/>
          <w:sz w:val="20"/>
          <w:szCs w:val="20"/>
        </w:rPr>
        <w:t xml:space="preserve">state = await orchestrator.run_audit(</w:t>
      </w:r>
    </w:p>
    <w:p>
      <w:pPr>
        <w:shd w:fill="F7FAFC" w:val="clear"/>
      </w:pPr>
      <w:r>
        <w:rPr>
          <w:rFonts w:ascii="Courier New" w:cs="Courier New" w:eastAsia="Courier New" w:hAnsi="Courier New"/>
          <w:sz w:val="20"/>
          <w:szCs w:val="20"/>
        </w:rPr>
        <w:t xml:space="preserve">    audit_id="AUDIT-2025-001",</w:t>
      </w:r>
    </w:p>
    <w:p>
      <w:pPr>
        <w:shd w:fill="F7FAFC" w:val="clear"/>
      </w:pPr>
      <w:r>
        <w:rPr>
          <w:rFonts w:ascii="Courier New" w:cs="Courier New" w:eastAsia="Courier New" w:hAnsi="Courier New"/>
          <w:sz w:val="20"/>
          <w:szCs w:val="20"/>
        </w:rPr>
        <w:t xml:space="preserve">    framework="NIST800-53A",</w:t>
      </w:r>
    </w:p>
    <w:p>
      <w:pPr>
        <w:shd w:fill="F7FAFC" w:val="clear"/>
      </w:pPr>
      <w:r>
        <w:rPr>
          <w:rFonts w:ascii="Courier New" w:cs="Courier New" w:eastAsia="Courier New" w:hAnsi="Courier New"/>
          <w:sz w:val="20"/>
          <w:szCs w:val="20"/>
        </w:rPr>
        <w:t xml:space="preserve">    scope={</w:t>
      </w:r>
    </w:p>
    <w:p>
      <w:pPr>
        <w:shd w:fill="F7FAFC" w:val="clear"/>
      </w:pPr>
      <w:r>
        <w:rPr>
          <w:rFonts w:ascii="Courier New" w:cs="Courier New" w:eastAsia="Courier New" w:hAnsi="Courier New"/>
          <w:sz w:val="20"/>
          <w:szCs w:val="20"/>
        </w:rPr>
        <w:t xml:space="preserve">        "control_families": ["AC", "AU", "RA", "SI"],</w:t>
      </w:r>
    </w:p>
    <w:p>
      <w:pPr>
        <w:shd w:fill="F7FAFC" w:val="clear"/>
      </w:pPr>
      <w:r>
        <w:rPr>
          <w:rFonts w:ascii="Courier New" w:cs="Courier New" w:eastAsia="Courier New" w:hAnsi="Courier New"/>
          <w:sz w:val="20"/>
          <w:szCs w:val="20"/>
        </w:rPr>
        <w:t xml:space="preserve">        "depth": "focused",</w:t>
      </w:r>
    </w:p>
    <w:p>
      <w:pPr>
        <w:shd w:fill="F7FAFC" w:val="clear"/>
      </w:pPr>
      <w:r>
        <w:rPr>
          <w:rFonts w:ascii="Courier New" w:cs="Courier New" w:eastAsia="Courier New" w:hAnsi="Courier New"/>
          <w:sz w:val="20"/>
          <w:szCs w:val="20"/>
        </w:rPr>
        <w:t xml:space="preserve">        "coverage": "representative",</w:t>
      </w:r>
    </w:p>
    <w:p>
      <w:pPr>
        <w:shd w:fill="F7FAFC" w:val="clear"/>
      </w:pPr>
      <w:r>
        <w:rPr>
          <w:rFonts w:ascii="Courier New" w:cs="Courier New" w:eastAsia="Courier New" w:hAnsi="Courier New"/>
          <w:sz w:val="20"/>
          <w:szCs w:val="20"/>
        </w:rPr>
        <w:t xml:space="preserve">        "baseline": "moderate",  # FedRAMP baseline</w:t>
      </w:r>
    </w:p>
    <w:p>
      <w:pPr>
        <w:shd w:fill="F7FAFC" w:val="clear"/>
      </w:pPr>
      <w:r>
        <w:rPr>
          <w:rFonts w:ascii="Courier New" w:cs="Courier New" w:eastAsia="Courier New" w:hAnsi="Courier New"/>
          <w:sz w:val="20"/>
          <w:szCs w:val="20"/>
        </w:rPr>
        <w:t xml:space="preserve">    },</w:t>
      </w:r>
    </w:p>
    <w:p>
      <w:pPr>
        <w:shd w:fill="F7FAFC" w:val="clear"/>
      </w:pPr>
      <w:r>
        <w:rPr>
          <w:rFonts w:ascii="Courier New" w:cs="Courier New" w:eastAsia="Courier New" w:hAnsi="Courier New"/>
          <w:sz w:val="20"/>
          <w:szCs w:val="20"/>
        </w:rPr>
        <w:t xml:space="preserve">    target_path="./system",</w:t>
      </w:r>
    </w:p>
    <w:p>
      <w:pPr>
        <w:shd w:fill="F7FAFC" w:val="clear"/>
        <w:spacing w:after="200"/>
      </w:pPr>
      <w:r>
        <w:rPr>
          <w:rFonts w:ascii="Courier New" w:cs="Courier New" w:eastAsia="Courier New" w:hAnsi="Courier New"/>
          <w:sz w:val="20"/>
          <w:szCs w:val="20"/>
        </w:rPr>
        <w:t xml:space="preserve">)</w:t>
      </w:r>
    </w:p>
    <w:p>
      <w:pPr>
        <w:pStyle w:val="Heading2"/>
      </w:pPr>
      <w:r>
        <w:t xml:space="preserve">CLI Usage</w:t>
      </w:r>
    </w:p>
    <w:p>
      <w:pPr>
        <w:spacing w:after="120"/>
      </w:pPr>
      <w:r>
        <w:t xml:space="preserve">Run NIST 800-53A assessment from the command line:</w:t>
      </w:r>
    </w:p>
    <w:p>
      <w:pPr>
        <w:shd w:fill="F7FAFC" w:val="clear"/>
        <w:spacing w:after="120" w:before="200"/>
      </w:pPr>
      <w:r>
        <w:rPr>
          <w:rFonts w:ascii="Courier New" w:cs="Courier New" w:eastAsia="Courier New" w:hAnsi="Courier New"/>
          <w:sz w:val="20"/>
          <w:szCs w:val="20"/>
        </w:rPr>
        <w:t xml:space="preserve"># Basic NIST assessment</w:t>
      </w:r>
    </w:p>
    <w:p>
      <w:pPr>
        <w:shd w:fill="F7FAFC" w:val="clear"/>
      </w:pPr>
      <w:r>
        <w:rPr>
          <w:rFonts w:ascii="Courier New" w:cs="Courier New" w:eastAsia="Courier New" w:hAnsi="Courier New"/>
          <w:sz w:val="20"/>
          <w:szCs w:val="20"/>
        </w:rPr>
        <w:t xml:space="preserve">security-auditor audit ./system --framework nist800-53a</w:t>
      </w:r>
    </w:p>
    <w:p>
      <w:pPr>
        <w:shd w:fill="F7FAFC" w:val="clear"/>
      </w:pPr>
      <w:r>
        <w:rPr>
          <w:rFonts w:ascii="Courier New" w:cs="Courier New" w:eastAsia="Courier New" w:hAnsi="Courier New"/>
          <w:sz w:val="20"/>
          <w:szCs w:val="20"/>
        </w:rPr>
        <w:t xml:space="preserve"/>
      </w:r>
    </w:p>
    <w:p>
      <w:pPr>
        <w:shd w:fill="F7FAFC" w:val="clear"/>
      </w:pPr>
      <w:r>
        <w:rPr>
          <w:rFonts w:ascii="Courier New" w:cs="Courier New" w:eastAsia="Courier New" w:hAnsi="Courier New"/>
          <w:sz w:val="20"/>
          <w:szCs w:val="20"/>
        </w:rPr>
        <w:t xml:space="preserve"># FedRAMP Moderate baseline</w:t>
      </w:r>
    </w:p>
    <w:p>
      <w:pPr>
        <w:shd w:fill="F7FAFC" w:val="clear"/>
      </w:pPr>
      <w:r>
        <w:rPr>
          <w:rFonts w:ascii="Courier New" w:cs="Courier New" w:eastAsia="Courier New" w:hAnsi="Courier New"/>
          <w:sz w:val="20"/>
          <w:szCs w:val="20"/>
        </w:rPr>
        <w:t xml:space="preserve">security-auditor audit ./system \</w:t>
      </w:r>
    </w:p>
    <w:p>
      <w:pPr>
        <w:shd w:fill="F7FAFC" w:val="clear"/>
      </w:pPr>
      <w:r>
        <w:rPr>
          <w:rFonts w:ascii="Courier New" w:cs="Courier New" w:eastAsia="Courier New" w:hAnsi="Courier New"/>
          <w:sz w:val="20"/>
          <w:szCs w:val="20"/>
        </w:rPr>
        <w:t xml:space="preserve">    --framework fedramp-moderate \</w:t>
      </w:r>
    </w:p>
    <w:p>
      <w:pPr>
        <w:shd w:fill="F7FAFC" w:val="clear"/>
      </w:pPr>
      <w:r>
        <w:rPr>
          <w:rFonts w:ascii="Courier New" w:cs="Courier New" w:eastAsia="Courier New" w:hAnsi="Courier New"/>
          <w:sz w:val="20"/>
          <w:szCs w:val="20"/>
        </w:rPr>
        <w:t xml:space="preserve">    --depth focused \</w:t>
      </w:r>
    </w:p>
    <w:p>
      <w:pPr>
        <w:shd w:fill="F7FAFC" w:val="clear"/>
        <w:spacing w:after="200"/>
      </w:pPr>
      <w:r>
        <w:rPr>
          <w:rFonts w:ascii="Courier New" w:cs="Courier New" w:eastAsia="Courier New" w:hAnsi="Courier New"/>
          <w:sz w:val="20"/>
          <w:szCs w:val="20"/>
        </w:rPr>
        <w:t xml:space="preserve">    --coverage representative</w:t>
      </w:r>
    </w:p>
    <w:p>
      <w:r>
        <w:br w:type="page"/>
      </w:r>
    </w:p>
    <w:p>
      <w:pPr>
        <w:pStyle w:val="Heading1"/>
      </w:pPr>
      <w:r>
        <w:t xml:space="preserve">Appendix: Complete Control Family Reference</w:t>
      </w:r>
    </w:p>
    <w:p>
      <w:pPr>
        <w:spacing w:after="200"/>
      </w:pPr>
      <w:r>
        <w:t xml:space="preserve">All 20 NIST 800-53 control families with Security Auditor coverage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200"/>
        <w:gridCol w:w="2860"/>
      </w:tblGrid>
      <w:tr>
        <w:trPr>
          <w:tblHeader/>
        </w:trPr>
        <w:tc>
          <w:tcPr>
            <w:tcW w:type="dxa" w:w="11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ID</w:t>
            </w:r>
          </w:p>
        </w:tc>
        <w:tc>
          <w:tcPr>
            <w:tcW w:type="dxa" w:w="32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Family</w:t>
            </w:r>
          </w:p>
        </w:tc>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Coverage</w:t>
            </w:r>
          </w:p>
        </w:tc>
        <w:tc>
          <w:tcPr>
            <w:tcW w:type="dxa" w:w="28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Primary Agent</w:t>
            </w:r>
          </w:p>
        </w:tc>
      </w:tr>
      <w:tr>
        <w:tc>
          <w:tcPr>
            <w:tcW w:type="dxa" w:w="1100"/>
            <w:tcBorders>
              <w:top w:val="single" w:color="CCCCCC" w:sz="1"/>
              <w:left w:val="single" w:color="CCCCCC" w:sz="1"/>
              <w:bottom w:val="single" w:color="CCCCCC" w:sz="1"/>
              <w:right w:val="single" w:color="CCCCCC" w:sz="1"/>
            </w:tcBorders>
          </w:tcPr>
          <w:p>
            <w:r>
              <w:rPr>
                <w:b/>
                <w:bCs/>
              </w:rPr>
              <w:t xml:space="preserve">AC</w:t>
            </w:r>
          </w:p>
        </w:tc>
        <w:tc>
          <w:tcPr>
            <w:tcW w:type="dxa" w:w="3200"/>
            <w:tcBorders>
              <w:top w:val="single" w:color="CCCCCC" w:sz="1"/>
              <w:left w:val="single" w:color="CCCCCC" w:sz="1"/>
              <w:bottom w:val="single" w:color="CCCCCC" w:sz="1"/>
              <w:right w:val="single" w:color="CCCCCC" w:sz="1"/>
            </w:tcBorders>
          </w:tcPr>
          <w:p>
            <w:r>
              <w:t xml:space="preserve">Access Control</w:t>
            </w:r>
          </w:p>
        </w:tc>
        <w:tc>
          <w:tcPr>
            <w:tcW w:type="dxa" w:w="2200"/>
            <w:tcBorders>
              <w:top w:val="single" w:color="CCCCCC" w:sz="1"/>
              <w:left w:val="single" w:color="CCCCCC" w:sz="1"/>
              <w:bottom w:val="single" w:color="CCCCCC" w:sz="1"/>
              <w:right w:val="single" w:color="CCCCCC" w:sz="1"/>
            </w:tcBorders>
          </w:tcPr>
          <w:p>
            <w:r>
              <w:t xml:space="preserve">Full</w:t>
            </w:r>
          </w:p>
        </w:tc>
        <w:tc>
          <w:tcPr>
            <w:tcW w:type="dxa" w:w="2860"/>
            <w:tcBorders>
              <w:top w:val="single" w:color="CCCCCC" w:sz="1"/>
              <w:left w:val="single" w:color="CCCCCC" w:sz="1"/>
              <w:bottom w:val="single" w:color="CCCCCC" w:sz="1"/>
              <w:right w:val="single" w:color="CCCCCC" w:sz="1"/>
            </w:tcBorders>
          </w:tcPr>
          <w:p>
            <w:r>
              <w:t xml:space="preserve">Code Analyzer, Log Analyzer</w:t>
            </w:r>
          </w:p>
        </w:tc>
      </w:tr>
      <w:tr>
        <w:tc>
          <w:tcPr>
            <w:tcW w:type="dxa" w:w="1100"/>
            <w:tcBorders>
              <w:top w:val="single" w:color="CCCCCC" w:sz="1"/>
              <w:left w:val="single" w:color="CCCCCC" w:sz="1"/>
              <w:bottom w:val="single" w:color="CCCCCC" w:sz="1"/>
              <w:right w:val="single" w:color="CCCCCC" w:sz="1"/>
            </w:tcBorders>
            <w:shd w:fill="F7FAFC" w:val="clear"/>
          </w:tcPr>
          <w:p>
            <w:r>
              <w:rPr>
                <w:b/>
                <w:bCs/>
              </w:rPr>
              <w:t xml:space="preserve">AT</w:t>
            </w:r>
          </w:p>
        </w:tc>
        <w:tc>
          <w:tcPr>
            <w:tcW w:type="dxa" w:w="3200"/>
            <w:tcBorders>
              <w:top w:val="single" w:color="CCCCCC" w:sz="1"/>
              <w:left w:val="single" w:color="CCCCCC" w:sz="1"/>
              <w:bottom w:val="single" w:color="CCCCCC" w:sz="1"/>
              <w:right w:val="single" w:color="CCCCCC" w:sz="1"/>
            </w:tcBorders>
            <w:shd w:fill="F7FAFC" w:val="clear"/>
          </w:tcPr>
          <w:p>
            <w:r>
              <w:t xml:space="preserve">Awareness and Training</w:t>
            </w:r>
          </w:p>
        </w:tc>
        <w:tc>
          <w:tcPr>
            <w:tcW w:type="dxa" w:w="2200"/>
            <w:tcBorders>
              <w:top w:val="single" w:color="CCCCCC" w:sz="1"/>
              <w:left w:val="single" w:color="CCCCCC" w:sz="1"/>
              <w:bottom w:val="single" w:color="CCCCCC" w:sz="1"/>
              <w:right w:val="single" w:color="CCCCCC" w:sz="1"/>
            </w:tcBorders>
            <w:shd w:fill="F7FAFC" w:val="clear"/>
          </w:tcPr>
          <w:p>
            <w:r>
              <w:t xml:space="preserve">Partial</w:t>
            </w:r>
          </w:p>
        </w:tc>
        <w:tc>
          <w:tcPr>
            <w:tcW w:type="dxa" w:w="2860"/>
            <w:tcBorders>
              <w:top w:val="single" w:color="CCCCCC" w:sz="1"/>
              <w:left w:val="single" w:color="CCCCCC" w:sz="1"/>
              <w:bottom w:val="single" w:color="CCCCCC" w:sz="1"/>
              <w:right w:val="single" w:color="CCCCCC" w:sz="1"/>
            </w:tcBorders>
            <w:shd w:fill="F7FAFC" w:val="clear"/>
          </w:tcPr>
          <w:p>
            <w:r>
              <w:t xml:space="preserve">Compliance Checker</w:t>
            </w:r>
          </w:p>
        </w:tc>
      </w:tr>
      <w:tr>
        <w:tc>
          <w:tcPr>
            <w:tcW w:type="dxa" w:w="1100"/>
            <w:tcBorders>
              <w:top w:val="single" w:color="CCCCCC" w:sz="1"/>
              <w:left w:val="single" w:color="CCCCCC" w:sz="1"/>
              <w:bottom w:val="single" w:color="CCCCCC" w:sz="1"/>
              <w:right w:val="single" w:color="CCCCCC" w:sz="1"/>
            </w:tcBorders>
          </w:tcPr>
          <w:p>
            <w:r>
              <w:rPr>
                <w:b/>
                <w:bCs/>
              </w:rPr>
              <w:t xml:space="preserve">AU</w:t>
            </w:r>
          </w:p>
        </w:tc>
        <w:tc>
          <w:tcPr>
            <w:tcW w:type="dxa" w:w="3200"/>
            <w:tcBorders>
              <w:top w:val="single" w:color="CCCCCC" w:sz="1"/>
              <w:left w:val="single" w:color="CCCCCC" w:sz="1"/>
              <w:bottom w:val="single" w:color="CCCCCC" w:sz="1"/>
              <w:right w:val="single" w:color="CCCCCC" w:sz="1"/>
            </w:tcBorders>
          </w:tcPr>
          <w:p>
            <w:r>
              <w:t xml:space="preserve">Audit and Accountability</w:t>
            </w:r>
          </w:p>
        </w:tc>
        <w:tc>
          <w:tcPr>
            <w:tcW w:type="dxa" w:w="2200"/>
            <w:tcBorders>
              <w:top w:val="single" w:color="CCCCCC" w:sz="1"/>
              <w:left w:val="single" w:color="CCCCCC" w:sz="1"/>
              <w:bottom w:val="single" w:color="CCCCCC" w:sz="1"/>
              <w:right w:val="single" w:color="CCCCCC" w:sz="1"/>
            </w:tcBorders>
          </w:tcPr>
          <w:p>
            <w:r>
              <w:t xml:space="preserve">Full</w:t>
            </w:r>
          </w:p>
        </w:tc>
        <w:tc>
          <w:tcPr>
            <w:tcW w:type="dxa" w:w="2860"/>
            <w:tcBorders>
              <w:top w:val="single" w:color="CCCCCC" w:sz="1"/>
              <w:left w:val="single" w:color="CCCCCC" w:sz="1"/>
              <w:bottom w:val="single" w:color="CCCCCC" w:sz="1"/>
              <w:right w:val="single" w:color="CCCCCC" w:sz="1"/>
            </w:tcBorders>
          </w:tcPr>
          <w:p>
            <w:r>
              <w:t xml:space="preserve">Log Analyzer</w:t>
            </w:r>
          </w:p>
        </w:tc>
      </w:tr>
      <w:tr>
        <w:tc>
          <w:tcPr>
            <w:tcW w:type="dxa" w:w="1100"/>
            <w:tcBorders>
              <w:top w:val="single" w:color="CCCCCC" w:sz="1"/>
              <w:left w:val="single" w:color="CCCCCC" w:sz="1"/>
              <w:bottom w:val="single" w:color="CCCCCC" w:sz="1"/>
              <w:right w:val="single" w:color="CCCCCC" w:sz="1"/>
            </w:tcBorders>
            <w:shd w:fill="F7FAFC" w:val="clear"/>
          </w:tcPr>
          <w:p>
            <w:r>
              <w:rPr>
                <w:b/>
                <w:bCs/>
              </w:rPr>
              <w:t xml:space="preserve">CA</w:t>
            </w:r>
          </w:p>
        </w:tc>
        <w:tc>
          <w:tcPr>
            <w:tcW w:type="dxa" w:w="3200"/>
            <w:tcBorders>
              <w:top w:val="single" w:color="CCCCCC" w:sz="1"/>
              <w:left w:val="single" w:color="CCCCCC" w:sz="1"/>
              <w:bottom w:val="single" w:color="CCCCCC" w:sz="1"/>
              <w:right w:val="single" w:color="CCCCCC" w:sz="1"/>
            </w:tcBorders>
            <w:shd w:fill="F7FAFC" w:val="clear"/>
          </w:tcPr>
          <w:p>
            <w:r>
              <w:t xml:space="preserve">Assessment, Authorization</w:t>
            </w:r>
          </w:p>
        </w:tc>
        <w:tc>
          <w:tcPr>
            <w:tcW w:type="dxa" w:w="2200"/>
            <w:tcBorders>
              <w:top w:val="single" w:color="CCCCCC" w:sz="1"/>
              <w:left w:val="single" w:color="CCCCCC" w:sz="1"/>
              <w:bottom w:val="single" w:color="CCCCCC" w:sz="1"/>
              <w:right w:val="single" w:color="CCCCCC" w:sz="1"/>
            </w:tcBorders>
            <w:shd w:fill="F7FAFC" w:val="clear"/>
          </w:tcPr>
          <w:p>
            <w:r>
              <w:t xml:space="preserve">Partial</w:t>
            </w:r>
          </w:p>
        </w:tc>
        <w:tc>
          <w:tcPr>
            <w:tcW w:type="dxa" w:w="2860"/>
            <w:tcBorders>
              <w:top w:val="single" w:color="CCCCCC" w:sz="1"/>
              <w:left w:val="single" w:color="CCCCCC" w:sz="1"/>
              <w:bottom w:val="single" w:color="CCCCCC" w:sz="1"/>
              <w:right w:val="single" w:color="CCCCCC" w:sz="1"/>
            </w:tcBorders>
            <w:shd w:fill="F7FAFC" w:val="clear"/>
          </w:tcPr>
          <w:p>
            <w:r>
              <w:t xml:space="preserve">Compliance Checker</w:t>
            </w:r>
          </w:p>
        </w:tc>
      </w:tr>
      <w:tr>
        <w:tc>
          <w:tcPr>
            <w:tcW w:type="dxa" w:w="1100"/>
            <w:tcBorders>
              <w:top w:val="single" w:color="CCCCCC" w:sz="1"/>
              <w:left w:val="single" w:color="CCCCCC" w:sz="1"/>
              <w:bottom w:val="single" w:color="CCCCCC" w:sz="1"/>
              <w:right w:val="single" w:color="CCCCCC" w:sz="1"/>
            </w:tcBorders>
          </w:tcPr>
          <w:p>
            <w:r>
              <w:rPr>
                <w:b/>
                <w:bCs/>
              </w:rPr>
              <w:t xml:space="preserve">CM</w:t>
            </w:r>
          </w:p>
        </w:tc>
        <w:tc>
          <w:tcPr>
            <w:tcW w:type="dxa" w:w="3200"/>
            <w:tcBorders>
              <w:top w:val="single" w:color="CCCCCC" w:sz="1"/>
              <w:left w:val="single" w:color="CCCCCC" w:sz="1"/>
              <w:bottom w:val="single" w:color="CCCCCC" w:sz="1"/>
              <w:right w:val="single" w:color="CCCCCC" w:sz="1"/>
            </w:tcBorders>
          </w:tcPr>
          <w:p>
            <w:r>
              <w:t xml:space="preserve">Configuration Management</w:t>
            </w:r>
          </w:p>
        </w:tc>
        <w:tc>
          <w:tcPr>
            <w:tcW w:type="dxa" w:w="2200"/>
            <w:tcBorders>
              <w:top w:val="single" w:color="CCCCCC" w:sz="1"/>
              <w:left w:val="single" w:color="CCCCCC" w:sz="1"/>
              <w:bottom w:val="single" w:color="CCCCCC" w:sz="1"/>
              <w:right w:val="single" w:color="CCCCCC" w:sz="1"/>
            </w:tcBorders>
          </w:tcPr>
          <w:p>
            <w:r>
              <w:t xml:space="preserve">Partial</w:t>
            </w:r>
          </w:p>
        </w:tc>
        <w:tc>
          <w:tcPr>
            <w:tcW w:type="dxa" w:w="2860"/>
            <w:tcBorders>
              <w:top w:val="single" w:color="CCCCCC" w:sz="1"/>
              <w:left w:val="single" w:color="CCCCCC" w:sz="1"/>
              <w:bottom w:val="single" w:color="CCCCCC" w:sz="1"/>
              <w:right w:val="single" w:color="CCCCCC" w:sz="1"/>
            </w:tcBorders>
          </w:tcPr>
          <w:p>
            <w:r>
              <w:t xml:space="preserve">Code Analyzer</w:t>
            </w:r>
          </w:p>
        </w:tc>
      </w:tr>
      <w:tr>
        <w:tc>
          <w:tcPr>
            <w:tcW w:type="dxa" w:w="1100"/>
            <w:tcBorders>
              <w:top w:val="single" w:color="CCCCCC" w:sz="1"/>
              <w:left w:val="single" w:color="CCCCCC" w:sz="1"/>
              <w:bottom w:val="single" w:color="CCCCCC" w:sz="1"/>
              <w:right w:val="single" w:color="CCCCCC" w:sz="1"/>
            </w:tcBorders>
            <w:shd w:fill="F7FAFC" w:val="clear"/>
          </w:tcPr>
          <w:p>
            <w:r>
              <w:rPr>
                <w:b/>
                <w:bCs/>
              </w:rPr>
              <w:t xml:space="preserve">CP</w:t>
            </w:r>
          </w:p>
        </w:tc>
        <w:tc>
          <w:tcPr>
            <w:tcW w:type="dxa" w:w="3200"/>
            <w:tcBorders>
              <w:top w:val="single" w:color="CCCCCC" w:sz="1"/>
              <w:left w:val="single" w:color="CCCCCC" w:sz="1"/>
              <w:bottom w:val="single" w:color="CCCCCC" w:sz="1"/>
              <w:right w:val="single" w:color="CCCCCC" w:sz="1"/>
            </w:tcBorders>
            <w:shd w:fill="F7FAFC" w:val="clear"/>
          </w:tcPr>
          <w:p>
            <w:r>
              <w:t xml:space="preserve">Contingency Planning</w:t>
            </w:r>
          </w:p>
        </w:tc>
        <w:tc>
          <w:tcPr>
            <w:tcW w:type="dxa" w:w="2200"/>
            <w:tcBorders>
              <w:top w:val="single" w:color="CCCCCC" w:sz="1"/>
              <w:left w:val="single" w:color="CCCCCC" w:sz="1"/>
              <w:bottom w:val="single" w:color="CCCCCC" w:sz="1"/>
              <w:right w:val="single" w:color="CCCCCC" w:sz="1"/>
            </w:tcBorders>
            <w:shd w:fill="F7FAFC" w:val="clear"/>
          </w:tcPr>
          <w:p>
            <w:r>
              <w:t xml:space="preserve">Documentation</w:t>
            </w:r>
          </w:p>
        </w:tc>
        <w:tc>
          <w:tcPr>
            <w:tcW w:type="dxa" w:w="2860"/>
            <w:tcBorders>
              <w:top w:val="single" w:color="CCCCCC" w:sz="1"/>
              <w:left w:val="single" w:color="CCCCCC" w:sz="1"/>
              <w:bottom w:val="single" w:color="CCCCCC" w:sz="1"/>
              <w:right w:val="single" w:color="CCCCCC" w:sz="1"/>
            </w:tcBorders>
            <w:shd w:fill="F7FAFC" w:val="clear"/>
          </w:tcPr>
          <w:p>
            <w:r>
              <w:t xml:space="preserve">Compliance Checker</w:t>
            </w:r>
          </w:p>
        </w:tc>
      </w:tr>
      <w:tr>
        <w:tc>
          <w:tcPr>
            <w:tcW w:type="dxa" w:w="1100"/>
            <w:tcBorders>
              <w:top w:val="single" w:color="CCCCCC" w:sz="1"/>
              <w:left w:val="single" w:color="CCCCCC" w:sz="1"/>
              <w:bottom w:val="single" w:color="CCCCCC" w:sz="1"/>
              <w:right w:val="single" w:color="CCCCCC" w:sz="1"/>
            </w:tcBorders>
          </w:tcPr>
          <w:p>
            <w:r>
              <w:rPr>
                <w:b/>
                <w:bCs/>
              </w:rPr>
              <w:t xml:space="preserve">IA</w:t>
            </w:r>
          </w:p>
        </w:tc>
        <w:tc>
          <w:tcPr>
            <w:tcW w:type="dxa" w:w="3200"/>
            <w:tcBorders>
              <w:top w:val="single" w:color="CCCCCC" w:sz="1"/>
              <w:left w:val="single" w:color="CCCCCC" w:sz="1"/>
              <w:bottom w:val="single" w:color="CCCCCC" w:sz="1"/>
              <w:right w:val="single" w:color="CCCCCC" w:sz="1"/>
            </w:tcBorders>
          </w:tcPr>
          <w:p>
            <w:r>
              <w:t xml:space="preserve">Identification &amp; Authentication</w:t>
            </w:r>
          </w:p>
        </w:tc>
        <w:tc>
          <w:tcPr>
            <w:tcW w:type="dxa" w:w="2200"/>
            <w:tcBorders>
              <w:top w:val="single" w:color="CCCCCC" w:sz="1"/>
              <w:left w:val="single" w:color="CCCCCC" w:sz="1"/>
              <w:bottom w:val="single" w:color="CCCCCC" w:sz="1"/>
              <w:right w:val="single" w:color="CCCCCC" w:sz="1"/>
            </w:tcBorders>
          </w:tcPr>
          <w:p>
            <w:r>
              <w:t xml:space="preserve">Full</w:t>
            </w:r>
          </w:p>
        </w:tc>
        <w:tc>
          <w:tcPr>
            <w:tcW w:type="dxa" w:w="2860"/>
            <w:tcBorders>
              <w:top w:val="single" w:color="CCCCCC" w:sz="1"/>
              <w:left w:val="single" w:color="CCCCCC" w:sz="1"/>
              <w:bottom w:val="single" w:color="CCCCCC" w:sz="1"/>
              <w:right w:val="single" w:color="CCCCCC" w:sz="1"/>
            </w:tcBorders>
          </w:tcPr>
          <w:p>
            <w:r>
              <w:t xml:space="preserve">Code Analyzer</w:t>
            </w:r>
          </w:p>
        </w:tc>
      </w:tr>
      <w:tr>
        <w:tc>
          <w:tcPr>
            <w:tcW w:type="dxa" w:w="1100"/>
            <w:tcBorders>
              <w:top w:val="single" w:color="CCCCCC" w:sz="1"/>
              <w:left w:val="single" w:color="CCCCCC" w:sz="1"/>
              <w:bottom w:val="single" w:color="CCCCCC" w:sz="1"/>
              <w:right w:val="single" w:color="CCCCCC" w:sz="1"/>
            </w:tcBorders>
            <w:shd w:fill="F7FAFC" w:val="clear"/>
          </w:tcPr>
          <w:p>
            <w:r>
              <w:rPr>
                <w:b/>
                <w:bCs/>
              </w:rPr>
              <w:t xml:space="preserve">IR</w:t>
            </w:r>
          </w:p>
        </w:tc>
        <w:tc>
          <w:tcPr>
            <w:tcW w:type="dxa" w:w="3200"/>
            <w:tcBorders>
              <w:top w:val="single" w:color="CCCCCC" w:sz="1"/>
              <w:left w:val="single" w:color="CCCCCC" w:sz="1"/>
              <w:bottom w:val="single" w:color="CCCCCC" w:sz="1"/>
              <w:right w:val="single" w:color="CCCCCC" w:sz="1"/>
            </w:tcBorders>
            <w:shd w:fill="F7FAFC" w:val="clear"/>
          </w:tcPr>
          <w:p>
            <w:r>
              <w:t xml:space="preserve">Incident Response</w:t>
            </w:r>
          </w:p>
        </w:tc>
        <w:tc>
          <w:tcPr>
            <w:tcW w:type="dxa" w:w="2200"/>
            <w:tcBorders>
              <w:top w:val="single" w:color="CCCCCC" w:sz="1"/>
              <w:left w:val="single" w:color="CCCCCC" w:sz="1"/>
              <w:bottom w:val="single" w:color="CCCCCC" w:sz="1"/>
              <w:right w:val="single" w:color="CCCCCC" w:sz="1"/>
            </w:tcBorders>
            <w:shd w:fill="F7FAFC" w:val="clear"/>
          </w:tcPr>
          <w:p>
            <w:r>
              <w:t xml:space="preserve">Partial</w:t>
            </w:r>
          </w:p>
        </w:tc>
        <w:tc>
          <w:tcPr>
            <w:tcW w:type="dxa" w:w="2860"/>
            <w:tcBorders>
              <w:top w:val="single" w:color="CCCCCC" w:sz="1"/>
              <w:left w:val="single" w:color="CCCCCC" w:sz="1"/>
              <w:bottom w:val="single" w:color="CCCCCC" w:sz="1"/>
              <w:right w:val="single" w:color="CCCCCC" w:sz="1"/>
            </w:tcBorders>
            <w:shd w:fill="F7FAFC" w:val="clear"/>
          </w:tcPr>
          <w:p>
            <w:r>
              <w:t xml:space="preserve">Log Analyzer</w:t>
            </w:r>
          </w:p>
        </w:tc>
      </w:tr>
      <w:tr>
        <w:tc>
          <w:tcPr>
            <w:tcW w:type="dxa" w:w="1100"/>
            <w:tcBorders>
              <w:top w:val="single" w:color="CCCCCC" w:sz="1"/>
              <w:left w:val="single" w:color="CCCCCC" w:sz="1"/>
              <w:bottom w:val="single" w:color="CCCCCC" w:sz="1"/>
              <w:right w:val="single" w:color="CCCCCC" w:sz="1"/>
            </w:tcBorders>
          </w:tcPr>
          <w:p>
            <w:r>
              <w:rPr>
                <w:b/>
                <w:bCs/>
              </w:rPr>
              <w:t xml:space="preserve">MA</w:t>
            </w:r>
          </w:p>
        </w:tc>
        <w:tc>
          <w:tcPr>
            <w:tcW w:type="dxa" w:w="3200"/>
            <w:tcBorders>
              <w:top w:val="single" w:color="CCCCCC" w:sz="1"/>
              <w:left w:val="single" w:color="CCCCCC" w:sz="1"/>
              <w:bottom w:val="single" w:color="CCCCCC" w:sz="1"/>
              <w:right w:val="single" w:color="CCCCCC" w:sz="1"/>
            </w:tcBorders>
          </w:tcPr>
          <w:p>
            <w:r>
              <w:t xml:space="preserve">Maintenance</w:t>
            </w:r>
          </w:p>
        </w:tc>
        <w:tc>
          <w:tcPr>
            <w:tcW w:type="dxa" w:w="2200"/>
            <w:tcBorders>
              <w:top w:val="single" w:color="CCCCCC" w:sz="1"/>
              <w:left w:val="single" w:color="CCCCCC" w:sz="1"/>
              <w:bottom w:val="single" w:color="CCCCCC" w:sz="1"/>
              <w:right w:val="single" w:color="CCCCCC" w:sz="1"/>
            </w:tcBorders>
          </w:tcPr>
          <w:p>
            <w:r>
              <w:t xml:space="preserve">Documentation</w:t>
            </w:r>
          </w:p>
        </w:tc>
        <w:tc>
          <w:tcPr>
            <w:tcW w:type="dxa" w:w="2860"/>
            <w:tcBorders>
              <w:top w:val="single" w:color="CCCCCC" w:sz="1"/>
              <w:left w:val="single" w:color="CCCCCC" w:sz="1"/>
              <w:bottom w:val="single" w:color="CCCCCC" w:sz="1"/>
              <w:right w:val="single" w:color="CCCCCC" w:sz="1"/>
            </w:tcBorders>
          </w:tcPr>
          <w:p>
            <w:r>
              <w:t xml:space="preserve">Compliance Checker</w:t>
            </w:r>
          </w:p>
        </w:tc>
      </w:tr>
      <w:tr>
        <w:tc>
          <w:tcPr>
            <w:tcW w:type="dxa" w:w="1100"/>
            <w:tcBorders>
              <w:top w:val="single" w:color="CCCCCC" w:sz="1"/>
              <w:left w:val="single" w:color="CCCCCC" w:sz="1"/>
              <w:bottom w:val="single" w:color="CCCCCC" w:sz="1"/>
              <w:right w:val="single" w:color="CCCCCC" w:sz="1"/>
            </w:tcBorders>
            <w:shd w:fill="F7FAFC" w:val="clear"/>
          </w:tcPr>
          <w:p>
            <w:r>
              <w:rPr>
                <w:b/>
                <w:bCs/>
              </w:rPr>
              <w:t xml:space="preserve">MP</w:t>
            </w:r>
          </w:p>
        </w:tc>
        <w:tc>
          <w:tcPr>
            <w:tcW w:type="dxa" w:w="3200"/>
            <w:tcBorders>
              <w:top w:val="single" w:color="CCCCCC" w:sz="1"/>
              <w:left w:val="single" w:color="CCCCCC" w:sz="1"/>
              <w:bottom w:val="single" w:color="CCCCCC" w:sz="1"/>
              <w:right w:val="single" w:color="CCCCCC" w:sz="1"/>
            </w:tcBorders>
            <w:shd w:fill="F7FAFC" w:val="clear"/>
          </w:tcPr>
          <w:p>
            <w:r>
              <w:t xml:space="preserve">Media Protection</w:t>
            </w:r>
          </w:p>
        </w:tc>
        <w:tc>
          <w:tcPr>
            <w:tcW w:type="dxa" w:w="2200"/>
            <w:tcBorders>
              <w:top w:val="single" w:color="CCCCCC" w:sz="1"/>
              <w:left w:val="single" w:color="CCCCCC" w:sz="1"/>
              <w:bottom w:val="single" w:color="CCCCCC" w:sz="1"/>
              <w:right w:val="single" w:color="CCCCCC" w:sz="1"/>
            </w:tcBorders>
            <w:shd w:fill="F7FAFC" w:val="clear"/>
          </w:tcPr>
          <w:p>
            <w:r>
              <w:t xml:space="preserve">Documentation</w:t>
            </w:r>
          </w:p>
        </w:tc>
        <w:tc>
          <w:tcPr>
            <w:tcW w:type="dxa" w:w="2860"/>
            <w:tcBorders>
              <w:top w:val="single" w:color="CCCCCC" w:sz="1"/>
              <w:left w:val="single" w:color="CCCCCC" w:sz="1"/>
              <w:bottom w:val="single" w:color="CCCCCC" w:sz="1"/>
              <w:right w:val="single" w:color="CCCCCC" w:sz="1"/>
            </w:tcBorders>
            <w:shd w:fill="F7FAFC" w:val="clear"/>
          </w:tcPr>
          <w:p>
            <w:r>
              <w:t xml:space="preserve">Compliance Checker</w:t>
            </w:r>
          </w:p>
        </w:tc>
      </w:tr>
      <w:tr>
        <w:tc>
          <w:tcPr>
            <w:tcW w:type="dxa" w:w="1100"/>
            <w:tcBorders>
              <w:top w:val="single" w:color="CCCCCC" w:sz="1"/>
              <w:left w:val="single" w:color="CCCCCC" w:sz="1"/>
              <w:bottom w:val="single" w:color="CCCCCC" w:sz="1"/>
              <w:right w:val="single" w:color="CCCCCC" w:sz="1"/>
            </w:tcBorders>
          </w:tcPr>
          <w:p>
            <w:r>
              <w:rPr>
                <w:b/>
                <w:bCs/>
              </w:rPr>
              <w:t xml:space="preserve">PE</w:t>
            </w:r>
          </w:p>
        </w:tc>
        <w:tc>
          <w:tcPr>
            <w:tcW w:type="dxa" w:w="3200"/>
            <w:tcBorders>
              <w:top w:val="single" w:color="CCCCCC" w:sz="1"/>
              <w:left w:val="single" w:color="CCCCCC" w:sz="1"/>
              <w:bottom w:val="single" w:color="CCCCCC" w:sz="1"/>
              <w:right w:val="single" w:color="CCCCCC" w:sz="1"/>
            </w:tcBorders>
          </w:tcPr>
          <w:p>
            <w:r>
              <w:t xml:space="preserve">Physical &amp; Environmental</w:t>
            </w:r>
          </w:p>
        </w:tc>
        <w:tc>
          <w:tcPr>
            <w:tcW w:type="dxa" w:w="2200"/>
            <w:tcBorders>
              <w:top w:val="single" w:color="CCCCCC" w:sz="1"/>
              <w:left w:val="single" w:color="CCCCCC" w:sz="1"/>
              <w:bottom w:val="single" w:color="CCCCCC" w:sz="1"/>
              <w:right w:val="single" w:color="CCCCCC" w:sz="1"/>
            </w:tcBorders>
          </w:tcPr>
          <w:p>
            <w:r>
              <w:t xml:space="preserve">None</w:t>
            </w:r>
          </w:p>
        </w:tc>
        <w:tc>
          <w:tcPr>
            <w:tcW w:type="dxa" w:w="2860"/>
            <w:tcBorders>
              <w:top w:val="single" w:color="CCCCCC" w:sz="1"/>
              <w:left w:val="single" w:color="CCCCCC" w:sz="1"/>
              <w:bottom w:val="single" w:color="CCCCCC" w:sz="1"/>
              <w:right w:val="single" w:color="CCCCCC" w:sz="1"/>
            </w:tcBorders>
          </w:tcPr>
          <w:p>
            <w:r>
              <w:t xml:space="preserve">N/A (Physical)</w:t>
            </w:r>
          </w:p>
        </w:tc>
      </w:tr>
      <w:tr>
        <w:tc>
          <w:tcPr>
            <w:tcW w:type="dxa" w:w="1100"/>
            <w:tcBorders>
              <w:top w:val="single" w:color="CCCCCC" w:sz="1"/>
              <w:left w:val="single" w:color="CCCCCC" w:sz="1"/>
              <w:bottom w:val="single" w:color="CCCCCC" w:sz="1"/>
              <w:right w:val="single" w:color="CCCCCC" w:sz="1"/>
            </w:tcBorders>
            <w:shd w:fill="F7FAFC" w:val="clear"/>
          </w:tcPr>
          <w:p>
            <w:r>
              <w:rPr>
                <w:b/>
                <w:bCs/>
              </w:rPr>
              <w:t xml:space="preserve">PL</w:t>
            </w:r>
          </w:p>
        </w:tc>
        <w:tc>
          <w:tcPr>
            <w:tcW w:type="dxa" w:w="3200"/>
            <w:tcBorders>
              <w:top w:val="single" w:color="CCCCCC" w:sz="1"/>
              <w:left w:val="single" w:color="CCCCCC" w:sz="1"/>
              <w:bottom w:val="single" w:color="CCCCCC" w:sz="1"/>
              <w:right w:val="single" w:color="CCCCCC" w:sz="1"/>
            </w:tcBorders>
            <w:shd w:fill="F7FAFC" w:val="clear"/>
          </w:tcPr>
          <w:p>
            <w:r>
              <w:t xml:space="preserve">Planning</w:t>
            </w:r>
          </w:p>
        </w:tc>
        <w:tc>
          <w:tcPr>
            <w:tcW w:type="dxa" w:w="2200"/>
            <w:tcBorders>
              <w:top w:val="single" w:color="CCCCCC" w:sz="1"/>
              <w:left w:val="single" w:color="CCCCCC" w:sz="1"/>
              <w:bottom w:val="single" w:color="CCCCCC" w:sz="1"/>
              <w:right w:val="single" w:color="CCCCCC" w:sz="1"/>
            </w:tcBorders>
            <w:shd w:fill="F7FAFC" w:val="clear"/>
          </w:tcPr>
          <w:p>
            <w:r>
              <w:t xml:space="preserve">Documentation</w:t>
            </w:r>
          </w:p>
        </w:tc>
        <w:tc>
          <w:tcPr>
            <w:tcW w:type="dxa" w:w="2860"/>
            <w:tcBorders>
              <w:top w:val="single" w:color="CCCCCC" w:sz="1"/>
              <w:left w:val="single" w:color="CCCCCC" w:sz="1"/>
              <w:bottom w:val="single" w:color="CCCCCC" w:sz="1"/>
              <w:right w:val="single" w:color="CCCCCC" w:sz="1"/>
            </w:tcBorders>
            <w:shd w:fill="F7FAFC" w:val="clear"/>
          </w:tcPr>
          <w:p>
            <w:r>
              <w:t xml:space="preserve">Compliance Checker</w:t>
            </w:r>
          </w:p>
        </w:tc>
      </w:tr>
      <w:tr>
        <w:tc>
          <w:tcPr>
            <w:tcW w:type="dxa" w:w="1100"/>
            <w:tcBorders>
              <w:top w:val="single" w:color="CCCCCC" w:sz="1"/>
              <w:left w:val="single" w:color="CCCCCC" w:sz="1"/>
              <w:bottom w:val="single" w:color="CCCCCC" w:sz="1"/>
              <w:right w:val="single" w:color="CCCCCC" w:sz="1"/>
            </w:tcBorders>
          </w:tcPr>
          <w:p>
            <w:r>
              <w:rPr>
                <w:b/>
                <w:bCs/>
              </w:rPr>
              <w:t xml:space="preserve">PM</w:t>
            </w:r>
          </w:p>
        </w:tc>
        <w:tc>
          <w:tcPr>
            <w:tcW w:type="dxa" w:w="3200"/>
            <w:tcBorders>
              <w:top w:val="single" w:color="CCCCCC" w:sz="1"/>
              <w:left w:val="single" w:color="CCCCCC" w:sz="1"/>
              <w:bottom w:val="single" w:color="CCCCCC" w:sz="1"/>
              <w:right w:val="single" w:color="CCCCCC" w:sz="1"/>
            </w:tcBorders>
          </w:tcPr>
          <w:p>
            <w:r>
              <w:t xml:space="preserve">Program Management</w:t>
            </w:r>
          </w:p>
        </w:tc>
        <w:tc>
          <w:tcPr>
            <w:tcW w:type="dxa" w:w="2200"/>
            <w:tcBorders>
              <w:top w:val="single" w:color="CCCCCC" w:sz="1"/>
              <w:left w:val="single" w:color="CCCCCC" w:sz="1"/>
              <w:bottom w:val="single" w:color="CCCCCC" w:sz="1"/>
              <w:right w:val="single" w:color="CCCCCC" w:sz="1"/>
            </w:tcBorders>
          </w:tcPr>
          <w:p>
            <w:r>
              <w:t xml:space="preserve">Documentation</w:t>
            </w:r>
          </w:p>
        </w:tc>
        <w:tc>
          <w:tcPr>
            <w:tcW w:type="dxa" w:w="2860"/>
            <w:tcBorders>
              <w:top w:val="single" w:color="CCCCCC" w:sz="1"/>
              <w:left w:val="single" w:color="CCCCCC" w:sz="1"/>
              <w:bottom w:val="single" w:color="CCCCCC" w:sz="1"/>
              <w:right w:val="single" w:color="CCCCCC" w:sz="1"/>
            </w:tcBorders>
          </w:tcPr>
          <w:p>
            <w:r>
              <w:t xml:space="preserve">Compliance Checker</w:t>
            </w:r>
          </w:p>
        </w:tc>
      </w:tr>
      <w:tr>
        <w:tc>
          <w:tcPr>
            <w:tcW w:type="dxa" w:w="1100"/>
            <w:tcBorders>
              <w:top w:val="single" w:color="CCCCCC" w:sz="1"/>
              <w:left w:val="single" w:color="CCCCCC" w:sz="1"/>
              <w:bottom w:val="single" w:color="CCCCCC" w:sz="1"/>
              <w:right w:val="single" w:color="CCCCCC" w:sz="1"/>
            </w:tcBorders>
            <w:shd w:fill="F7FAFC" w:val="clear"/>
          </w:tcPr>
          <w:p>
            <w:r>
              <w:rPr>
                <w:b/>
                <w:bCs/>
              </w:rPr>
              <w:t xml:space="preserve">PS</w:t>
            </w:r>
          </w:p>
        </w:tc>
        <w:tc>
          <w:tcPr>
            <w:tcW w:type="dxa" w:w="3200"/>
            <w:tcBorders>
              <w:top w:val="single" w:color="CCCCCC" w:sz="1"/>
              <w:left w:val="single" w:color="CCCCCC" w:sz="1"/>
              <w:bottom w:val="single" w:color="CCCCCC" w:sz="1"/>
              <w:right w:val="single" w:color="CCCCCC" w:sz="1"/>
            </w:tcBorders>
            <w:shd w:fill="F7FAFC" w:val="clear"/>
          </w:tcPr>
          <w:p>
            <w:r>
              <w:t xml:space="preserve">Personnel Security</w:t>
            </w:r>
          </w:p>
        </w:tc>
        <w:tc>
          <w:tcPr>
            <w:tcW w:type="dxa" w:w="2200"/>
            <w:tcBorders>
              <w:top w:val="single" w:color="CCCCCC" w:sz="1"/>
              <w:left w:val="single" w:color="CCCCCC" w:sz="1"/>
              <w:bottom w:val="single" w:color="CCCCCC" w:sz="1"/>
              <w:right w:val="single" w:color="CCCCCC" w:sz="1"/>
            </w:tcBorders>
            <w:shd w:fill="F7FAFC" w:val="clear"/>
          </w:tcPr>
          <w:p>
            <w:r>
              <w:t xml:space="preserve">Documentation</w:t>
            </w:r>
          </w:p>
        </w:tc>
        <w:tc>
          <w:tcPr>
            <w:tcW w:type="dxa" w:w="2860"/>
            <w:tcBorders>
              <w:top w:val="single" w:color="CCCCCC" w:sz="1"/>
              <w:left w:val="single" w:color="CCCCCC" w:sz="1"/>
              <w:bottom w:val="single" w:color="CCCCCC" w:sz="1"/>
              <w:right w:val="single" w:color="CCCCCC" w:sz="1"/>
            </w:tcBorders>
            <w:shd w:fill="F7FAFC" w:val="clear"/>
          </w:tcPr>
          <w:p>
            <w:r>
              <w:t xml:space="preserve">Compliance Checker</w:t>
            </w:r>
          </w:p>
        </w:tc>
      </w:tr>
      <w:tr>
        <w:tc>
          <w:tcPr>
            <w:tcW w:type="dxa" w:w="1100"/>
            <w:tcBorders>
              <w:top w:val="single" w:color="CCCCCC" w:sz="1"/>
              <w:left w:val="single" w:color="CCCCCC" w:sz="1"/>
              <w:bottom w:val="single" w:color="CCCCCC" w:sz="1"/>
              <w:right w:val="single" w:color="CCCCCC" w:sz="1"/>
            </w:tcBorders>
          </w:tcPr>
          <w:p>
            <w:r>
              <w:rPr>
                <w:b/>
                <w:bCs/>
              </w:rPr>
              <w:t xml:space="preserve">PT</w:t>
            </w:r>
          </w:p>
        </w:tc>
        <w:tc>
          <w:tcPr>
            <w:tcW w:type="dxa" w:w="3200"/>
            <w:tcBorders>
              <w:top w:val="single" w:color="CCCCCC" w:sz="1"/>
              <w:left w:val="single" w:color="CCCCCC" w:sz="1"/>
              <w:bottom w:val="single" w:color="CCCCCC" w:sz="1"/>
              <w:right w:val="single" w:color="CCCCCC" w:sz="1"/>
            </w:tcBorders>
          </w:tcPr>
          <w:p>
            <w:r>
              <w:t xml:space="preserve">Privacy Authorization</w:t>
            </w:r>
          </w:p>
        </w:tc>
        <w:tc>
          <w:tcPr>
            <w:tcW w:type="dxa" w:w="2200"/>
            <w:tcBorders>
              <w:top w:val="single" w:color="CCCCCC" w:sz="1"/>
              <w:left w:val="single" w:color="CCCCCC" w:sz="1"/>
              <w:bottom w:val="single" w:color="CCCCCC" w:sz="1"/>
              <w:right w:val="single" w:color="CCCCCC" w:sz="1"/>
            </w:tcBorders>
          </w:tcPr>
          <w:p>
            <w:r>
              <w:t xml:space="preserve">Partial</w:t>
            </w:r>
          </w:p>
        </w:tc>
        <w:tc>
          <w:tcPr>
            <w:tcW w:type="dxa" w:w="2860"/>
            <w:tcBorders>
              <w:top w:val="single" w:color="CCCCCC" w:sz="1"/>
              <w:left w:val="single" w:color="CCCCCC" w:sz="1"/>
              <w:bottom w:val="single" w:color="CCCCCC" w:sz="1"/>
              <w:right w:val="single" w:color="CCCCCC" w:sz="1"/>
            </w:tcBorders>
          </w:tcPr>
          <w:p>
            <w:r>
              <w:t xml:space="preserve">Compliance Checker</w:t>
            </w:r>
          </w:p>
        </w:tc>
      </w:tr>
      <w:tr>
        <w:tc>
          <w:tcPr>
            <w:tcW w:type="dxa" w:w="1100"/>
            <w:tcBorders>
              <w:top w:val="single" w:color="CCCCCC" w:sz="1"/>
              <w:left w:val="single" w:color="CCCCCC" w:sz="1"/>
              <w:bottom w:val="single" w:color="CCCCCC" w:sz="1"/>
              <w:right w:val="single" w:color="CCCCCC" w:sz="1"/>
            </w:tcBorders>
            <w:shd w:fill="F7FAFC" w:val="clear"/>
          </w:tcPr>
          <w:p>
            <w:r>
              <w:rPr>
                <w:b/>
                <w:bCs/>
              </w:rPr>
              <w:t xml:space="preserve">RA</w:t>
            </w:r>
          </w:p>
        </w:tc>
        <w:tc>
          <w:tcPr>
            <w:tcW w:type="dxa" w:w="3200"/>
            <w:tcBorders>
              <w:top w:val="single" w:color="CCCCCC" w:sz="1"/>
              <w:left w:val="single" w:color="CCCCCC" w:sz="1"/>
              <w:bottom w:val="single" w:color="CCCCCC" w:sz="1"/>
              <w:right w:val="single" w:color="CCCCCC" w:sz="1"/>
            </w:tcBorders>
            <w:shd w:fill="F7FAFC" w:val="clear"/>
          </w:tcPr>
          <w:p>
            <w:r>
              <w:t xml:space="preserve">Risk Assessment</w:t>
            </w:r>
          </w:p>
        </w:tc>
        <w:tc>
          <w:tcPr>
            <w:tcW w:type="dxa" w:w="2200"/>
            <w:tcBorders>
              <w:top w:val="single" w:color="CCCCCC" w:sz="1"/>
              <w:left w:val="single" w:color="CCCCCC" w:sz="1"/>
              <w:bottom w:val="single" w:color="CCCCCC" w:sz="1"/>
              <w:right w:val="single" w:color="CCCCCC" w:sz="1"/>
            </w:tcBorders>
            <w:shd w:fill="F7FAFC" w:val="clear"/>
          </w:tcPr>
          <w:p>
            <w:r>
              <w:t xml:space="preserve">Full</w:t>
            </w:r>
          </w:p>
        </w:tc>
        <w:tc>
          <w:tcPr>
            <w:tcW w:type="dxa" w:w="2860"/>
            <w:tcBorders>
              <w:top w:val="single" w:color="CCCCCC" w:sz="1"/>
              <w:left w:val="single" w:color="CCCCCC" w:sz="1"/>
              <w:bottom w:val="single" w:color="CCCCCC" w:sz="1"/>
              <w:right w:val="single" w:color="CCCCCC" w:sz="1"/>
            </w:tcBorders>
            <w:shd w:fill="F7FAFC" w:val="clear"/>
          </w:tcPr>
          <w:p>
            <w:r>
              <w:t xml:space="preserve">Vulnerability Scanner</w:t>
            </w:r>
          </w:p>
        </w:tc>
      </w:tr>
      <w:tr>
        <w:tc>
          <w:tcPr>
            <w:tcW w:type="dxa" w:w="1100"/>
            <w:tcBorders>
              <w:top w:val="single" w:color="CCCCCC" w:sz="1"/>
              <w:left w:val="single" w:color="CCCCCC" w:sz="1"/>
              <w:bottom w:val="single" w:color="CCCCCC" w:sz="1"/>
              <w:right w:val="single" w:color="CCCCCC" w:sz="1"/>
            </w:tcBorders>
          </w:tcPr>
          <w:p>
            <w:r>
              <w:rPr>
                <w:b/>
                <w:bCs/>
              </w:rPr>
              <w:t xml:space="preserve">SA</w:t>
            </w:r>
          </w:p>
        </w:tc>
        <w:tc>
          <w:tcPr>
            <w:tcW w:type="dxa" w:w="3200"/>
            <w:tcBorders>
              <w:top w:val="single" w:color="CCCCCC" w:sz="1"/>
              <w:left w:val="single" w:color="CCCCCC" w:sz="1"/>
              <w:bottom w:val="single" w:color="CCCCCC" w:sz="1"/>
              <w:right w:val="single" w:color="CCCCCC" w:sz="1"/>
            </w:tcBorders>
          </w:tcPr>
          <w:p>
            <w:r>
              <w:t xml:space="preserve">System Acquisition</w:t>
            </w:r>
          </w:p>
        </w:tc>
        <w:tc>
          <w:tcPr>
            <w:tcW w:type="dxa" w:w="2200"/>
            <w:tcBorders>
              <w:top w:val="single" w:color="CCCCCC" w:sz="1"/>
              <w:left w:val="single" w:color="CCCCCC" w:sz="1"/>
              <w:bottom w:val="single" w:color="CCCCCC" w:sz="1"/>
              <w:right w:val="single" w:color="CCCCCC" w:sz="1"/>
            </w:tcBorders>
          </w:tcPr>
          <w:p>
            <w:r>
              <w:t xml:space="preserve">Partial</w:t>
            </w:r>
          </w:p>
        </w:tc>
        <w:tc>
          <w:tcPr>
            <w:tcW w:type="dxa" w:w="2860"/>
            <w:tcBorders>
              <w:top w:val="single" w:color="CCCCCC" w:sz="1"/>
              <w:left w:val="single" w:color="CCCCCC" w:sz="1"/>
              <w:bottom w:val="single" w:color="CCCCCC" w:sz="1"/>
              <w:right w:val="single" w:color="CCCCCC" w:sz="1"/>
            </w:tcBorders>
          </w:tcPr>
          <w:p>
            <w:r>
              <w:t xml:space="preserve">Code Analyzer</w:t>
            </w:r>
          </w:p>
        </w:tc>
      </w:tr>
      <w:tr>
        <w:tc>
          <w:tcPr>
            <w:tcW w:type="dxa" w:w="1100"/>
            <w:tcBorders>
              <w:top w:val="single" w:color="CCCCCC" w:sz="1"/>
              <w:left w:val="single" w:color="CCCCCC" w:sz="1"/>
              <w:bottom w:val="single" w:color="CCCCCC" w:sz="1"/>
              <w:right w:val="single" w:color="CCCCCC" w:sz="1"/>
            </w:tcBorders>
            <w:shd w:fill="F7FAFC" w:val="clear"/>
          </w:tcPr>
          <w:p>
            <w:r>
              <w:rPr>
                <w:b/>
                <w:bCs/>
              </w:rPr>
              <w:t xml:space="preserve">SC</w:t>
            </w:r>
          </w:p>
        </w:tc>
        <w:tc>
          <w:tcPr>
            <w:tcW w:type="dxa" w:w="3200"/>
            <w:tcBorders>
              <w:top w:val="single" w:color="CCCCCC" w:sz="1"/>
              <w:left w:val="single" w:color="CCCCCC" w:sz="1"/>
              <w:bottom w:val="single" w:color="CCCCCC" w:sz="1"/>
              <w:right w:val="single" w:color="CCCCCC" w:sz="1"/>
            </w:tcBorders>
            <w:shd w:fill="F7FAFC" w:val="clear"/>
          </w:tcPr>
          <w:p>
            <w:r>
              <w:t xml:space="preserve">System &amp; Comms Protection</w:t>
            </w:r>
          </w:p>
        </w:tc>
        <w:tc>
          <w:tcPr>
            <w:tcW w:type="dxa" w:w="2200"/>
            <w:tcBorders>
              <w:top w:val="single" w:color="CCCCCC" w:sz="1"/>
              <w:left w:val="single" w:color="CCCCCC" w:sz="1"/>
              <w:bottom w:val="single" w:color="CCCCCC" w:sz="1"/>
              <w:right w:val="single" w:color="CCCCCC" w:sz="1"/>
            </w:tcBorders>
            <w:shd w:fill="F7FAFC" w:val="clear"/>
          </w:tcPr>
          <w:p>
            <w:r>
              <w:t xml:space="preserve">Full</w:t>
            </w:r>
          </w:p>
        </w:tc>
        <w:tc>
          <w:tcPr>
            <w:tcW w:type="dxa" w:w="2860"/>
            <w:tcBorders>
              <w:top w:val="single" w:color="CCCCCC" w:sz="1"/>
              <w:left w:val="single" w:color="CCCCCC" w:sz="1"/>
              <w:bottom w:val="single" w:color="CCCCCC" w:sz="1"/>
              <w:right w:val="single" w:color="CCCCCC" w:sz="1"/>
            </w:tcBorders>
            <w:shd w:fill="F7FAFC" w:val="clear"/>
          </w:tcPr>
          <w:p>
            <w:r>
              <w:t xml:space="preserve">Code Analyzer, Vuln Scanner</w:t>
            </w:r>
          </w:p>
        </w:tc>
      </w:tr>
      <w:tr>
        <w:tc>
          <w:tcPr>
            <w:tcW w:type="dxa" w:w="1100"/>
            <w:tcBorders>
              <w:top w:val="single" w:color="CCCCCC" w:sz="1"/>
              <w:left w:val="single" w:color="CCCCCC" w:sz="1"/>
              <w:bottom w:val="single" w:color="CCCCCC" w:sz="1"/>
              <w:right w:val="single" w:color="CCCCCC" w:sz="1"/>
            </w:tcBorders>
          </w:tcPr>
          <w:p>
            <w:r>
              <w:rPr>
                <w:b/>
                <w:bCs/>
              </w:rPr>
              <w:t xml:space="preserve">SI</w:t>
            </w:r>
          </w:p>
        </w:tc>
        <w:tc>
          <w:tcPr>
            <w:tcW w:type="dxa" w:w="3200"/>
            <w:tcBorders>
              <w:top w:val="single" w:color="CCCCCC" w:sz="1"/>
              <w:left w:val="single" w:color="CCCCCC" w:sz="1"/>
              <w:bottom w:val="single" w:color="CCCCCC" w:sz="1"/>
              <w:right w:val="single" w:color="CCCCCC" w:sz="1"/>
            </w:tcBorders>
          </w:tcPr>
          <w:p>
            <w:r>
              <w:t xml:space="preserve">System &amp; Info Integrity</w:t>
            </w:r>
          </w:p>
        </w:tc>
        <w:tc>
          <w:tcPr>
            <w:tcW w:type="dxa" w:w="2200"/>
            <w:tcBorders>
              <w:top w:val="single" w:color="CCCCCC" w:sz="1"/>
              <w:left w:val="single" w:color="CCCCCC" w:sz="1"/>
              <w:bottom w:val="single" w:color="CCCCCC" w:sz="1"/>
              <w:right w:val="single" w:color="CCCCCC" w:sz="1"/>
            </w:tcBorders>
          </w:tcPr>
          <w:p>
            <w:r>
              <w:t xml:space="preserve">Full</w:t>
            </w:r>
          </w:p>
        </w:tc>
        <w:tc>
          <w:tcPr>
            <w:tcW w:type="dxa" w:w="2860"/>
            <w:tcBorders>
              <w:top w:val="single" w:color="CCCCCC" w:sz="1"/>
              <w:left w:val="single" w:color="CCCCCC" w:sz="1"/>
              <w:bottom w:val="single" w:color="CCCCCC" w:sz="1"/>
              <w:right w:val="single" w:color="CCCCCC" w:sz="1"/>
            </w:tcBorders>
          </w:tcPr>
          <w:p>
            <w:r>
              <w:t xml:space="preserve">All Agents</w:t>
            </w:r>
          </w:p>
        </w:tc>
      </w:tr>
      <w:tr>
        <w:tc>
          <w:tcPr>
            <w:tcW w:type="dxa" w:w="1100"/>
            <w:tcBorders>
              <w:top w:val="single" w:color="CCCCCC" w:sz="1"/>
              <w:left w:val="single" w:color="CCCCCC" w:sz="1"/>
              <w:bottom w:val="single" w:color="CCCCCC" w:sz="1"/>
              <w:right w:val="single" w:color="CCCCCC" w:sz="1"/>
            </w:tcBorders>
            <w:shd w:fill="F7FAFC" w:val="clear"/>
          </w:tcPr>
          <w:p>
            <w:r>
              <w:rPr>
                <w:b/>
                <w:bCs/>
              </w:rPr>
              <w:t xml:space="preserve">SR</w:t>
            </w:r>
          </w:p>
        </w:tc>
        <w:tc>
          <w:tcPr>
            <w:tcW w:type="dxa" w:w="3200"/>
            <w:tcBorders>
              <w:top w:val="single" w:color="CCCCCC" w:sz="1"/>
              <w:left w:val="single" w:color="CCCCCC" w:sz="1"/>
              <w:bottom w:val="single" w:color="CCCCCC" w:sz="1"/>
              <w:right w:val="single" w:color="CCCCCC" w:sz="1"/>
            </w:tcBorders>
            <w:shd w:fill="F7FAFC" w:val="clear"/>
          </w:tcPr>
          <w:p>
            <w:r>
              <w:t xml:space="preserve">Supply Chain Risk</w:t>
            </w:r>
          </w:p>
        </w:tc>
        <w:tc>
          <w:tcPr>
            <w:tcW w:type="dxa" w:w="2200"/>
            <w:tcBorders>
              <w:top w:val="single" w:color="CCCCCC" w:sz="1"/>
              <w:left w:val="single" w:color="CCCCCC" w:sz="1"/>
              <w:bottom w:val="single" w:color="CCCCCC" w:sz="1"/>
              <w:right w:val="single" w:color="CCCCCC" w:sz="1"/>
            </w:tcBorders>
            <w:shd w:fill="F7FAFC" w:val="clear"/>
          </w:tcPr>
          <w:p>
            <w:r>
              <w:t xml:space="preserve">Documentation</w:t>
            </w:r>
          </w:p>
        </w:tc>
        <w:tc>
          <w:tcPr>
            <w:tcW w:type="dxa" w:w="2860"/>
            <w:tcBorders>
              <w:top w:val="single" w:color="CCCCCC" w:sz="1"/>
              <w:left w:val="single" w:color="CCCCCC" w:sz="1"/>
              <w:bottom w:val="single" w:color="CCCCCC" w:sz="1"/>
              <w:right w:val="single" w:color="CCCCCC" w:sz="1"/>
            </w:tcBorders>
            <w:shd w:fill="F7FAFC" w:val="clear"/>
          </w:tcPr>
          <w:p>
            <w:r>
              <w:t xml:space="preserve">Compliance Checker</w:t>
            </w:r>
          </w:p>
        </w:tc>
      </w:tr>
    </w:tbl>
    <w:p>
      <w:pPr>
        <w:spacing w:before="400"/>
      </w:pPr>
      <w:r>
        <w:rPr>
          <w:b/>
          <w:bCs/>
        </w:rPr>
        <w:t xml:space="preserve">Coverage Levels:</w:t>
      </w:r>
    </w:p>
    <w:p>
      <w:pPr>
        <w:pStyle w:val="ListParagraph"/>
        <w:numPr>
          <w:ilvl w:val="0"/>
          <w:numId w:val="2"/>
        </w:numPr>
      </w:pPr>
      <w:r>
        <w:rPr>
          <w:b/>
          <w:bCs/>
        </w:rPr>
        <w:t xml:space="preserve">Full: </w:t>
      </w:r>
      <w:r>
        <w:t xml:space="preserve">Automated EXAMINE and/or TEST coverage for majority of controls</w:t>
      </w:r>
    </w:p>
    <w:p>
      <w:pPr>
        <w:pStyle w:val="ListParagraph"/>
        <w:numPr>
          <w:ilvl w:val="0"/>
          <w:numId w:val="2"/>
        </w:numPr>
      </w:pPr>
      <w:r>
        <w:rPr>
          <w:b/>
          <w:bCs/>
        </w:rPr>
        <w:t xml:space="preserve">Partial: </w:t>
      </w:r>
      <w:r>
        <w:t xml:space="preserve">Automated coverage for selected controls; manual review required for others</w:t>
      </w:r>
    </w:p>
    <w:p>
      <w:pPr>
        <w:pStyle w:val="ListParagraph"/>
        <w:numPr>
          <w:ilvl w:val="0"/>
          <w:numId w:val="2"/>
        </w:numPr>
      </w:pPr>
      <w:r>
        <w:rPr>
          <w:b/>
          <w:bCs/>
        </w:rPr>
        <w:t xml:space="preserve">Documentation: </w:t>
      </w:r>
      <w:r>
        <w:t xml:space="preserve">RAG-based documentation review via Compliance Checker</w:t>
      </w:r>
    </w:p>
    <w:p>
      <w:pPr>
        <w:pStyle w:val="ListParagraph"/>
        <w:numPr>
          <w:ilvl w:val="0"/>
          <w:numId w:val="2"/>
        </w:numPr>
      </w:pPr>
      <w:r>
        <w:rPr>
          <w:b/>
          <w:bCs/>
        </w:rPr>
        <w:t xml:space="preserve">None: </w:t>
      </w:r>
      <w:r>
        <w:t xml:space="preserve">Requires manual assessment (physical controls, interviews)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NIST 800-53A Framework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65d"/>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c5282"/>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2025-12-31T08:41:28.242Z</dcterms:created>
  <dcterms:modified xsi:type="dcterms:W3CDTF">2025-12-31T08:41:28.243Z</dcterms:modified>
</cp:coreProperties>
</file>

<file path=docProps/custom.xml><?xml version="1.0" encoding="utf-8"?>
<Properties xmlns="http://schemas.openxmlformats.org/officeDocument/2006/custom-properties" xmlns:vt="http://schemas.openxmlformats.org/officeDocument/2006/docPropsVTypes"/>
</file>