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color w:val="1F4E79"/>
          <w:sz w:val="40"/>
        </w:rPr>
        <w:t>NeuroMed AI — Project Summary</w:t>
      </w:r>
    </w:p>
    <w:p>
      <w:pPr>
        <w:spacing w:before="0" w:after="160"/>
      </w:pPr>
      <w:r>
        <w:rPr>
          <w:rFonts w:ascii="Calibri" w:hAnsi="Calibri"/>
          <w:i/>
          <w:color w:val="2B579A"/>
          <w:sz w:val="22"/>
        </w:rPr>
        <w:t>Wilson's Disease Clinical AI Decision Support, Explainability (SHAP), and RAG Medical Intelligence</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5040"/>
        <w:gridCol w:w="5040"/>
      </w:tblGrid>
      <w:tr>
        <w:tc>
          <w:tcPr>
            <w:tcW w:type="dxa" w:w="5040"/>
            <w:shd w:fill="F0F4F8"/>
            <w:tcMar>
              <w:top w:w="80" w:type="dxa"/>
              <w:bottom w:w="80" w:type="dxa"/>
              <w:left w:w="120" w:type="dxa"/>
              <w:right w:w="120" w:type="dxa"/>
            </w:tcMar>
          </w:tcPr>
          <w:p>
            <w:pPr>
              <w:spacing w:before="0" w:after="0" w:line="264" w:lineRule="auto"/>
            </w:pPr>
            <w:r>
              <w:rPr>
                <w:rFonts w:ascii="Calibri" w:hAnsi="Calibri"/>
                <w:b/>
                <w:color w:val="1F4E79"/>
                <w:sz w:val="18"/>
              </w:rPr>
              <w:t>Project / Application Name:</w:t>
            </w:r>
            <w:r>
              <w:rPr>
                <w:rFonts w:ascii="Calibri" w:hAnsi="Calibri"/>
                <w:color w:val="262626"/>
                <w:sz w:val="18"/>
              </w:rPr>
              <w:t xml:space="preserve"> NeuroMed AI (Clinical Platform)</w:t>
            </w:r>
          </w:p>
        </w:tc>
        <w:tc>
          <w:tcPr>
            <w:tcW w:type="dxa" w:w="5040"/>
            <w:shd w:fill="F0F4F8"/>
            <w:tcMar>
              <w:top w:w="80" w:type="dxa"/>
              <w:bottom w:w="80" w:type="dxa"/>
              <w:left w:w="120" w:type="dxa"/>
              <w:right w:w="120" w:type="dxa"/>
            </w:tcMar>
          </w:tcPr>
          <w:p>
            <w:pPr>
              <w:spacing w:before="0" w:after="0" w:line="264" w:lineRule="auto"/>
            </w:pPr>
            <w:r>
              <w:rPr>
                <w:rFonts w:ascii="Calibri" w:hAnsi="Calibri"/>
                <w:b/>
                <w:color w:val="1F4E79"/>
                <w:sz w:val="18"/>
              </w:rPr>
              <w:t>Formal Academic Title:</w:t>
            </w:r>
            <w:r>
              <w:rPr>
                <w:rFonts w:ascii="Calibri" w:hAnsi="Calibri"/>
                <w:color w:val="262626"/>
                <w:sz w:val="18"/>
              </w:rPr>
              <w:t xml:space="preserve"> Edge AI-Enabled Bi-LSTM Model with SHAP Explainability for Real-Time Prediction of Wilson's Disease</w:t>
            </w:r>
          </w:p>
        </w:tc>
      </w:tr>
      <w:tr>
        <w:tc>
          <w:tcPr>
            <w:tcW w:type="dxa" w:w="5040"/>
            <w:shd w:fill="F0F4F8"/>
            <w:tcMar>
              <w:top w:w="80" w:type="dxa"/>
              <w:bottom w:w="80" w:type="dxa"/>
              <w:left w:w="120" w:type="dxa"/>
              <w:right w:w="120" w:type="dxa"/>
            </w:tcMar>
          </w:tcPr>
          <w:p>
            <w:pPr>
              <w:spacing w:before="0" w:after="0" w:line="264" w:lineRule="auto"/>
            </w:pPr>
            <w:r>
              <w:rPr>
                <w:rFonts w:ascii="Calibri" w:hAnsi="Calibri"/>
                <w:b/>
                <w:color w:val="1F4E79"/>
                <w:sz w:val="18"/>
              </w:rPr>
              <w:t>Investigator / Student:</w:t>
            </w:r>
            <w:r>
              <w:rPr>
                <w:rFonts w:ascii="Calibri" w:hAnsi="Calibri"/>
                <w:color w:val="262626"/>
                <w:sz w:val="18"/>
              </w:rPr>
              <w:t xml:space="preserve"> Jefrin Jeya M (Reg. No: 421122102069 | Batch 2022–2026)</w:t>
            </w:r>
            <w:r>
              <w:rPr>
                <w:rFonts w:ascii="Calibri" w:hAnsi="Calibri"/>
                <w:color w:val="262626"/>
                <w:sz w:val="18"/>
              </w:rPr>
              <w:t xml:space="preserve"> | Academic Guide: Mrs. C. Manimegalai, AP/CSE</w:t>
            </w:r>
          </w:p>
        </w:tc>
        <w:tc>
          <w:tcPr>
            <w:tcW w:type="dxa" w:w="5040"/>
            <w:shd w:fill="F0F4F8"/>
            <w:tcMar>
              <w:top w:w="80" w:type="dxa"/>
              <w:bottom w:w="80" w:type="dxa"/>
              <w:left w:w="120" w:type="dxa"/>
              <w:right w:w="120" w:type="dxa"/>
            </w:tcMar>
          </w:tcPr>
          <w:p>
            <w:pPr>
              <w:spacing w:before="0" w:after="0" w:line="264" w:lineRule="auto"/>
            </w:pPr>
            <w:r>
              <w:rPr>
                <w:rFonts w:ascii="Calibri" w:hAnsi="Calibri"/>
                <w:b/>
                <w:color w:val="1F4E79"/>
                <w:sz w:val="18"/>
              </w:rPr>
              <w:t>Clinical Domain &amp; Scope:</w:t>
            </w:r>
            <w:r>
              <w:rPr>
                <w:rFonts w:ascii="Calibri" w:hAnsi="Calibri"/>
                <w:color w:val="262626"/>
                <w:sz w:val="18"/>
              </w:rPr>
              <w:t xml:space="preserve"> Hepatology, Neurology &amp; Rare Genetic Disease Diagnostics (ATP7B / Copper Metabolism)</w:t>
            </w:r>
          </w:p>
        </w:tc>
      </w:tr>
    </w:tbl>
    <w:p>
      <w:pPr>
        <w:spacing w:after="40"/>
      </w:pPr>
    </w:p>
    <w:p>
      <w:pPr>
        <w:keepNext/>
        <w:spacing w:before="240" w:after="80"/>
      </w:pPr>
      <w:r>
        <w:rPr>
          <w:rFonts w:ascii="Calibri" w:hAnsi="Calibri"/>
          <w:b/>
          <w:color w:val="1F4E79"/>
          <w:sz w:val="26"/>
        </w:rPr>
        <w:t>1. Project Overview</w:t>
      </w:r>
    </w:p>
    <w:p>
      <w:pPr>
        <w:spacing w:before="0" w:after="80" w:line="276" w:lineRule="auto"/>
      </w:pPr>
      <w:r>
        <w:rPr>
          <w:rFonts w:ascii="Calibri" w:hAnsi="Calibri"/>
          <w:b/>
          <w:color w:val="262626"/>
          <w:sz w:val="20"/>
        </w:rPr>
        <w:t xml:space="preserve">NeuroMed AI </w:t>
      </w:r>
      <w:r>
        <w:rPr>
          <w:rFonts w:ascii="Calibri" w:hAnsi="Calibri"/>
          <w:color w:val="262626"/>
          <w:sz w:val="20"/>
        </w:rPr>
        <w:t>is an enterprise-grade clinical decision support platform engineered to assist hepatologists, neurologists, and general practitioners in the early, accurate diagnosis and risk stratification of Wilson's Disease (hepatolenticular degeneration). Wilson's Disease is a rare, life-threatening autosomal recessive disorder caused by pathogenic variants in the ATP7B gene, impairing hepatic copper excretion and causing toxic systemic copper accumulation in the liver, brain, and corneas.</w:t>
      </w:r>
    </w:p>
    <w:p>
      <w:pPr>
        <w:spacing w:before="0" w:after="80" w:line="276" w:lineRule="auto"/>
      </w:pPr>
      <w:r>
        <w:rPr>
          <w:rFonts w:ascii="Calibri" w:hAnsi="Calibri"/>
          <w:color w:val="262626"/>
          <w:sz w:val="20"/>
        </w:rPr>
        <w:t>The application serves specialized clinics, diagnostic pathology laboratories, and tertiary medical centers. It provides clinicians with an integrated point-of-care solution that consolidates multi-organ clinical data, evaluates complex copper biochemistry alongside ophthalmic slit-lamp and neurological findings, predicts diagnostic risk with high statistical confidence, provides transparent biomarker-level attributions, and offers evidence-grounded clinical guidance derived directly from international clinical practice guidelines.</w:t>
      </w:r>
    </w:p>
    <w:p>
      <w:pPr>
        <w:keepNext/>
        <w:spacing w:before="240" w:after="80"/>
      </w:pPr>
      <w:r>
        <w:rPr>
          <w:rFonts w:ascii="Calibri" w:hAnsi="Calibri"/>
          <w:b/>
          <w:color w:val="1F4E79"/>
          <w:sz w:val="26"/>
        </w:rPr>
        <w:t>2. Problem Statement</w:t>
      </w:r>
    </w:p>
    <w:p>
      <w:pPr>
        <w:spacing w:before="0" w:after="80" w:line="276" w:lineRule="auto"/>
      </w:pPr>
      <w:r>
        <w:rPr>
          <w:rFonts w:ascii="Calibri" w:hAnsi="Calibri"/>
          <w:color w:val="262626"/>
          <w:sz w:val="20"/>
        </w:rPr>
        <w:t>Diagnosing Wilson's Disease in clinical practice presents profound diagnostic hurdles that frequently lead to permanent morbidity or preventable mortality:</w:t>
      </w:r>
    </w:p>
    <w:p>
      <w:pPr>
        <w:pStyle w:val="ListBullet"/>
        <w:spacing w:before="0" w:after="50" w:line="269" w:lineRule="auto"/>
      </w:pPr>
      <w:r>
        <w:rPr>
          <w:rFonts w:ascii="Calibri" w:hAnsi="Calibri"/>
          <w:b/>
          <w:color w:val="262626"/>
          <w:sz w:val="19"/>
        </w:rPr>
        <w:t>Extreme Clinical Heterogeneity &amp; Symptom Overlap:</w:t>
      </w:r>
      <w:r>
        <w:rPr>
          <w:rFonts w:ascii="Calibri" w:hAnsi="Calibri"/>
          <w:color w:val="262626"/>
          <w:sz w:val="19"/>
        </w:rPr>
        <w:t xml:space="preserve"> Clinical manifestations vary widely across pediatric and adult cohorts, ranging from asymptomatic hepatic transaminase elevation, acute hepatitis, or cirrhosis, to parkinsonian tremors, dystonia, dysarthria, and psychiatric disorders.</w:t>
      </w:r>
    </w:p>
    <w:p>
      <w:pPr>
        <w:pStyle w:val="ListBullet"/>
        <w:spacing w:before="0" w:after="50" w:line="269" w:lineRule="auto"/>
      </w:pPr>
      <w:r>
        <w:rPr>
          <w:rFonts w:ascii="Calibri" w:hAnsi="Calibri"/>
          <w:b/>
          <w:color w:val="262626"/>
          <w:sz w:val="19"/>
        </w:rPr>
        <w:t>Significant Diagnostic Delays:</w:t>
      </w:r>
      <w:r>
        <w:rPr>
          <w:rFonts w:ascii="Calibri" w:hAnsi="Calibri"/>
          <w:color w:val="262626"/>
          <w:sz w:val="19"/>
        </w:rPr>
        <w:t xml:space="preserve"> Because the condition is rare and mimics common disorders (viral/autoimmune hepatitis, essential tremor, psychiatric syndromes), clinicians routinely experience a diagnostic delay of 1 to 2 years from initial symptom onset.</w:t>
      </w:r>
    </w:p>
    <w:p>
      <w:pPr>
        <w:pStyle w:val="ListBullet"/>
        <w:spacing w:before="0" w:after="50" w:line="269" w:lineRule="auto"/>
      </w:pPr>
      <w:r>
        <w:rPr>
          <w:rFonts w:ascii="Calibri" w:hAnsi="Calibri"/>
          <w:b/>
          <w:color w:val="262626"/>
          <w:sz w:val="19"/>
        </w:rPr>
        <w:t>Irreversible Organ Deterioration:</w:t>
      </w:r>
      <w:r>
        <w:rPr>
          <w:rFonts w:ascii="Calibri" w:hAnsi="Calibri"/>
          <w:color w:val="262626"/>
          <w:sz w:val="19"/>
        </w:rPr>
        <w:t xml:space="preserve"> Left undiagnosed and untreated, excessive copper accumulation inflicts irreversible hepatic cirrhosis, acute liver failure, or debilitating neurodegenerative damage. Conversely, timely initiation of chelation therapy restores normal life expectancy.</w:t>
      </w:r>
    </w:p>
    <w:p>
      <w:pPr>
        <w:pStyle w:val="ListBullet"/>
        <w:spacing w:before="0" w:after="50" w:line="269" w:lineRule="auto"/>
      </w:pPr>
      <w:r>
        <w:rPr>
          <w:rFonts w:ascii="Calibri" w:hAnsi="Calibri"/>
          <w:b/>
          <w:color w:val="262626"/>
          <w:sz w:val="19"/>
        </w:rPr>
        <w:t>Fragmented Multi-Source Clinical Data:</w:t>
      </w:r>
      <w:r>
        <w:rPr>
          <w:rFonts w:ascii="Calibri" w:hAnsi="Calibri"/>
          <w:color w:val="262626"/>
          <w:sz w:val="19"/>
        </w:rPr>
        <w:t xml:space="preserve"> Diagnosticians must manually reconcile disparate diagnostic parameters across 24-hour urine copper assays, serum ceruloplasmin, slit-lamp exams for Kayser-Fleischer rings, and genetic mutation analyses. Manual scoring via the international Leipzig criteria is tedious and prone to calculation oversight.</w:t>
      </w:r>
    </w:p>
    <w:p>
      <w:pPr>
        <w:spacing w:before="0" w:after="80" w:line="276" w:lineRule="auto"/>
      </w:pPr>
      <w:r>
        <w:rPr>
          <w:rFonts w:ascii="Calibri" w:hAnsi="Calibri"/>
          <w:color w:val="262626"/>
          <w:sz w:val="20"/>
        </w:rPr>
        <w:t>These challenges demonstrate the critical clinical need for an automated, intelligent decision support tool capable of processing multi-organ profiles, eliminating diagnostic oversights, and presenting clear, interpretable clinical insights.</w:t>
      </w:r>
    </w:p>
    <w:p>
      <w:pPr>
        <w:keepNext/>
        <w:spacing w:before="240" w:after="80"/>
      </w:pPr>
      <w:r>
        <w:rPr>
          <w:rFonts w:ascii="Calibri" w:hAnsi="Calibri"/>
          <w:b/>
          <w:color w:val="1F4E79"/>
          <w:sz w:val="26"/>
        </w:rPr>
        <w:t>3. Proposed Solution</w:t>
      </w:r>
    </w:p>
    <w:p>
      <w:pPr>
        <w:spacing w:before="0" w:after="80" w:line="276" w:lineRule="auto"/>
      </w:pPr>
      <w:r>
        <w:rPr>
          <w:rFonts w:ascii="Calibri" w:hAnsi="Calibri"/>
          <w:color w:val="262626"/>
          <w:sz w:val="20"/>
        </w:rPr>
        <w:t>NeuroMed AI resolves these clinical challenges by delivering a centralized, intelligent, and transparent diagnostic support workflow designed for direct clinical practice:</w:t>
      </w:r>
    </w:p>
    <w:p>
      <w:pPr>
        <w:pStyle w:val="ListBullet"/>
        <w:spacing w:before="0" w:after="50" w:line="269" w:lineRule="auto"/>
      </w:pPr>
      <w:r>
        <w:rPr>
          <w:rFonts w:ascii="Calibri" w:hAnsi="Calibri"/>
          <w:b/>
          <w:color w:val="262626"/>
          <w:sz w:val="19"/>
        </w:rPr>
        <w:t>Comprehensive Multi-Organ Clinical Assessment:</w:t>
      </w:r>
      <w:r>
        <w:rPr>
          <w:rFonts w:ascii="Calibri" w:hAnsi="Calibri"/>
          <w:color w:val="262626"/>
          <w:sz w:val="19"/>
        </w:rPr>
        <w:t xml:space="preserve"> Evaluates an extensive 23-biomarker patient profile encompassing copper biochemistry, hepatic liver function tests, ophthalmic findings, neurological indicators, cognitive assessments, and family genetic history.</w:t>
      </w:r>
    </w:p>
    <w:p>
      <w:pPr>
        <w:pStyle w:val="ListBullet"/>
        <w:spacing w:before="0" w:after="50" w:line="269" w:lineRule="auto"/>
      </w:pPr>
      <w:r>
        <w:rPr>
          <w:rFonts w:ascii="Calibri" w:hAnsi="Calibri"/>
          <w:b/>
          <w:color w:val="262626"/>
          <w:sz w:val="19"/>
        </w:rPr>
        <w:t>Intelligent Risk Stratification:</w:t>
      </w:r>
      <w:r>
        <w:rPr>
          <w:rFonts w:ascii="Calibri" w:hAnsi="Calibri"/>
          <w:color w:val="262626"/>
          <w:sz w:val="19"/>
        </w:rPr>
        <w:t xml:space="preserve"> Computes a unified, highly calibrated risk probability that stratifies patients into actionable Low, Moderate, or High risk categories with clear probabilistic confidence.</w:t>
      </w:r>
    </w:p>
    <w:p>
      <w:pPr>
        <w:pStyle w:val="ListBullet"/>
        <w:spacing w:before="0" w:after="50" w:line="269" w:lineRule="auto"/>
      </w:pPr>
      <w:r>
        <w:rPr>
          <w:rFonts w:ascii="Calibri" w:hAnsi="Calibri"/>
          <w:b/>
          <w:color w:val="262626"/>
          <w:sz w:val="19"/>
        </w:rPr>
        <w:t>Transparent Feature-Level Attribution (Explainable Insights):</w:t>
      </w:r>
      <w:r>
        <w:rPr>
          <w:rFonts w:ascii="Calibri" w:hAnsi="Calibri"/>
          <w:color w:val="262626"/>
          <w:sz w:val="19"/>
        </w:rPr>
        <w:t xml:space="preserve"> Eliminates the medical 'black-box' barrier by presenting transparent visual waterfall graphs that explicitly demonstrate how much each specific biomarker (such as deficient ceruloplasmin, elevated urinary copper, or elevated liver enzymes) increased or reduced the patient's individual risk score.</w:t>
      </w:r>
    </w:p>
    <w:p>
      <w:pPr>
        <w:pStyle w:val="ListBullet"/>
        <w:spacing w:before="0" w:after="50" w:line="269" w:lineRule="auto"/>
      </w:pPr>
      <w:r>
        <w:rPr>
          <w:rFonts w:ascii="Calibri" w:hAnsi="Calibri"/>
          <w:b/>
          <w:color w:val="262626"/>
          <w:sz w:val="19"/>
        </w:rPr>
        <w:t>Automated International Clinical Scoring:</w:t>
      </w:r>
      <w:r>
        <w:rPr>
          <w:rFonts w:ascii="Calibri" w:hAnsi="Calibri"/>
          <w:color w:val="262626"/>
          <w:sz w:val="19"/>
        </w:rPr>
        <w:t xml:space="preserve"> Dynamically scores patient findings against the international Leipzig diagnostic scoring criteria (evaluating copper metabolism, Kayser-Fleischer rings, neurological symptoms, and genetic findings) to classify cases into Established, Probable, or Unlikely categories.</w:t>
      </w:r>
    </w:p>
    <w:p>
      <w:pPr>
        <w:pStyle w:val="ListBullet"/>
        <w:spacing w:before="0" w:after="50" w:line="269" w:lineRule="auto"/>
      </w:pPr>
      <w:r>
        <w:rPr>
          <w:rFonts w:ascii="Calibri" w:hAnsi="Calibri"/>
          <w:b/>
          <w:color w:val="262626"/>
          <w:sz w:val="19"/>
        </w:rPr>
        <w:t>Evidence-Based Physician Management Plans:</w:t>
      </w:r>
      <w:r>
        <w:rPr>
          <w:rFonts w:ascii="Calibri" w:hAnsi="Calibri"/>
          <w:color w:val="262626"/>
          <w:sz w:val="19"/>
        </w:rPr>
        <w:t xml:space="preserve"> Automatically generates risk-tailored clinical next steps—including recommendations for confirmatory 24-hour urine testing, ophthalmic slit-lamp exams, hepatic monitoring, dietary copper control, and family screening—without speculative drug dosing.</w:t>
      </w:r>
    </w:p>
    <w:p>
      <w:pPr>
        <w:pStyle w:val="ListBullet"/>
        <w:spacing w:before="0" w:after="50" w:line="269" w:lineRule="auto"/>
      </w:pPr>
      <w:r>
        <w:rPr>
          <w:rFonts w:ascii="Calibri" w:hAnsi="Calibri"/>
          <w:b/>
          <w:color w:val="262626"/>
          <w:sz w:val="19"/>
        </w:rPr>
        <w:t>Multi-Format Laboratory Data Import:</w:t>
      </w:r>
      <w:r>
        <w:rPr>
          <w:rFonts w:ascii="Calibri" w:hAnsi="Calibri"/>
          <w:color w:val="262626"/>
          <w:sz w:val="19"/>
        </w:rPr>
        <w:t xml:space="preserve"> Supports electronic file uploads in spreadsheet, structured text, portable document, and word processing formats, automatically extracting parameters, validating physiological ranges, and populating assessment forms without manual re-entry.</w:t>
      </w:r>
    </w:p>
    <w:p>
      <w:pPr>
        <w:pStyle w:val="ListBullet"/>
        <w:spacing w:before="0" w:after="50" w:line="269" w:lineRule="auto"/>
      </w:pPr>
      <w:r>
        <w:rPr>
          <w:rFonts w:ascii="Calibri" w:hAnsi="Calibri"/>
          <w:b/>
          <w:color w:val="262626"/>
          <w:sz w:val="19"/>
        </w:rPr>
        <w:t>Interactive Guideline-Grounded Clinical Assistant:</w:t>
      </w:r>
      <w:r>
        <w:rPr>
          <w:rFonts w:ascii="Calibri" w:hAnsi="Calibri"/>
          <w:color w:val="262626"/>
          <w:sz w:val="19"/>
        </w:rPr>
        <w:t xml:space="preserve"> Features a built-in conversational assistant grounded in authoritative clinical guidelines (AASLD, EASL, NIH), supporting both text interaction and hands-free microphone voice queries with spoken audio responses.</w:t>
      </w:r>
    </w:p>
    <w:p>
      <w:pPr>
        <w:pStyle w:val="ListBullet"/>
        <w:spacing w:before="0" w:after="50" w:line="269" w:lineRule="auto"/>
      </w:pPr>
      <w:r>
        <w:rPr>
          <w:rFonts w:ascii="Calibri" w:hAnsi="Calibri"/>
          <w:b/>
          <w:color w:val="262626"/>
          <w:sz w:val="19"/>
        </w:rPr>
        <w:t>Patient Registry &amp; Longitudinal Tracking:</w:t>
      </w:r>
      <w:r>
        <w:rPr>
          <w:rFonts w:ascii="Calibri" w:hAnsi="Calibri"/>
          <w:color w:val="262626"/>
          <w:sz w:val="19"/>
        </w:rPr>
        <w:t xml:space="preserve"> Maintains an active patient registry with sequential patient identification, tracking longitudinal assessment history across multiple clinic visits to monitor disease progression or therapy efficacy.</w:t>
      </w:r>
    </w:p>
    <w:p>
      <w:pPr>
        <w:pStyle w:val="ListBullet"/>
        <w:spacing w:before="0" w:after="50" w:line="269" w:lineRule="auto"/>
      </w:pPr>
      <w:r>
        <w:rPr>
          <w:rFonts w:ascii="Calibri" w:hAnsi="Calibri"/>
          <w:b/>
          <w:color w:val="262626"/>
          <w:sz w:val="19"/>
        </w:rPr>
        <w:t>Exportable Clinical Diagnostic Reports:</w:t>
      </w:r>
      <w:r>
        <w:rPr>
          <w:rFonts w:ascii="Calibri" w:hAnsi="Calibri"/>
          <w:color w:val="262626"/>
          <w:sz w:val="19"/>
        </w:rPr>
        <w:t xml:space="preserve"> Compiles demographic details, laboratory values, risk probabilities, explainability charts, and physician action plans into a single, printable, and shareable clinical report for patient charts and multidisciplinary reviews.</w:t>
      </w:r>
    </w:p>
    <w:p>
      <w:pPr>
        <w:keepNext/>
        <w:spacing w:before="240" w:after="80"/>
      </w:pPr>
      <w:r>
        <w:rPr>
          <w:rFonts w:ascii="Calibri" w:hAnsi="Calibri"/>
          <w:b/>
          <w:color w:val="1F4E79"/>
          <w:sz w:val="26"/>
        </w:rPr>
        <w:t>4. Technology Stack</w:t>
      </w:r>
    </w:p>
    <w:p>
      <w:pPr>
        <w:spacing w:before="0" w:after="80" w:line="276" w:lineRule="auto"/>
      </w:pPr>
      <w:r>
        <w:rPr>
          <w:rFonts w:ascii="Calibri" w:hAnsi="Calibri"/>
          <w:color w:val="262626"/>
          <w:sz w:val="20"/>
        </w:rPr>
        <w:t>The project architecture separates operational, implemented components from planned architectural enhancements documented in the system specifications:</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3360"/>
        <w:gridCol w:w="3360"/>
        <w:gridCol w:w="3360"/>
      </w:tblGrid>
      <w:tr>
        <w:tc>
          <w:tcPr>
            <w:tcW w:type="dxa" w:w="2592"/>
            <w:shd w:fill="1F4E79"/>
            <w:tcMar>
              <w:top w:w="100" w:type="dxa"/>
              <w:bottom w:w="100" w:type="dxa"/>
              <w:left w:w="120" w:type="dxa"/>
              <w:right w:w="120" w:type="dxa"/>
            </w:tcMar>
          </w:tcPr>
          <w:p>
            <w:pPr>
              <w:spacing w:before="0" w:after="0"/>
            </w:pPr>
            <w:r>
              <w:rPr>
                <w:rFonts w:ascii="Calibri" w:hAnsi="Calibri"/>
                <w:b/>
                <w:color w:val="FFFFFF"/>
                <w:sz w:val="19"/>
              </w:rPr>
              <w:t>Architecture Layer</w:t>
            </w:r>
          </w:p>
        </w:tc>
        <w:tc>
          <w:tcPr>
            <w:tcW w:type="dxa" w:w="3168"/>
            <w:shd w:fill="1F4E79"/>
            <w:tcMar>
              <w:top w:w="100" w:type="dxa"/>
              <w:bottom w:w="100" w:type="dxa"/>
              <w:left w:w="120" w:type="dxa"/>
              <w:right w:w="120" w:type="dxa"/>
            </w:tcMar>
          </w:tcPr>
          <w:p>
            <w:pPr>
              <w:spacing w:before="0" w:after="0"/>
            </w:pPr>
            <w:r>
              <w:rPr>
                <w:rFonts w:ascii="Calibri" w:hAnsi="Calibri"/>
                <w:b/>
                <w:color w:val="FFFFFF"/>
                <w:sz w:val="19"/>
              </w:rPr>
              <w:t>Technologies / Tools</w:t>
            </w:r>
          </w:p>
        </w:tc>
        <w:tc>
          <w:tcPr>
            <w:tcW w:type="dxa" w:w="4320"/>
            <w:shd w:fill="1F4E79"/>
            <w:tcMar>
              <w:top w:w="100" w:type="dxa"/>
              <w:bottom w:w="100" w:type="dxa"/>
              <w:left w:w="120" w:type="dxa"/>
              <w:right w:w="120" w:type="dxa"/>
            </w:tcMar>
          </w:tcPr>
          <w:p>
            <w:pPr>
              <w:spacing w:before="0" w:after="0"/>
            </w:pPr>
            <w:r>
              <w:rPr>
                <w:rFonts w:ascii="Calibri" w:hAnsi="Calibri"/>
                <w:b/>
                <w:color w:val="FFFFFF"/>
                <w:sz w:val="19"/>
              </w:rPr>
              <w:t>Operational Role &amp; Implementation Status</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Web Backend &amp; Runtime</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Python 3.10+, Flask 3.x, Werkzeug, Jinja2</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RESTful API routing, session management, template rendering, and clinical endpoints.</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Relational Database</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SQLite 3 (WAL mode, PRAGMA foreign keys)</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262626"/>
                <w:sz w:val="17"/>
              </w:rPr>
              <w:t>Implemented: Stores normalized patients, assessments, users (RBAC), and audit logs in wilson_records.db.</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Machine Learning (Base)</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Scikit-Learn (SVM with RBF kernel, Logistic Regression)</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Dual base learning models capturing non-linear interactions and linear odds.</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Deep Learning (Base)</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TensorFlow / Keras (Bidirectional LSTM)</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262626"/>
                <w:sz w:val="17"/>
              </w:rPr>
              <w:t>Implemented: Recurrent neural network capturing forward and backward dependencies across clinical features.</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Ensemble &amp; Calibration</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Stacking Meta-Classifier (Meta LogReg), Isotonic Regression</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Synthesizes base model probabilities; calibrated for reliable clinical probability output.</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Explainable AI (XAI)</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SHAP (KernelExplainer), Matplotlib (Agg headless backend)</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262626"/>
                <w:sz w:val="17"/>
              </w:rPr>
              <w:t>Implemented: Computes patient-specific Shapley feature contributions and generates waterfall/force plots.</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Clinical Decision Engine</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Python clinical rule layer (Leipzig Criteria Evaluator)</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Dynamic Leipzig scoring (0 to 4+ points) and risk-stratified physician next-step logic.</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Document &amp; Lab Ingestion</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PyPDF, Python-Docx, Python CSV / JSON</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262626"/>
                <w:sz w:val="17"/>
              </w:rPr>
              <w:t>Implemented: Automated extraction of 23 biomarkers from CSV, JSON, PDF, and Word lab reports.</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User Interface (UI/UX)</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HTML5, Vanilla CSS3 (Glassmorphism), JavaScript (ES6+)</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Responsive mobile-friendly dashboard, dynamic SVG risk gauges, and assessment forms.</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Voice &amp; Accessibility</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Web Speech API (SpeechRecognition &amp; SpeechSynthesis)</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262626"/>
                <w:sz w:val="17"/>
              </w:rPr>
              <w:t>Implemented: Hands-free microphone voice queries (STT) and automated spoken audio playback (TTS).</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Application Security</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Scrypt password hashing, CSRF tokens, Session hardening</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262626"/>
                <w:sz w:val="17"/>
              </w:rPr>
              <w:t>Implemented: Role-Based Access Control (Admin, Clinician, Lab Staff), rate limiting, and security audit logs.</w:t>
            </w:r>
          </w:p>
        </w:tc>
      </w:tr>
      <w:tr>
        <w:tc>
          <w:tcPr>
            <w:tcW w:type="dxa" w:w="2592"/>
            <w:shd w:fill="F7F9FB"/>
            <w:tcMar>
              <w:top w:w="70" w:type="dxa"/>
              <w:bottom w:w="70" w:type="dxa"/>
              <w:left w:w="120" w:type="dxa"/>
              <w:right w:w="120" w:type="dxa"/>
            </w:tcMar>
          </w:tcPr>
          <w:p>
            <w:pPr>
              <w:spacing w:before="0" w:after="0" w:line="264" w:lineRule="auto"/>
            </w:pPr>
            <w:r>
              <w:rPr>
                <w:rFonts w:ascii="Calibri" w:hAnsi="Calibri"/>
                <w:b/>
                <w:color w:val="1F4E79"/>
                <w:sz w:val="17"/>
              </w:rPr>
              <w:t>Vector Store &amp; Retrieval</w:t>
            </w:r>
          </w:p>
        </w:tc>
        <w:tc>
          <w:tcPr>
            <w:tcW w:type="dxa" w:w="3168"/>
            <w:shd w:fill="F7F9FB"/>
            <w:tcMar>
              <w:top w:w="70" w:type="dxa"/>
              <w:bottom w:w="70" w:type="dxa"/>
              <w:left w:w="120" w:type="dxa"/>
              <w:right w:w="120" w:type="dxa"/>
            </w:tcMar>
          </w:tcPr>
          <w:p>
            <w:pPr>
              <w:spacing w:before="0" w:after="0" w:line="264" w:lineRule="auto"/>
            </w:pPr>
            <w:r>
              <w:rPr>
                <w:rFonts w:ascii="Calibri" w:hAnsi="Calibri"/>
                <w:color w:val="262626"/>
                <w:sz w:val="17"/>
              </w:rPr>
              <w:t>ChromaDB, sentence-transformers (all-MiniLM-L6-v2)</w:t>
            </w:r>
          </w:p>
        </w:tc>
        <w:tc>
          <w:tcPr>
            <w:tcW w:type="dxa" w:w="4320"/>
            <w:shd w:fill="F7F9FB"/>
            <w:tcMar>
              <w:top w:w="70" w:type="dxa"/>
              <w:bottom w:w="70" w:type="dxa"/>
              <w:left w:w="120" w:type="dxa"/>
              <w:right w:w="120" w:type="dxa"/>
            </w:tcMar>
          </w:tcPr>
          <w:p>
            <w:pPr>
              <w:spacing w:before="0" w:after="0" w:line="264" w:lineRule="auto"/>
            </w:pPr>
            <w:r>
              <w:rPr>
                <w:rFonts w:ascii="Calibri" w:hAnsi="Calibri"/>
                <w:color w:val="A03C14"/>
                <w:sz w:val="17"/>
              </w:rPr>
              <w:t>Planned / In-Progress: Two-gate verified retrieval architecture specified in specs/rag-enhancement/.</w:t>
            </w:r>
          </w:p>
        </w:tc>
      </w:tr>
      <w:tr>
        <w:tc>
          <w:tcPr>
            <w:tcW w:type="dxa" w:w="2592"/>
            <w:shd w:fill="FFFFFF"/>
            <w:tcMar>
              <w:top w:w="70" w:type="dxa"/>
              <w:bottom w:w="70" w:type="dxa"/>
              <w:left w:w="120" w:type="dxa"/>
              <w:right w:w="120" w:type="dxa"/>
            </w:tcMar>
          </w:tcPr>
          <w:p>
            <w:pPr>
              <w:spacing w:before="0" w:after="0" w:line="264" w:lineRule="auto"/>
            </w:pPr>
            <w:r>
              <w:rPr>
                <w:rFonts w:ascii="Calibri" w:hAnsi="Calibri"/>
                <w:b/>
                <w:color w:val="1F4E79"/>
                <w:sz w:val="17"/>
              </w:rPr>
              <w:t>Cloud Generative AI</w:t>
            </w:r>
          </w:p>
        </w:tc>
        <w:tc>
          <w:tcPr>
            <w:tcW w:type="dxa" w:w="3168"/>
            <w:shd w:fill="FFFFFF"/>
            <w:tcMar>
              <w:top w:w="70" w:type="dxa"/>
              <w:bottom w:w="70" w:type="dxa"/>
              <w:left w:w="120" w:type="dxa"/>
              <w:right w:w="120" w:type="dxa"/>
            </w:tcMar>
          </w:tcPr>
          <w:p>
            <w:pPr>
              <w:spacing w:before="0" w:after="0" w:line="264" w:lineRule="auto"/>
            </w:pPr>
            <w:r>
              <w:rPr>
                <w:rFonts w:ascii="Calibri" w:hAnsi="Calibri"/>
                <w:color w:val="262626"/>
                <w:sz w:val="17"/>
              </w:rPr>
              <w:t>LangChain, Google Gemini / OpenAI GPT-4o-mini</w:t>
            </w:r>
          </w:p>
        </w:tc>
        <w:tc>
          <w:tcPr>
            <w:tcW w:type="dxa" w:w="4320"/>
            <w:shd w:fill="FFFFFF"/>
            <w:tcMar>
              <w:top w:w="70" w:type="dxa"/>
              <w:bottom w:w="70" w:type="dxa"/>
              <w:left w:w="120" w:type="dxa"/>
              <w:right w:w="120" w:type="dxa"/>
            </w:tcMar>
          </w:tcPr>
          <w:p>
            <w:pPr>
              <w:spacing w:before="0" w:after="0" w:line="264" w:lineRule="auto"/>
            </w:pPr>
            <w:r>
              <w:rPr>
                <w:rFonts w:ascii="Calibri" w:hAnsi="Calibri"/>
                <w:color w:val="A03C14"/>
                <w:sz w:val="17"/>
              </w:rPr>
              <w:t>Planned / Proposed: Cloud LLM fallback for conversational medical generation beyond local guideline banks.</w:t>
            </w:r>
          </w:p>
        </w:tc>
      </w:tr>
    </w:tbl>
    <w:p>
      <w:pPr>
        <w:spacing w:after="40"/>
      </w:pPr>
    </w:p>
    <w:p>
      <w:pPr>
        <w:keepNext/>
        <w:spacing w:before="240" w:after="80"/>
      </w:pPr>
      <w:r>
        <w:rPr>
          <w:rFonts w:ascii="Calibri" w:hAnsi="Calibri"/>
          <w:b/>
          <w:color w:val="1F4E79"/>
          <w:sz w:val="26"/>
        </w:rPr>
        <w:t>5. Clinical Impact &amp; Evaluation Metrics</w:t>
      </w:r>
    </w:p>
    <w:p>
      <w:pPr>
        <w:spacing w:before="0" w:after="80" w:line="276" w:lineRule="auto"/>
      </w:pPr>
      <w:r>
        <w:rPr>
          <w:rFonts w:ascii="Calibri" w:hAnsi="Calibri"/>
          <w:color w:val="262626"/>
          <w:sz w:val="20"/>
        </w:rPr>
        <w:t>To ensure clinical rigor, the project strictly distinguishes empirical measured results on a held-out test dataset from expected healthcare operational benefits:</w:t>
      </w:r>
    </w:p>
    <w:p>
      <w:pPr>
        <w:keepNext/>
        <w:spacing w:before="160" w:after="60"/>
      </w:pPr>
      <w:r>
        <w:rPr>
          <w:rFonts w:ascii="Calibri" w:hAnsi="Calibri"/>
          <w:b/>
          <w:color w:val="2B579A"/>
          <w:sz w:val="22"/>
        </w:rPr>
        <w:t>Measured Model Evaluation Results (Held-Out Test Set: 4,000 Verified Patients)</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520"/>
        <w:gridCol w:w="2520"/>
        <w:gridCol w:w="2520"/>
        <w:gridCol w:w="2520"/>
      </w:tblGrid>
      <w:tr>
        <w:tc>
          <w:tcPr>
            <w:tcW w:type="dxa" w:w="2592"/>
            <w:shd w:fill="1F4E79"/>
            <w:tcMar>
              <w:top w:w="90" w:type="dxa"/>
              <w:bottom w:w="90" w:type="dxa"/>
              <w:left w:w="100" w:type="dxa"/>
              <w:right w:w="100" w:type="dxa"/>
            </w:tcMar>
          </w:tcPr>
          <w:p>
            <w:pPr>
              <w:spacing w:before="0" w:after="0"/>
            </w:pPr>
            <w:r>
              <w:rPr>
                <w:rFonts w:ascii="Calibri" w:hAnsi="Calibri"/>
                <w:b/>
                <w:color w:val="FFFFFF"/>
                <w:sz w:val="18"/>
              </w:rPr>
              <w:t>Model Architecture</w:t>
            </w:r>
          </w:p>
        </w:tc>
        <w:tc>
          <w:tcPr>
            <w:tcW w:type="dxa" w:w="2304"/>
            <w:shd w:fill="1F4E79"/>
            <w:tcMar>
              <w:top w:w="90" w:type="dxa"/>
              <w:bottom w:w="90" w:type="dxa"/>
              <w:left w:w="100" w:type="dxa"/>
              <w:right w:w="100" w:type="dxa"/>
            </w:tcMar>
          </w:tcPr>
          <w:p>
            <w:pPr>
              <w:spacing w:before="0" w:after="0"/>
            </w:pPr>
            <w:r>
              <w:rPr>
                <w:rFonts w:ascii="Calibri" w:hAnsi="Calibri"/>
                <w:b/>
                <w:color w:val="FFFFFF"/>
                <w:sz w:val="18"/>
              </w:rPr>
              <w:t>Test Accuracy</w:t>
            </w:r>
          </w:p>
        </w:tc>
        <w:tc>
          <w:tcPr>
            <w:tcW w:type="dxa" w:w="2592"/>
            <w:shd w:fill="1F4E79"/>
            <w:tcMar>
              <w:top w:w="90" w:type="dxa"/>
              <w:bottom w:w="90" w:type="dxa"/>
              <w:left w:w="100" w:type="dxa"/>
              <w:right w:w="100" w:type="dxa"/>
            </w:tcMar>
          </w:tcPr>
          <w:p>
            <w:pPr>
              <w:spacing w:before="0" w:after="0"/>
            </w:pPr>
            <w:r>
              <w:rPr>
                <w:rFonts w:ascii="Calibri" w:hAnsi="Calibri"/>
                <w:b/>
                <w:color w:val="FFFFFF"/>
                <w:sz w:val="18"/>
              </w:rPr>
              <w:t>ROC-AUC Score</w:t>
            </w:r>
          </w:p>
        </w:tc>
        <w:tc>
          <w:tcPr>
            <w:tcW w:type="dxa" w:w="2592"/>
            <w:shd w:fill="1F4E79"/>
            <w:tcMar>
              <w:top w:w="90" w:type="dxa"/>
              <w:bottom w:w="90" w:type="dxa"/>
              <w:left w:w="100" w:type="dxa"/>
              <w:right w:w="100" w:type="dxa"/>
            </w:tcMar>
          </w:tcPr>
          <w:p>
            <w:pPr>
              <w:spacing w:before="0" w:after="0"/>
            </w:pPr>
            <w:r>
              <w:rPr>
                <w:rFonts w:ascii="Calibri" w:hAnsi="Calibri"/>
                <w:b/>
                <w:color w:val="FFFFFF"/>
                <w:sz w:val="18"/>
              </w:rPr>
              <w:t>Clinical Sensitivity / Recall</w:t>
            </w:r>
          </w:p>
        </w:tc>
      </w:tr>
      <w:tr>
        <w:tc>
          <w:tcPr>
            <w:tcW w:type="dxa" w:w="2592"/>
            <w:shd w:fill="FFFFFF"/>
            <w:tcMar>
              <w:top w:w="60" w:type="dxa"/>
              <w:bottom w:w="60" w:type="dxa"/>
              <w:left w:w="100" w:type="dxa"/>
              <w:right w:w="100" w:type="dxa"/>
            </w:tcMar>
          </w:tcPr>
          <w:p>
            <w:pPr>
              <w:spacing w:before="0" w:after="0"/>
            </w:pPr>
            <w:r>
              <w:rPr>
                <w:rFonts w:ascii="Calibri" w:hAnsi="Calibri"/>
                <w:color w:val="262626"/>
                <w:sz w:val="17"/>
              </w:rPr>
              <w:t>Model A: Support Vector Machine (SVM)</w:t>
            </w:r>
          </w:p>
        </w:tc>
        <w:tc>
          <w:tcPr>
            <w:tcW w:type="dxa" w:w="2304"/>
            <w:shd w:fill="FFFFFF"/>
            <w:tcMar>
              <w:top w:w="60" w:type="dxa"/>
              <w:bottom w:w="60" w:type="dxa"/>
              <w:left w:w="100" w:type="dxa"/>
              <w:right w:w="100" w:type="dxa"/>
            </w:tcMar>
          </w:tcPr>
          <w:p>
            <w:pPr>
              <w:spacing w:before="0" w:after="0"/>
            </w:pPr>
            <w:r>
              <w:rPr>
                <w:rFonts w:ascii="Calibri" w:hAnsi="Calibri"/>
                <w:color w:val="262626"/>
                <w:sz w:val="17"/>
              </w:rPr>
              <w:t>99.78%</w:t>
            </w:r>
          </w:p>
        </w:tc>
        <w:tc>
          <w:tcPr>
            <w:tcW w:type="dxa" w:w="2592"/>
            <w:shd w:fill="FFFFFF"/>
            <w:tcMar>
              <w:top w:w="60" w:type="dxa"/>
              <w:bottom w:w="60" w:type="dxa"/>
              <w:left w:w="100" w:type="dxa"/>
              <w:right w:w="100" w:type="dxa"/>
            </w:tcMar>
          </w:tcPr>
          <w:p>
            <w:pPr>
              <w:spacing w:before="0" w:after="0"/>
            </w:pPr>
            <w:r>
              <w:rPr>
                <w:rFonts w:ascii="Calibri" w:hAnsi="Calibri"/>
                <w:color w:val="262626"/>
                <w:sz w:val="17"/>
              </w:rPr>
              <w:t>0.9999</w:t>
            </w:r>
          </w:p>
        </w:tc>
        <w:tc>
          <w:tcPr>
            <w:tcW w:type="dxa" w:w="2592"/>
            <w:shd w:fill="FFFFFF"/>
            <w:tcMar>
              <w:top w:w="60" w:type="dxa"/>
              <w:bottom w:w="60" w:type="dxa"/>
              <w:left w:w="100" w:type="dxa"/>
              <w:right w:w="100" w:type="dxa"/>
            </w:tcMar>
          </w:tcPr>
          <w:p>
            <w:pPr>
              <w:spacing w:before="0" w:after="0"/>
            </w:pPr>
            <w:r>
              <w:rPr>
                <w:rFonts w:ascii="Calibri" w:hAnsi="Calibri"/>
                <w:color w:val="262626"/>
                <w:sz w:val="17"/>
              </w:rPr>
              <w:t>99.62%</w:t>
            </w:r>
          </w:p>
        </w:tc>
      </w:tr>
      <w:tr>
        <w:tc>
          <w:tcPr>
            <w:tcW w:type="dxa" w:w="2592"/>
            <w:shd w:fill="F7F9FB"/>
            <w:tcMar>
              <w:top w:w="60" w:type="dxa"/>
              <w:bottom w:w="60" w:type="dxa"/>
              <w:left w:w="100" w:type="dxa"/>
              <w:right w:w="100" w:type="dxa"/>
            </w:tcMar>
          </w:tcPr>
          <w:p>
            <w:pPr>
              <w:spacing w:before="0" w:after="0"/>
            </w:pPr>
            <w:r>
              <w:rPr>
                <w:rFonts w:ascii="Calibri" w:hAnsi="Calibri"/>
                <w:color w:val="262626"/>
                <w:sz w:val="17"/>
              </w:rPr>
              <w:t>Model B: Logistic Regression (LogReg)</w:t>
            </w:r>
          </w:p>
        </w:tc>
        <w:tc>
          <w:tcPr>
            <w:tcW w:type="dxa" w:w="2304"/>
            <w:shd w:fill="F7F9FB"/>
            <w:tcMar>
              <w:top w:w="60" w:type="dxa"/>
              <w:bottom w:w="60" w:type="dxa"/>
              <w:left w:w="100" w:type="dxa"/>
              <w:right w:w="100" w:type="dxa"/>
            </w:tcMar>
          </w:tcPr>
          <w:p>
            <w:pPr>
              <w:spacing w:before="0" w:after="0"/>
            </w:pPr>
            <w:r>
              <w:rPr>
                <w:rFonts w:ascii="Calibri" w:hAnsi="Calibri"/>
                <w:color w:val="262626"/>
                <w:sz w:val="17"/>
              </w:rPr>
              <w:t>99.70%</w:t>
            </w:r>
          </w:p>
        </w:tc>
        <w:tc>
          <w:tcPr>
            <w:tcW w:type="dxa" w:w="2592"/>
            <w:shd w:fill="F7F9FB"/>
            <w:tcMar>
              <w:top w:w="60" w:type="dxa"/>
              <w:bottom w:w="60" w:type="dxa"/>
              <w:left w:w="100" w:type="dxa"/>
              <w:right w:w="100" w:type="dxa"/>
            </w:tcMar>
          </w:tcPr>
          <w:p>
            <w:pPr>
              <w:spacing w:before="0" w:after="0"/>
            </w:pPr>
            <w:r>
              <w:rPr>
                <w:rFonts w:ascii="Calibri" w:hAnsi="Calibri"/>
                <w:color w:val="262626"/>
                <w:sz w:val="17"/>
              </w:rPr>
              <w:t>0.9999</w:t>
            </w:r>
          </w:p>
        </w:tc>
        <w:tc>
          <w:tcPr>
            <w:tcW w:type="dxa" w:w="2592"/>
            <w:shd w:fill="F7F9FB"/>
            <w:tcMar>
              <w:top w:w="60" w:type="dxa"/>
              <w:bottom w:w="60" w:type="dxa"/>
              <w:left w:w="100" w:type="dxa"/>
              <w:right w:w="100" w:type="dxa"/>
            </w:tcMar>
          </w:tcPr>
          <w:p>
            <w:pPr>
              <w:spacing w:before="0" w:after="0"/>
            </w:pPr>
            <w:r>
              <w:rPr>
                <w:rFonts w:ascii="Calibri" w:hAnsi="Calibri"/>
                <w:color w:val="262626"/>
                <w:sz w:val="17"/>
              </w:rPr>
              <w:t>99.55%</w:t>
            </w:r>
          </w:p>
        </w:tc>
      </w:tr>
      <w:tr>
        <w:tc>
          <w:tcPr>
            <w:tcW w:type="dxa" w:w="2592"/>
            <w:shd w:fill="FFFFFF"/>
            <w:tcMar>
              <w:top w:w="60" w:type="dxa"/>
              <w:bottom w:w="60" w:type="dxa"/>
              <w:left w:w="100" w:type="dxa"/>
              <w:right w:w="100" w:type="dxa"/>
            </w:tcMar>
          </w:tcPr>
          <w:p>
            <w:pPr>
              <w:spacing w:before="0" w:after="0"/>
            </w:pPr>
            <w:r>
              <w:rPr>
                <w:rFonts w:ascii="Calibri" w:hAnsi="Calibri"/>
                <w:color w:val="262626"/>
                <w:sz w:val="17"/>
              </w:rPr>
              <w:t>Model C: Deep Bidirectional LSTM (Bi-LSTM)</w:t>
            </w:r>
          </w:p>
        </w:tc>
        <w:tc>
          <w:tcPr>
            <w:tcW w:type="dxa" w:w="2304"/>
            <w:shd w:fill="FFFFFF"/>
            <w:tcMar>
              <w:top w:w="60" w:type="dxa"/>
              <w:bottom w:w="60" w:type="dxa"/>
              <w:left w:w="100" w:type="dxa"/>
              <w:right w:w="100" w:type="dxa"/>
            </w:tcMar>
          </w:tcPr>
          <w:p>
            <w:pPr>
              <w:spacing w:before="0" w:after="0"/>
            </w:pPr>
            <w:r>
              <w:rPr>
                <w:rFonts w:ascii="Calibri" w:hAnsi="Calibri"/>
                <w:color w:val="262626"/>
                <w:sz w:val="17"/>
              </w:rPr>
              <w:t>99.40%</w:t>
            </w:r>
          </w:p>
        </w:tc>
        <w:tc>
          <w:tcPr>
            <w:tcW w:type="dxa" w:w="2592"/>
            <w:shd w:fill="FFFFFF"/>
            <w:tcMar>
              <w:top w:w="60" w:type="dxa"/>
              <w:bottom w:w="60" w:type="dxa"/>
              <w:left w:w="100" w:type="dxa"/>
              <w:right w:w="100" w:type="dxa"/>
            </w:tcMar>
          </w:tcPr>
          <w:p>
            <w:pPr>
              <w:spacing w:before="0" w:after="0"/>
            </w:pPr>
            <w:r>
              <w:rPr>
                <w:rFonts w:ascii="Calibri" w:hAnsi="Calibri"/>
                <w:color w:val="262626"/>
                <w:sz w:val="17"/>
              </w:rPr>
              <w:t>0.9998</w:t>
            </w:r>
          </w:p>
        </w:tc>
        <w:tc>
          <w:tcPr>
            <w:tcW w:type="dxa" w:w="2592"/>
            <w:shd w:fill="FFFFFF"/>
            <w:tcMar>
              <w:top w:w="60" w:type="dxa"/>
              <w:bottom w:w="60" w:type="dxa"/>
              <w:left w:w="100" w:type="dxa"/>
              <w:right w:w="100" w:type="dxa"/>
            </w:tcMar>
          </w:tcPr>
          <w:p>
            <w:pPr>
              <w:spacing w:before="0" w:after="0"/>
            </w:pPr>
            <w:r>
              <w:rPr>
                <w:rFonts w:ascii="Calibri" w:hAnsi="Calibri"/>
                <w:color w:val="262626"/>
                <w:sz w:val="17"/>
              </w:rPr>
              <w:t>98.95%</w:t>
            </w:r>
          </w:p>
        </w:tc>
      </w:tr>
      <w:tr>
        <w:tc>
          <w:tcPr>
            <w:tcW w:type="dxa" w:w="2592"/>
            <w:shd w:fill="EAF2F8"/>
            <w:tcMar>
              <w:top w:w="60" w:type="dxa"/>
              <w:bottom w:w="60" w:type="dxa"/>
              <w:left w:w="100" w:type="dxa"/>
              <w:right w:w="100" w:type="dxa"/>
            </w:tcMar>
          </w:tcPr>
          <w:p>
            <w:pPr>
              <w:spacing w:before="0" w:after="0"/>
            </w:pPr>
            <w:r>
              <w:rPr>
                <w:rFonts w:ascii="Calibri" w:hAnsi="Calibri"/>
                <w:b/>
                <w:color w:val="1F4E79"/>
                <w:sz w:val="17"/>
              </w:rPr>
              <w:t>Stacking Meta-Classifier (Ensemble + Calibrated)</w:t>
            </w:r>
          </w:p>
        </w:tc>
        <w:tc>
          <w:tcPr>
            <w:tcW w:type="dxa" w:w="2304"/>
            <w:shd w:fill="EAF2F8"/>
            <w:tcMar>
              <w:top w:w="60" w:type="dxa"/>
              <w:bottom w:w="60" w:type="dxa"/>
              <w:left w:w="100" w:type="dxa"/>
              <w:right w:w="100" w:type="dxa"/>
            </w:tcMar>
          </w:tcPr>
          <w:p>
            <w:pPr>
              <w:spacing w:before="0" w:after="0"/>
            </w:pPr>
            <w:r>
              <w:rPr>
                <w:rFonts w:ascii="Calibri" w:hAnsi="Calibri"/>
                <w:b/>
                <w:color w:val="1F4E79"/>
                <w:sz w:val="17"/>
              </w:rPr>
              <w:t>99.80%</w:t>
            </w:r>
          </w:p>
        </w:tc>
        <w:tc>
          <w:tcPr>
            <w:tcW w:type="dxa" w:w="2592"/>
            <w:shd w:fill="EAF2F8"/>
            <w:tcMar>
              <w:top w:w="60" w:type="dxa"/>
              <w:bottom w:w="60" w:type="dxa"/>
              <w:left w:w="100" w:type="dxa"/>
              <w:right w:w="100" w:type="dxa"/>
            </w:tcMar>
          </w:tcPr>
          <w:p>
            <w:pPr>
              <w:spacing w:before="0" w:after="0"/>
            </w:pPr>
            <w:r>
              <w:rPr>
                <w:rFonts w:ascii="Calibri" w:hAnsi="Calibri"/>
                <w:b/>
                <w:color w:val="1F4E79"/>
                <w:sz w:val="17"/>
              </w:rPr>
              <w:t>0.9996</w:t>
            </w:r>
          </w:p>
        </w:tc>
        <w:tc>
          <w:tcPr>
            <w:tcW w:type="dxa" w:w="2592"/>
            <w:shd w:fill="EAF2F8"/>
            <w:tcMar>
              <w:top w:w="60" w:type="dxa"/>
              <w:bottom w:w="60" w:type="dxa"/>
              <w:left w:w="100" w:type="dxa"/>
              <w:right w:w="100" w:type="dxa"/>
            </w:tcMar>
          </w:tcPr>
          <w:p>
            <w:pPr>
              <w:spacing w:before="0" w:after="0"/>
            </w:pPr>
            <w:r>
              <w:rPr>
                <w:rFonts w:ascii="Calibri" w:hAnsi="Calibri"/>
                <w:b/>
                <w:color w:val="1F4E79"/>
                <w:sz w:val="17"/>
              </w:rPr>
              <w:t>99.62%</w:t>
            </w:r>
          </w:p>
        </w:tc>
      </w:tr>
    </w:tbl>
    <w:p>
      <w:pPr>
        <w:spacing w:after="40"/>
      </w:pPr>
    </w:p>
    <w:p>
      <w:pPr>
        <w:pStyle w:val="ListBullet"/>
        <w:spacing w:before="0" w:after="50" w:line="269" w:lineRule="auto"/>
      </w:pPr>
      <w:r>
        <w:rPr>
          <w:rFonts w:ascii="Calibri" w:hAnsi="Calibri"/>
          <w:b/>
          <w:color w:val="262626"/>
          <w:sz w:val="19"/>
        </w:rPr>
        <w:t xml:space="preserve">Additional Calibrated Metrics: </w:t>
      </w:r>
      <w:r>
        <w:rPr>
          <w:rFonts w:ascii="Calibri" w:hAnsi="Calibri"/>
          <w:color w:val="262626"/>
          <w:sz w:val="19"/>
        </w:rPr>
        <w:t xml:space="preserve"> Specificity: 99.89% (minimizing false-positive diagnostic errors) | Precision: 99.77% | Brier Score Loss: 0.00185.</w:t>
      </w:r>
    </w:p>
    <w:p>
      <w:pPr>
        <w:pStyle w:val="ListBullet"/>
        <w:spacing w:before="0" w:after="50" w:line="269" w:lineRule="auto"/>
      </w:pPr>
      <w:r>
        <w:rPr>
          <w:rFonts w:ascii="Calibri" w:hAnsi="Calibri"/>
          <w:b/>
          <w:color w:val="262626"/>
          <w:sz w:val="19"/>
        </w:rPr>
        <w:t xml:space="preserve">Probabilistic Calibration: </w:t>
      </w:r>
      <w:r>
        <w:rPr>
          <w:rFonts w:ascii="Calibri" w:hAnsi="Calibri"/>
          <w:color w:val="262626"/>
          <w:sz w:val="19"/>
        </w:rPr>
        <w:t xml:space="preserve"> Expected Calibration Error (ECE): 0.0010, confirming that output risk probabilities match true clinical empirical event frequencies.</w:t>
      </w:r>
    </w:p>
    <w:p>
      <w:pPr>
        <w:pStyle w:val="ListBullet"/>
        <w:spacing w:before="0" w:after="50" w:line="269" w:lineRule="auto"/>
      </w:pPr>
      <w:r>
        <w:rPr>
          <w:rFonts w:ascii="Calibri" w:hAnsi="Calibri"/>
          <w:b/>
          <w:color w:val="262626"/>
          <w:sz w:val="19"/>
        </w:rPr>
        <w:t xml:space="preserve">Computational Latency: </w:t>
      </w:r>
      <w:r>
        <w:rPr>
          <w:rFonts w:ascii="Calibri" w:hAnsi="Calibri"/>
          <w:color w:val="262626"/>
          <w:sz w:val="19"/>
        </w:rPr>
        <w:t xml:space="preserve"> Model inference executes in &lt; 150 ms; clinical evaluation and Leipzig calculation execute in &lt; 100 ms on standard multi-core hardware.</w:t>
      </w:r>
    </w:p>
    <w:p>
      <w:pPr>
        <w:keepNext/>
        <w:spacing w:before="160" w:after="60"/>
      </w:pPr>
      <w:r>
        <w:rPr>
          <w:rFonts w:ascii="Calibri" w:hAnsi="Calibri"/>
          <w:b/>
          <w:color w:val="2B579A"/>
          <w:sz w:val="22"/>
        </w:rPr>
        <w:t>Expected Practical Clinical &amp; Operational Benefits</w:t>
      </w:r>
    </w:p>
    <w:p>
      <w:pPr>
        <w:pStyle w:val="ListBullet"/>
        <w:spacing w:before="0" w:after="50" w:line="269" w:lineRule="auto"/>
      </w:pPr>
      <w:r>
        <w:rPr>
          <w:rFonts w:ascii="Calibri" w:hAnsi="Calibri"/>
          <w:b/>
          <w:color w:val="262626"/>
          <w:sz w:val="19"/>
        </w:rPr>
        <w:t xml:space="preserve">Shortened Diagnostic Delay: </w:t>
      </w:r>
      <w:r>
        <w:rPr>
          <w:rFonts w:ascii="Calibri" w:hAnsi="Calibri"/>
          <w:color w:val="262626"/>
          <w:sz w:val="19"/>
        </w:rPr>
        <w:t xml:space="preserve"> Empowers non-specialist physicians to identify occult copper metabolism disorders months before severe manifestation occurs.</w:t>
      </w:r>
    </w:p>
    <w:p>
      <w:pPr>
        <w:pStyle w:val="ListBullet"/>
        <w:spacing w:before="0" w:after="50" w:line="269" w:lineRule="auto"/>
      </w:pPr>
      <w:r>
        <w:rPr>
          <w:rFonts w:ascii="Calibri" w:hAnsi="Calibri"/>
          <w:b/>
          <w:color w:val="262626"/>
          <w:sz w:val="19"/>
        </w:rPr>
        <w:t xml:space="preserve">Prevention of Permanent Morbidity: </w:t>
      </w:r>
      <w:r>
        <w:rPr>
          <w:rFonts w:ascii="Calibri" w:hAnsi="Calibri"/>
          <w:color w:val="262626"/>
          <w:sz w:val="19"/>
        </w:rPr>
        <w:t xml:space="preserve"> Enables immediate initiation of copper chelation or zinc salts, preventing permanent hepatic cirrhosis or irreversible motor disability.</w:t>
      </w:r>
    </w:p>
    <w:p>
      <w:pPr>
        <w:pStyle w:val="ListBullet"/>
        <w:spacing w:before="0" w:after="50" w:line="269" w:lineRule="auto"/>
      </w:pPr>
      <w:r>
        <w:rPr>
          <w:rFonts w:ascii="Calibri" w:hAnsi="Calibri"/>
          <w:b/>
          <w:color w:val="262626"/>
          <w:sz w:val="19"/>
        </w:rPr>
        <w:t xml:space="preserve">Elimination of Clinical Calculation Errors: </w:t>
      </w:r>
      <w:r>
        <w:rPr>
          <w:rFonts w:ascii="Calibri" w:hAnsi="Calibri"/>
          <w:color w:val="262626"/>
          <w:sz w:val="19"/>
        </w:rPr>
        <w:t xml:space="preserve"> Automatically calculates international Leipzig scores and flags abnormal lab boundaries, reducing manual calculation errors.</w:t>
      </w:r>
    </w:p>
    <w:p>
      <w:pPr>
        <w:pStyle w:val="ListBullet"/>
        <w:spacing w:before="0" w:after="50" w:line="269" w:lineRule="auto"/>
      </w:pPr>
      <w:r>
        <w:rPr>
          <w:rFonts w:ascii="Calibri" w:hAnsi="Calibri"/>
          <w:b/>
          <w:color w:val="262626"/>
          <w:sz w:val="19"/>
        </w:rPr>
        <w:t xml:space="preserve">Streamlined Laboratory Workflow: </w:t>
      </w:r>
      <w:r>
        <w:rPr>
          <w:rFonts w:ascii="Calibri" w:hAnsi="Calibri"/>
          <w:color w:val="262626"/>
          <w:sz w:val="19"/>
        </w:rPr>
        <w:t xml:space="preserve"> Reduces manual clinical transcription overhead by ingesting electronic lab files directly into structured input parameters.</w:t>
      </w:r>
    </w:p>
    <w:p>
      <w:pPr>
        <w:pStyle w:val="ListBullet"/>
        <w:spacing w:before="0" w:after="50" w:line="269" w:lineRule="auto"/>
      </w:pPr>
      <w:r>
        <w:rPr>
          <w:rFonts w:ascii="Calibri" w:hAnsi="Calibri"/>
          <w:b/>
          <w:color w:val="262626"/>
          <w:sz w:val="19"/>
        </w:rPr>
        <w:t xml:space="preserve">Enhanced Clinician Trust &amp; Interpretability: </w:t>
      </w:r>
      <w:r>
        <w:rPr>
          <w:rFonts w:ascii="Calibri" w:hAnsi="Calibri"/>
          <w:color w:val="262626"/>
          <w:sz w:val="19"/>
        </w:rPr>
        <w:t xml:space="preserve"> Transparent SHAP attribution plots provide visual evidence that clinicians can review, audit, and explain to patients.</w:t>
      </w:r>
    </w:p>
    <w:p>
      <w:pPr>
        <w:keepNext/>
        <w:spacing w:before="240" w:after="80"/>
      </w:pPr>
      <w:r>
        <w:rPr>
          <w:rFonts w:ascii="Calibri" w:hAnsi="Calibri"/>
          <w:b/>
          <w:color w:val="1F4E79"/>
          <w:sz w:val="26"/>
        </w:rPr>
        <w:t>6. Main Features and End-to-End Workflow</w:t>
      </w:r>
    </w:p>
    <w:p>
      <w:pPr>
        <w:spacing w:before="0" w:after="80" w:line="276" w:lineRule="auto"/>
      </w:pPr>
      <w:r>
        <w:rPr>
          <w:rFonts w:ascii="Calibri" w:hAnsi="Calibri"/>
          <w:color w:val="262626"/>
          <w:sz w:val="20"/>
        </w:rPr>
        <w:t>The verified end-to-end clinical workflow proceeds through seven structured stages:</w:t>
      </w:r>
    </w:p>
    <w:p>
      <w:pPr>
        <w:pStyle w:val="ListBullet"/>
        <w:spacing w:before="0" w:after="50" w:line="269" w:lineRule="auto"/>
      </w:pPr>
      <w:r>
        <w:rPr>
          <w:rFonts w:ascii="Calibri" w:hAnsi="Calibri"/>
          <w:b/>
          <w:color w:val="262626"/>
          <w:sz w:val="19"/>
        </w:rPr>
        <w:t xml:space="preserve">Step 1: Secure Role-Based Authentication — </w:t>
      </w:r>
      <w:r>
        <w:rPr>
          <w:rFonts w:ascii="Calibri" w:hAnsi="Calibri"/>
          <w:color w:val="262626"/>
          <w:sz w:val="19"/>
        </w:rPr>
        <w:t>Clinicians, laboratory technicians, or administrators log in securely using password hashing and session hardening, enforcing role-specific access permissions.</w:t>
      </w:r>
    </w:p>
    <w:p>
      <w:pPr>
        <w:pStyle w:val="ListBullet"/>
        <w:spacing w:before="0" w:after="50" w:line="269" w:lineRule="auto"/>
      </w:pPr>
      <w:r>
        <w:rPr>
          <w:rFonts w:ascii="Calibri" w:hAnsi="Calibri"/>
          <w:b/>
          <w:color w:val="262626"/>
          <w:sz w:val="19"/>
        </w:rPr>
        <w:t xml:space="preserve">Step 2: Patient Profile Registration or Retrieval — </w:t>
      </w:r>
      <w:r>
        <w:rPr>
          <w:rFonts w:ascii="Calibri" w:hAnsi="Calibri"/>
          <w:color w:val="262626"/>
          <w:sz w:val="19"/>
        </w:rPr>
        <w:t>The user creates a new patient record with a sequential ID (e.g., NEUROMED001) or searches existing patient records from the longitudinal database.</w:t>
      </w:r>
    </w:p>
    <w:p>
      <w:pPr>
        <w:pStyle w:val="ListBullet"/>
        <w:spacing w:before="0" w:after="50" w:line="269" w:lineRule="auto"/>
      </w:pPr>
      <w:r>
        <w:rPr>
          <w:rFonts w:ascii="Calibri" w:hAnsi="Calibri"/>
          <w:b/>
          <w:color w:val="262626"/>
          <w:sz w:val="19"/>
        </w:rPr>
        <w:t xml:space="preserve">Step 3: Clinical Data Entry or Automated Lab Import — </w:t>
      </w:r>
      <w:r>
        <w:rPr>
          <w:rFonts w:ascii="Calibri" w:hAnsi="Calibri"/>
          <w:color w:val="262626"/>
          <w:sz w:val="19"/>
        </w:rPr>
        <w:t>The 23 clinical parameters are either entered manually via the responsive clinical form or automatically extracted from an uploaded laboratory document (CSV, JSON, PDF, or DOCX) with physiological boundary validation.</w:t>
      </w:r>
    </w:p>
    <w:p>
      <w:pPr>
        <w:pStyle w:val="ListBullet"/>
        <w:spacing w:before="0" w:after="50" w:line="269" w:lineRule="auto"/>
      </w:pPr>
      <w:r>
        <w:rPr>
          <w:rFonts w:ascii="Calibri" w:hAnsi="Calibri"/>
          <w:b/>
          <w:color w:val="262626"/>
          <w:sz w:val="19"/>
        </w:rPr>
        <w:t xml:space="preserve">Step 4: Multi-Model Consensus Prediction &amp; Calibration — </w:t>
      </w:r>
      <w:r>
        <w:rPr>
          <w:rFonts w:ascii="Calibri" w:hAnsi="Calibri"/>
          <w:color w:val="262626"/>
          <w:sz w:val="19"/>
        </w:rPr>
        <w:t>The clinical input vector is preprocessed and evaluated across the Bi-LSTM, SVM, and Logistic Regression base models. The stacking meta-classifier and isotonic calibrator generate a consensus risk percentage.</w:t>
      </w:r>
    </w:p>
    <w:p>
      <w:pPr>
        <w:pStyle w:val="ListBullet"/>
        <w:spacing w:before="0" w:after="50" w:line="269" w:lineRule="auto"/>
      </w:pPr>
      <w:r>
        <w:rPr>
          <w:rFonts w:ascii="Calibri" w:hAnsi="Calibri"/>
          <w:b/>
          <w:color w:val="262626"/>
          <w:sz w:val="19"/>
        </w:rPr>
        <w:t xml:space="preserve">Step 5: Clinical Evaluation &amp; Explainability Generation — </w:t>
      </w:r>
      <w:r>
        <w:rPr>
          <w:rFonts w:ascii="Calibri" w:hAnsi="Calibri"/>
          <w:color w:val="262626"/>
          <w:sz w:val="19"/>
        </w:rPr>
        <w:t>The clinical rule engine evaluates physiological boundaries, computes the international Leipzig score (0 to 4+ points), and generates tailored physician next steps. Simultaneously, the SHAP engine renders local waterfall and force plots.</w:t>
      </w:r>
    </w:p>
    <w:p>
      <w:pPr>
        <w:pStyle w:val="ListBullet"/>
        <w:spacing w:before="0" w:after="50" w:line="269" w:lineRule="auto"/>
      </w:pPr>
      <w:r>
        <w:rPr>
          <w:rFonts w:ascii="Calibri" w:hAnsi="Calibri"/>
          <w:b/>
          <w:color w:val="262626"/>
          <w:sz w:val="19"/>
        </w:rPr>
        <w:t xml:space="preserve">Step 6: Evidence-Grounded Assistant Consultation — </w:t>
      </w:r>
      <w:r>
        <w:rPr>
          <w:rFonts w:ascii="Calibri" w:hAnsi="Calibri"/>
          <w:color w:val="262626"/>
          <w:sz w:val="19"/>
        </w:rPr>
        <w:t>Clinicians can query the conversational assistant via text or hands-free voice input to review evidence-based clinical guidance on chelators, monitoring protocols, or dietary copper restrictions.</w:t>
      </w:r>
    </w:p>
    <w:p>
      <w:pPr>
        <w:pStyle w:val="ListBullet"/>
        <w:spacing w:before="0" w:after="50" w:line="269" w:lineRule="auto"/>
      </w:pPr>
      <w:r>
        <w:rPr>
          <w:rFonts w:ascii="Calibri" w:hAnsi="Calibri"/>
          <w:b/>
          <w:color w:val="262626"/>
          <w:sz w:val="19"/>
        </w:rPr>
        <w:t xml:space="preserve">Step 7: Archival, Longitudinal Tracking &amp; Report Generation — </w:t>
      </w:r>
      <w:r>
        <w:rPr>
          <w:rFonts w:ascii="Calibri" w:hAnsi="Calibri"/>
          <w:color w:val="262626"/>
          <w:sz w:val="19"/>
        </w:rPr>
        <w:t>The assessment is committed to SQLite with inputs, outputs, and timestamps. A comprehensive, printable diagnostic report is generated for medical charts and multidisciplinary reviews.</w:t>
      </w:r>
    </w:p>
    <w:p>
      <w:pPr>
        <w:keepNext/>
        <w:spacing w:before="240" w:after="80"/>
      </w:pPr>
      <w:r>
        <w:rPr>
          <w:rFonts w:ascii="Calibri" w:hAnsi="Calibri"/>
          <w:b/>
          <w:color w:val="1F4E79"/>
          <w:sz w:val="26"/>
        </w:rPr>
        <w:t>7. Details Requiring Confirmation &amp; Project Evidence Audit</w:t>
      </w:r>
    </w:p>
    <w:p>
      <w:pPr>
        <w:spacing w:before="0" w:after="80" w:line="276" w:lineRule="auto"/>
      </w:pPr>
      <w:r>
        <w:rPr>
          <w:rFonts w:ascii="Calibri" w:hAnsi="Calibri"/>
          <w:color w:val="262626"/>
          <w:sz w:val="20"/>
        </w:rPr>
        <w:t>To maintain total documentation integrity, the following repository findings, naming alignments, and data relationships are documented for Team Lead confirmation:</w:t>
      </w:r>
    </w:p>
    <w:p>
      <w:pPr>
        <w:pStyle w:val="ListBullet"/>
        <w:spacing w:before="0" w:after="50" w:line="269" w:lineRule="auto"/>
      </w:pPr>
      <w:r>
        <w:rPr>
          <w:rFonts w:ascii="Calibri" w:hAnsi="Calibri"/>
          <w:b/>
          <w:color w:val="262626"/>
          <w:sz w:val="19"/>
        </w:rPr>
        <w:t>Project Naming Alignment:</w:t>
      </w:r>
      <w:r>
        <w:rPr>
          <w:rFonts w:ascii="Calibri" w:hAnsi="Calibri"/>
          <w:color w:val="262626"/>
          <w:sz w:val="19"/>
        </w:rPr>
        <w:t xml:space="preserve"> The software codebase and documentation refer to the application as NeuroMed AI (and 'Nero Med AI' in the primary README.md). In the departmental academic project register (CSE-B.xlsx, IV CSE B.xlsx for Department of CSE, Batch 2022–2026), the registered title is 'Edge Ai-Enabled Bi-Lstm Model With Shap Explainablity For Real-Time Prediction Of Wilson's Disease' by student Jefrin Jeya M under guide Mrs. C. Manimegalai. Both describe the same underlying system; 'NeuroMed AI' is the clinical product name, while the latter is the formal academic research designation.</w:t>
      </w:r>
    </w:p>
    <w:p>
      <w:pPr>
        <w:pStyle w:val="ListBullet"/>
        <w:spacing w:before="0" w:after="50" w:line="269" w:lineRule="auto"/>
      </w:pPr>
      <w:r>
        <w:rPr>
          <w:rFonts w:ascii="Calibri" w:hAnsi="Calibri"/>
          <w:b/>
          <w:color w:val="262626"/>
          <w:sz w:val="19"/>
        </w:rPr>
        <w:t>Dataset Versioning &amp; Remediation:</w:t>
      </w:r>
      <w:r>
        <w:rPr>
          <w:rFonts w:ascii="Calibri" w:hAnsi="Calibri"/>
          <w:color w:val="262626"/>
          <w:sz w:val="19"/>
        </w:rPr>
        <w:t xml:space="preserve"> The repository contains both Wilson_disease_dataset.csv (59,998 records, baseline) and Wilson_disease_dataset_v2.csv (60,000 records). Source inspection confirms that v2.0.0 is the active, calibrated production pipeline remediated to prevent target leakage (Age was evaluated for leakage and isolated; preprocessing fitted strictly on training data).</w:t>
      </w:r>
    </w:p>
    <w:p>
      <w:pPr>
        <w:pStyle w:val="ListBullet"/>
        <w:spacing w:before="0" w:after="50" w:line="269" w:lineRule="auto"/>
      </w:pPr>
      <w:r>
        <w:rPr>
          <w:rFonts w:ascii="Calibri" w:hAnsi="Calibri"/>
          <w:b/>
          <w:color w:val="262626"/>
          <w:sz w:val="19"/>
        </w:rPr>
        <w:t>Vector Store Architecture Milestone:</w:t>
      </w:r>
      <w:r>
        <w:rPr>
          <w:rFonts w:ascii="Calibri" w:hAnsi="Calibri"/>
          <w:color w:val="262626"/>
          <w:sz w:val="19"/>
        </w:rPr>
        <w:t xml:space="preserve"> The conversational clinical assistant currently operates via a robust, deterministic offline rule engine grounded in the 4 authoritative guideline PDFs located in medical_docs/ (AASLD, EASL, NIH, and Indian clinical guidance). The persistent dense semantic vector store (ChromaDB + sentence-transformers) is comprehensively architected in specs/rag-enhancement/ and represents the next scheduled milestone (Stage 1–2).</w:t>
      </w:r>
    </w:p>
    <w:p>
      <w:pPr>
        <w:pStyle w:val="ListBullet"/>
        <w:spacing w:before="0" w:after="50" w:line="269" w:lineRule="auto"/>
      </w:pPr>
      <w:r>
        <w:rPr>
          <w:rFonts w:ascii="Calibri" w:hAnsi="Calibri"/>
          <w:b/>
          <w:color w:val="262626"/>
          <w:sz w:val="19"/>
        </w:rPr>
        <w:t>Discrepancy Check on Spreadsheet Evidence:</w:t>
      </w:r>
      <w:r>
        <w:rPr>
          <w:rFonts w:ascii="Calibri" w:hAnsi="Calibri"/>
          <w:color w:val="262626"/>
          <w:sz w:val="19"/>
        </w:rPr>
        <w:t xml:space="preserve"> The Excel files on Desktop (CSE-B.xlsx, IV CSE B.xlsx) were verified to be university academic project allocation registers for the Department of Computer Science &amp; Engineering. The actual project repository does not implement a school registration or student management system; it is strictly an enterprise clinical AI platform for Wilson's Disease.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