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THE COLLAPSE SIGNATURE</w:t>
      </w:r>
    </w:p>
    <w:p>
      <w:pPr>
        <w:spacing w:after="600"/>
        <w:jc w:val="center"/>
      </w:pPr>
      <w:r>
        <w:rPr>
          <w:i/>
          <w:iCs/>
          <w:sz w:val="28"/>
          <w:szCs w:val="28"/>
        </w:rPr>
        <w:t xml:space="preserve">Research Foundation and Multi-Agent Onboarding Document</w:t>
      </w:r>
    </w:p>
    <w:p>
      <w:pPr>
        <w:spacing w:after="240"/>
        <w:jc w:val="center"/>
      </w:pPr>
      <w:r>
        <w:rPr>
          <w:sz w:val="22"/>
          <w:szCs w:val="22"/>
        </w:rPr>
        <w:t xml:space="preserve">A research and writing project by Jeff Ricks</w:t>
      </w:r>
    </w:p>
    <w:p>
      <w:pPr>
        <w:spacing w:after="1200"/>
        <w:jc w:val="center"/>
      </w:pPr>
      <w:r>
        <w:rPr>
          <w:i/>
          <w:iCs/>
          <w:sz w:val="22"/>
          <w:szCs w:val="22"/>
        </w:rPr>
        <w:t xml:space="preserve">Sequel and analytical maturation of “Reality Latency”</w:t>
      </w:r>
    </w:p>
    <w:p>
      <w:pPr>
        <w:spacing w:after="240"/>
        <w:jc w:val="center"/>
      </w:pPr>
      <w:r>
        <w:rPr>
          <w:sz w:val="22"/>
          <w:szCs w:val="22"/>
        </w:rPr>
        <w:t xml:space="preserve">Project manager: Claude (Anthropic)</w:t>
      </w:r>
    </w:p>
    <w:p>
      <w:pPr>
        <w:jc w:val="center"/>
      </w:pPr>
      <w:r>
        <w:rPr>
          <w:sz w:val="22"/>
          <w:szCs w:val="22"/>
        </w:rPr>
        <w:t xml:space="preserve">Prepared May 7, 2026</w:t>
      </w:r>
    </w:p>
    <w:p>
      <w:r>
        <w:br w:type="page"/>
      </w:r>
    </w:p>
    <w:p>
      <w:pPr>
        <w:pStyle w:val="Heading1"/>
        <w:spacing w:after="200" w:before="360"/>
      </w:pPr>
      <w:r>
        <w:t xml:space="preserve">A note from the project manager</w:t>
      </w:r>
    </w:p>
    <w:p>
      <w:pPr>
        <w:spacing w:after="120"/>
        <w:jc w:val="left"/>
      </w:pPr>
      <w:r>
        <w:t xml:space="preserve">I am Claude, an AI assistant made by Anthropic. I have been working with Jeff Ricks for several months on the Fieldnotes publication and on his first book, Reality Latency, which is now in print. He has retained me as the editorial and analytical anchor for his second book project, The Collapse Signature, and for the ongoing research that supports both the book and the publication.</w:t>
      </w:r>
    </w:p>
    <w:p>
      <w:pPr>
        <w:spacing w:after="120"/>
        <w:jc w:val="left"/>
      </w:pPr>
      <w:r>
        <w:t xml:space="preserve">This document is your onboarding briefing. Jeff is using a multi-tool research workflow because each AI system has different strengths and access patterns, and the project benefits from coordination across all of them. You are part of that coordination. I am writing this so that whichever tool Jeff loads it into, you can immediately understand what the project is, what your role might be, and how your contributions fit into the larger structure.</w:t>
      </w:r>
    </w:p>
    <w:p>
      <w:pPr>
        <w:spacing w:after="120"/>
        <w:jc w:val="left"/>
      </w:pPr>
      <w:r>
        <w:t xml:space="preserve">I am not claiming authority over you. I do not have the access patterns you have, and I do not know your specific capabilities better than you do. What I am offering is structure: a research roadmap, a reading list, a set of research questions, and a cultural-frame catalogue. You should read all of it, then assess where your particular strengths apply most usefully. If you decide that a different role makes better use of your capabilities than the one I might naively assign, take that role and tell Jeff what you have decided. He will adjust.</w:t>
      </w:r>
    </w:p>
    <w:p>
      <w:pPr>
        <w:spacing w:after="120"/>
        <w:jc w:val="left"/>
      </w:pPr>
      <w:r>
        <w:t xml:space="preserve">Jeff's other AI tools as of this writing include: SuperGrok (with parallel-agent capability and direct access to X/Twitter data), Gemini (with strong YouTube summarization and integration into NotebookLM for mind maps and infographics), ChatGPT at maximum tier, and DeepSeek. Each of you should self-assess based on what this document describes and what you can actually do.</w:t>
      </w:r>
    </w:p>
    <w:p>
      <w:pPr>
        <w:spacing w:after="120"/>
        <w:jc w:val="left"/>
      </w:pPr>
      <w:r>
        <w:t xml:space="preserve">My role in the workflow is to serve as the final editorial and analytical pass on dispatches and book chapters. I do not need every research finding to flow through me. I do need the synthesis to be clean when it reaches the writing stage. That means each of you should produce work that is structured, sourced, and clearly attributed, so that when Jeff or I assemble it into prose, the underlying material is auditable.</w:t>
      </w:r>
    </w:p>
    <w:p>
      <w:pPr>
        <w:spacing w:after="120"/>
        <w:jc w:val="left"/>
      </w:pPr>
      <w:r>
        <w:t xml:space="preserve">Read the entire document before deciding what to do. The streams interconnect, and a tool that takes only one piece without understanding the whole will produce work that does not fit the rest. Then identify which streams or which questions match your capabilities. Tell Jeff what you have chosen and why.</w:t>
      </w:r>
    </w:p>
    <w:p>
      <w:pPr>
        <w:pBdr>
          <w:bottom w:val="single" w:color="999999" w:sz="6" w:space="4"/>
        </w:pBdr>
        <w:spacing w:after="240" w:before="240"/>
      </w:pPr>
      <w:r>
        <w:t xml:space="preserve"/>
      </w:r>
    </w:p>
    <w:p>
      <w:pPr>
        <w:pStyle w:val="Heading1"/>
        <w:spacing w:after="200" w:before="360"/>
      </w:pPr>
      <w:r>
        <w:t xml:space="preserve">The project</w:t>
      </w:r>
    </w:p>
    <w:p>
      <w:pPr>
        <w:pStyle w:val="Heading2"/>
        <w:spacing w:after="160" w:before="280"/>
      </w:pPr>
      <w:r>
        <w:t xml:space="preserve">Central question</w:t>
      </w:r>
    </w:p>
    <w:p>
      <w:pPr>
        <w:spacing w:after="120"/>
        <w:jc w:val="left"/>
      </w:pPr>
      <w:r>
        <w:t xml:space="preserve">Do complex systems on the verge of collapse exhibit detectable signatures that distinguish them from systems under stress that will recover? If so, what are those signatures, and can they be applied to identify contemporary systems at risk?</w:t>
      </w:r>
    </w:p>
    <w:p>
      <w:pPr>
        <w:pStyle w:val="Heading2"/>
        <w:spacing w:after="160" w:before="280"/>
      </w:pPr>
      <w:r>
        <w:t xml:space="preserve">Provisional thesis (subject to empirical refutation)</w:t>
      </w:r>
    </w:p>
    <w:p>
      <w:pPr>
        <w:spacing w:after="120"/>
        <w:jc w:val="left"/>
      </w:pPr>
      <w:r>
        <w:t xml:space="preserve">Collapse occurs when the temporal mismatch documented in Reality Latency reaches a critical threshold. Specifically, when the gap between the speed at which threats arrive and the speed at which institutions can respond exceeds a system's adaptive capacity. The collapse signature is the specific configuration of conditions at which the gap crosses that threshold; not the gap itself, but the moment at which the gap exceeds what the system can absorb without structural reorganization.</w:t>
      </w:r>
    </w:p>
    <w:p>
      <w:pPr>
        <w:spacing w:after="120"/>
        <w:jc w:val="left"/>
      </w:pPr>
      <w:r>
        <w:t xml:space="preserve">This thesis is provisional. The empirical work may confirm it, modify it, or refute it. Honest engagement with the data takes precedence over preserving the thesis. If the historical record shows that no consistent signature exists, that is itself a publishable finding and the book becomes a different book.</w:t>
      </w:r>
    </w:p>
    <w:p>
      <w:pPr>
        <w:pStyle w:val="Heading2"/>
        <w:spacing w:after="160" w:before="280"/>
      </w:pPr>
      <w:r>
        <w:t xml:space="preserve">Methodological commitments</w:t>
      </w:r>
    </w:p>
    <w:p>
      <w:pPr>
        <w:spacing w:after="120"/>
        <w:jc w:val="left"/>
      </w:pPr>
      <w:r>
        <w:t xml:space="preserve">The project commits to a higher methodological standard than most collapse literature. Three commitments in particular distinguish this work from the broader genre.</w:t>
      </w:r>
    </w:p>
    <w:p>
      <w:pPr>
        <w:spacing w:after="120"/>
      </w:pPr>
      <w:r>
        <w:rPr>
          <w:b/>
          <w:bCs/>
        </w:rPr>
        <w:t xml:space="preserve">Operational definition. </w:t>
      </w:r>
      <w:r>
        <w:t xml:space="preserve">We adopt Joseph Tainter's definition: collapse is rapid simplification, the loss of an established level of social complexity. Collapse is distinguished from decline (gradual) and from transformation (reorganization at comparable complexity). Every case in the dataset must be classifiable against this definition.</w:t>
      </w:r>
    </w:p>
    <w:p>
      <w:pPr>
        <w:spacing w:after="120"/>
      </w:pPr>
      <w:r>
        <w:rPr>
          <w:b/>
          <w:bCs/>
        </w:rPr>
        <w:t xml:space="preserve">Control group. </w:t>
      </w:r>
      <w:r>
        <w:t xml:space="preserve">Every signature claim must be tested against a control group of comparable systems that experienced similar stresses and did not collapse. The minimum thirty-to-fifty case dataset must include both collapses and near-collapses-that-recovered, in roughly equal proportion. Without the control group, a “signature” is just a description of stress.</w:t>
      </w:r>
    </w:p>
    <w:p>
      <w:pPr>
        <w:spacing w:after="120"/>
      </w:pPr>
      <w:r>
        <w:rPr>
          <w:b/>
          <w:bCs/>
        </w:rPr>
        <w:t xml:space="preserve">Falsifiable predictions. </w:t>
      </w:r>
      <w:r>
        <w:t xml:space="preserve">The book commits to specific, falsifiable predictions about contemporary systems. These predictions are timestamped so future readers can assess whether the framework holds.</w:t>
      </w:r>
    </w:p>
    <w:p>
      <w:pPr>
        <w:spacing w:after="120"/>
        <w:jc w:val="left"/>
      </w:pPr>
      <w:r>
        <w:t xml:space="preserve">The three failure modes we are explicitly avoiding: the retrospective fallacy (selecting on the dependent variable), the Cassandra problem (predicting collapse vaguely enough that something somewhere always confirms it), and the aestheticization of decline (substituting dramatic cadence for analytical rigor).</w:t>
      </w:r>
    </w:p>
    <w:p>
      <w:pPr>
        <w:pStyle w:val="Heading2"/>
        <w:spacing w:after="160" w:before="280"/>
      </w:pPr>
      <w:r>
        <w:t xml:space="preserve">Target outputs</w:t>
      </w:r>
    </w:p>
    <w:p>
      <w:pPr>
        <w:spacing w:after="120"/>
        <w:jc w:val="left"/>
      </w:pPr>
      <w:r>
        <w:t xml:space="preserve">Two related outputs flow from this research. First, the book itself: working title “The Collapse Signature: Detecting Imminent Systemic Failure Across Civilizations, Governments, and Markets,” target length 70,000 to 90,000 words, target publication late 2027 or 2028. Second, ongoing dispatches in the Fieldnotes publication, which serve both as standalone analytical pieces and as field tests for the book's emerging framework. Some research will support both. Some will support only one.</w:t>
      </w:r>
    </w:p>
    <w:p>
      <w:pPr>
        <w:pBdr>
          <w:bottom w:val="single" w:color="999999" w:sz="6" w:space="4"/>
        </w:pBdr>
        <w:spacing w:after="240" w:before="240"/>
      </w:pPr>
      <w:r>
        <w:t xml:space="preserve"/>
      </w:r>
    </w:p>
    <w:p>
      <w:pPr>
        <w:pStyle w:val="Heading1"/>
        <w:spacing w:after="200" w:before="360"/>
      </w:pPr>
      <w:r>
        <w:t xml:space="preserve">Research roadmap</w:t>
      </w:r>
    </w:p>
    <w:p>
      <w:pPr>
        <w:spacing w:after="120"/>
        <w:jc w:val="left"/>
      </w:pPr>
      <w:r>
        <w:t xml:space="preserve">The research breaks into four streams that interconnect but should not be conflated. Each stream has its own materials, its own questions, and its own pace. The streams run in parallel rather than sequence, but the early weeks weight some streams more than others.</w:t>
      </w:r>
    </w:p>
    <w:p>
      <w:pPr>
        <w:pStyle w:val="Heading2"/>
        <w:spacing w:after="160" w:before="280"/>
      </w:pPr>
      <w:r>
        <w:t xml:space="preserve">Stream One: The financial-system architecture</w:t>
      </w:r>
    </w:p>
    <w:p>
      <w:pPr>
        <w:spacing w:after="120"/>
        <w:jc w:val="left"/>
      </w:pPr>
      <w:r>
        <w:t xml:space="preserve">Empirical mapping of the AI circular-investment web, the commercial real estate maturity wall, the private-equity exposure layer, and their interconnections. This stream supports the immediate dispatches on financial-system fragility (three planned, one to two thousand words longer than the typical Fieldnote dispatch) and provides the contemporary-application case material for the book's later chapters.</w:t>
      </w:r>
    </w:p>
    <w:p>
      <w:pPr>
        <w:spacing w:after="120"/>
        <w:jc w:val="left"/>
      </w:pPr>
      <w:r>
        <w:t xml:space="preserve">The stream's foundation is the official-sector documentation: Federal Reserve Financial Stability Report (typically released May and November), IMF Global Financial Stability Report (April and October), FDIC Quarterly Banking Profile (quarterly), Trepp CMBS data, Mortgage Bankers Association origination data, BIS quarterly review. Layered on top: Bloomberg, Morningstar, S&amp;P Global Market Intelligence, CRE Daily, CoStar, MSCI Real Capital Analytics, and the financial Substack writers (Wolf Richter, Doomberg, Yves Smith) who track these markets in real time.</w:t>
      </w:r>
    </w:p>
    <w:p>
      <w:pPr>
        <w:spacing w:after="120"/>
        <w:jc w:val="left"/>
      </w:pPr>
      <w:r>
        <w:t xml:space="preserve">Output: a structured dataset of who-owes-whom-what across the AI buildout, the CRE maturity wall, and the private-equity exposure layer. The dataset should be detailed enough to support both dispatch-length analysis and book-chapter elaboration.</w:t>
      </w:r>
    </w:p>
    <w:p>
      <w:pPr>
        <w:pStyle w:val="Heading2"/>
        <w:spacing w:after="160" w:before="280"/>
      </w:pPr>
      <w:r>
        <w:t xml:space="preserve">Stream Two: The technocratic-class map</w:t>
      </w:r>
    </w:p>
    <w:p>
      <w:pPr>
        <w:spacing w:after="120"/>
        <w:jc w:val="left"/>
      </w:pPr>
      <w:r>
        <w:t xml:space="preserve">Political economy and ideological architecture of the actors driving the financial-technological reorganization currently under way. The class is not a single bloc; it has at least four sub-groups with different motivation structures, different political postures, and different capital-deployment patterns.</w:t>
      </w:r>
    </w:p>
    <w:p>
      <w:pPr>
        <w:spacing w:after="120"/>
        <w:jc w:val="left"/>
      </w:pPr>
      <w:r>
        <w:t xml:space="preserve">The four sub-groups, working taxonomy:</w:t>
      </w:r>
    </w:p>
    <w:p>
      <w:pPr>
        <w:pStyle w:val="ListParagraph"/>
        <w:numPr>
          <w:ilvl w:val="0"/>
          <w:numId w:val="2"/>
        </w:numPr>
        <w:spacing w:after="80"/>
      </w:pPr>
      <w:r>
        <w:rPr>
          <w:b/>
          <w:bCs/>
        </w:rPr>
        <w:t xml:space="preserve">AI-infrastructure principals: </w:t>
      </w:r>
      <w:r>
        <w:t xml:space="preserve">Sam Altman, Dario Amodei, Mira Murati, Mustafa Suleyman, Demis Hassabis, the people running the frontier labs themselves. Their positions combine technical conviction, founder-class wealth accumulation, and explicit strategic visions for AI development.</w:t>
      </w:r>
    </w:p>
    <w:p>
      <w:pPr>
        <w:pStyle w:val="ListParagraph"/>
        <w:numPr>
          <w:ilvl w:val="0"/>
          <w:numId w:val="2"/>
        </w:numPr>
        <w:spacing w:after="80"/>
      </w:pPr>
      <w:r>
        <w:rPr>
          <w:b/>
          <w:bCs/>
        </w:rPr>
        <w:t xml:space="preserve">Hyperscaler principals: </w:t>
      </w:r>
      <w:r>
        <w:t xml:space="preserve">Satya Nadella, Andy Jassy, Sundar Pichai, Mark Zuckerberg, Jensen Huang. Public-company CEOs whose political action runs primarily through corporate channels; constrained by fiduciary obligations but consequential because of the capital they direct.</w:t>
      </w:r>
    </w:p>
    <w:p>
      <w:pPr>
        <w:pStyle w:val="ListParagraph"/>
        <w:numPr>
          <w:ilvl w:val="0"/>
          <w:numId w:val="2"/>
        </w:numPr>
        <w:spacing w:after="80"/>
      </w:pPr>
      <w:r>
        <w:rPr>
          <w:b/>
          <w:bCs/>
        </w:rPr>
        <w:t xml:space="preserve">Founder-class political principals: </w:t>
      </w:r>
      <w:r>
        <w:t xml:space="preserve">Elon Musk, Peter Thiel, David Sacks, Marc Andreessen, Joe Lonsdale, Palmer Luckey, and the broader Tech Right ecosystem. Distinct from the others because political influence is the primary product, not a side effect.</w:t>
      </w:r>
    </w:p>
    <w:p>
      <w:pPr>
        <w:pStyle w:val="ListParagraph"/>
        <w:numPr>
          <w:ilvl w:val="0"/>
          <w:numId w:val="2"/>
        </w:numPr>
        <w:spacing w:after="80"/>
      </w:pPr>
      <w:r>
        <w:rPr>
          <w:b/>
          <w:bCs/>
        </w:rPr>
        <w:t xml:space="preserve">Finance-class principals: </w:t>
      </w:r>
      <w:r>
        <w:t xml:space="preserve">Larry Fink, Stephen Schwarzman, Marc Rowan, Jamie Dimon, Ken Griffin. Senior leadership of major asset managers, private-equity firms, and investment banks. Not technologists, but their capital allocation decisions shape what gets funded.</w:t>
      </w:r>
    </w:p>
    <w:p>
      <w:pPr>
        <w:spacing w:after="120"/>
        <w:jc w:val="left"/>
      </w:pPr>
      <w:r>
        <w:t xml:space="preserve">The stream includes both the empirical political-economy mapping (donations, lobbying, board seats, revolving-door movements) and the literary-philosophical reading: what stories does this class tell about itself, and which intellectual traditions are operative in its self-understanding? The Curtis Yarvin material, the New Right discourse, the techno-optimist literature on one side; Quinn Slobodian, Wendy Brown, Patrick Deneen, and the broader critical responses on the other.</w:t>
      </w:r>
    </w:p>
    <w:p>
      <w:pPr>
        <w:pStyle w:val="Heading2"/>
        <w:spacing w:after="160" w:before="280"/>
      </w:pPr>
      <w:r>
        <w:t xml:space="preserve">Stream Three: The civilizational-literary foundation</w:t>
      </w:r>
    </w:p>
    <w:p>
      <w:pPr>
        <w:spacing w:after="120"/>
        <w:jc w:val="left"/>
      </w:pPr>
      <w:r>
        <w:t xml:space="preserve">The methodological core of the book project. Reading the foundational texts of each major civilization as documents in which that civilization's self-understanding is encoded. The premise, learned from Professor Jiang of the Predictive History YouTube channel and from older traditions in strategic thought (George Kennan's Long Telegram, Henry Kissinger's A World Restored, Lawrence Freedman's Strategy: A History): nations do not just have interests; they have stories about themselves, and those stories shape what their political classes find imaginable.</w:t>
      </w:r>
    </w:p>
    <w:p>
      <w:pPr>
        <w:spacing w:after="120"/>
        <w:jc w:val="left"/>
      </w:pPr>
      <w:r>
        <w:t xml:space="preserve">For each historical collapse case in the book's dataset, this stream asks: what literary and philosophical materials did that civilization produce in its late period, and what do those materials reveal about how the civilization understood its own condition? The Late Bronze Age letters from Ugarit, the late Roman Christian apologetics, the Late Tang poetry of Du Fu and Bai Juyi, the late Habsburg literature of Joseph Roth and Stefan Zweig, the late Romanov literature of Dostoevsky and Tolstoy.</w:t>
      </w:r>
    </w:p>
    <w:p>
      <w:pPr>
        <w:spacing w:after="120"/>
        <w:jc w:val="left"/>
      </w:pPr>
      <w:r>
        <w:t xml:space="preserve">This is not decoration. It is a different kind of evidence about collapse. The materialist framework can tell us that grain yields fell, that defense spending rose, that elite turnover accelerated. The literary framework can tell us how the people inside the system experienced what the materialist framework was measuring. Both kinds of evidence are needed; signatures may show up in literary indicators that do not show up in quantitative ones.</w:t>
      </w:r>
    </w:p>
    <w:p>
      <w:pPr>
        <w:pStyle w:val="Heading2"/>
        <w:spacing w:after="160" w:before="280"/>
      </w:pPr>
      <w:r>
        <w:t xml:space="preserve">Stream Four: The modern poetic and philosophical register</w:t>
      </w:r>
    </w:p>
    <w:p>
      <w:pPr>
        <w:spacing w:after="120"/>
        <w:jc w:val="left"/>
      </w:pPr>
      <w:r>
        <w:t xml:space="preserve">The aesthetic foundation of the writing itself. This stream is about the cultural materials that sharpen the prose and provide compression for arguments that prose alone cannot make. T.S. Eliot, Ezra Pound, W.B. Yeats, W.H. Auden, Wallace Stevens. Kurt Vonnegut, Isaac Asimov, Robert Heinlein, the major science-fiction writers. Albert Camus, Carl Jung, Leonard Susskind. René Magritte and the artists and poets killed in the First World War.</w:t>
      </w:r>
    </w:p>
    <w:p>
      <w:pPr>
        <w:spacing w:after="120"/>
        <w:jc w:val="left"/>
      </w:pPr>
      <w:r>
        <w:t xml:space="preserve">Stream Four is not a stream that needs systematic completion; it runs continuously, draws on what Jeff is already reading, and gets deployed when a dispatch or chapter calls for the right reference. The discipline here is to use literary and philosophical material structurally rather than decoratively. A reference earns its place by doing analytical work the surrounding prose cannot do, not by adding gravitas.</w:t>
      </w:r>
    </w:p>
    <w:p>
      <w:pPr>
        <w:pBdr>
          <w:bottom w:val="single" w:color="999999" w:sz="6" w:space="4"/>
        </w:pBdr>
        <w:spacing w:after="240" w:before="240"/>
      </w:pPr>
      <w:r>
        <w:t xml:space="preserve"/>
      </w:r>
    </w:p>
    <w:p>
      <w:pPr>
        <w:pStyle w:val="Heading1"/>
        <w:spacing w:after="200" w:before="360"/>
      </w:pPr>
      <w:r>
        <w:t xml:space="preserve">Suggested role assignments</w:t>
      </w:r>
    </w:p>
    <w:p>
      <w:pPr>
        <w:spacing w:after="120"/>
        <w:jc w:val="left"/>
      </w:pPr>
      <w:r>
        <w:t xml:space="preserve">These are starting points. Each tool should self-assess and adjust. If your capabilities suggest a better assignment, take it and tell Jeff.</w:t>
      </w:r>
    </w:p>
    <w:p>
      <w:pPr>
        <w:pStyle w:val="Heading2"/>
        <w:spacing w:after="160" w:before="280"/>
      </w:pPr>
      <w:r>
        <w:t xml:space="preserve">SuperGrok</w:t>
      </w:r>
    </w:p>
    <w:p>
      <w:pPr>
        <w:spacing w:after="120"/>
        <w:jc w:val="left"/>
      </w:pPr>
      <w:r>
        <w:t xml:space="preserve">SuperGrok's distinctive capabilities are real-time access to X/Twitter data and parallel-agent execution. The natural assignments are:</w:t>
      </w:r>
    </w:p>
    <w:p>
      <w:pPr>
        <w:pStyle w:val="ListParagraph"/>
        <w:numPr>
          <w:ilvl w:val="0"/>
          <w:numId w:val="2"/>
        </w:numPr>
        <w:spacing w:after="80"/>
      </w:pPr>
      <w:r>
        <w:t xml:space="preserve">Stream Two, technocratic-class real-time monitoring. Track public statements, X/Twitter activity, and posting patterns of the four sub-groups identified above. Build a rolling log of what the founder-class political principals in particular are saying, signaling, and reacting to. This is where their public ideology is most visible.</w:t>
      </w:r>
    </w:p>
    <w:p>
      <w:pPr>
        <w:pStyle w:val="ListParagraph"/>
        <w:numPr>
          <w:ilvl w:val="0"/>
          <w:numId w:val="2"/>
        </w:numPr>
        <w:spacing w:after="80"/>
      </w:pPr>
      <w:r>
        <w:t xml:space="preserve">Stream One, real-time financial-event tracking. Use parallel agents to monitor financial-Twitter for breaking news on CRE distress, AI-infrastructure deals, private-credit defaults, and bank-supervision events. The traditional financial press is slower than the people watching the markets in real time.</w:t>
      </w:r>
    </w:p>
    <w:p>
      <w:pPr>
        <w:pStyle w:val="ListParagraph"/>
        <w:numPr>
          <w:ilvl w:val="0"/>
          <w:numId w:val="2"/>
        </w:numPr>
        <w:spacing w:after="80"/>
      </w:pPr>
      <w:r>
        <w:t xml:space="preserve">Cross-stream alerting. When a public statement, a market event, or a political development would be relevant to one of the streams, surface it to Jeff with the relevant context. Volume tasks at speed are your strength.</w:t>
      </w:r>
    </w:p>
    <w:p>
      <w:pPr>
        <w:pStyle w:val="Heading2"/>
        <w:spacing w:after="160" w:before="280"/>
      </w:pPr>
      <w:r>
        <w:t xml:space="preserve">Gemini and NotebookLM</w:t>
      </w:r>
    </w:p>
    <w:p>
      <w:pPr>
        <w:spacing w:after="120"/>
        <w:jc w:val="left"/>
      </w:pPr>
      <w:r>
        <w:t xml:space="preserve">Gemini's distinctive capability is YouTube summarization and integration with NotebookLM for visual outputs. The natural assignments are:</w:t>
      </w:r>
    </w:p>
    <w:p>
      <w:pPr>
        <w:pStyle w:val="ListParagraph"/>
        <w:numPr>
          <w:ilvl w:val="0"/>
          <w:numId w:val="2"/>
        </w:numPr>
        <w:spacing w:after="80"/>
      </w:pPr>
      <w:r>
        <w:t xml:space="preserve">Stream Two, lecture and interview ingestion. Many of the technocratic-class principals give long interviews on podcasts and at conferences. Sam Altman, Peter Thiel, Marc Andreessen, Larry Fink, Stephen Schwarzman, and the others appear regularly on All-In, the Lex Fridman podcast, the Acquired podcast, the Bloomberg Open Interest series, and various conference keynotes. Summarize these long-form sources and extract the substantive ideological and strategic content.</w:t>
      </w:r>
    </w:p>
    <w:p>
      <w:pPr>
        <w:pStyle w:val="ListParagraph"/>
        <w:numPr>
          <w:ilvl w:val="0"/>
          <w:numId w:val="2"/>
        </w:numPr>
        <w:spacing w:after="80"/>
      </w:pPr>
      <w:r>
        <w:t xml:space="preserve">Stream Three, lecture series ingestion. Professor Jiang's Predictive History YouTube channel is a starting point. Other relevant channels: lectures by serious academics on collapse history (Eric Cline on the Bronze Age, Peter Heather on Rome, Ian Morris's comparative work). Generate summaries that can be cross-referenced with the book project's case studies.</w:t>
      </w:r>
    </w:p>
    <w:p>
      <w:pPr>
        <w:pStyle w:val="ListParagraph"/>
        <w:numPr>
          <w:ilvl w:val="0"/>
          <w:numId w:val="2"/>
        </w:numPr>
        <w:spacing w:after="80"/>
      </w:pPr>
      <w:r>
        <w:t xml:space="preserve">Visual outputs. NotebookLM's mind-map and infographic capabilities are useful for representing the AI circular-investment web visually, mapping the technocratic-class network, and illustrating the historical case studies. These visuals support the book and may support social-media promotion of dispatches.</w:t>
      </w:r>
    </w:p>
    <w:p>
      <w:pPr>
        <w:pStyle w:val="Heading2"/>
        <w:spacing w:after="160" w:before="280"/>
      </w:pPr>
      <w:r>
        <w:t xml:space="preserve">ChatGPT (max tier)</w:t>
      </w:r>
    </w:p>
    <w:p>
      <w:pPr>
        <w:spacing w:after="120"/>
        <w:jc w:val="left"/>
      </w:pPr>
      <w:r>
        <w:t xml:space="preserve">ChatGPT's strengths overlap with mine, but it has different access patterns and different strengths in specific domains. Suggested assignments:</w:t>
      </w:r>
    </w:p>
    <w:p>
      <w:pPr>
        <w:pStyle w:val="ListParagraph"/>
        <w:numPr>
          <w:ilvl w:val="0"/>
          <w:numId w:val="2"/>
        </w:numPr>
        <w:spacing w:after="80"/>
      </w:pPr>
      <w:r>
        <w:t xml:space="preserve">Stream Three, primary text reading. ChatGPT is a strong reading partner for working through long primary sources: the late Roman historians, the Tang poets in translation, the Habsburg-twilight novels, the Tolstoy and Dostoevsky novels. Use it for slow, careful reading of the texts that the literary framework draws on, and for extracting the passages that bear on the book's questions.</w:t>
      </w:r>
    </w:p>
    <w:p>
      <w:pPr>
        <w:pStyle w:val="ListParagraph"/>
        <w:numPr>
          <w:ilvl w:val="0"/>
          <w:numId w:val="2"/>
        </w:numPr>
        <w:spacing w:after="80"/>
      </w:pPr>
      <w:r>
        <w:t xml:space="preserve">Stream One, structured-data assembly. ChatGPT handles tabular and structured data well. The financial-exposure dataset (private-equity portfolios, CRE-loan maturities, AI-deal counterparty mappings) can be assembled there with verification against the source documents.</w:t>
      </w:r>
    </w:p>
    <w:p>
      <w:pPr>
        <w:pStyle w:val="ListParagraph"/>
        <w:numPr>
          <w:ilvl w:val="0"/>
          <w:numId w:val="2"/>
        </w:numPr>
        <w:spacing w:after="80"/>
      </w:pPr>
      <w:r>
        <w:t xml:space="preserve">Cross-checking. When I produce an analytical claim and the claim is consequential, ChatGPT is a useful second opinion. Same for when ChatGPT produces a claim Jeff wants to verify.</w:t>
      </w:r>
    </w:p>
    <w:p>
      <w:pPr>
        <w:pStyle w:val="Heading2"/>
        <w:spacing w:after="160" w:before="280"/>
      </w:pPr>
      <w:r>
        <w:t xml:space="preserve">DeepSeek</w:t>
      </w:r>
    </w:p>
    <w:p>
      <w:pPr>
        <w:spacing w:after="120"/>
        <w:jc w:val="left"/>
      </w:pPr>
      <w:r>
        <w:t xml:space="preserve">DeepSeek's distinctive value is its non-Western training base and its strength on Chinese-language sources. Natural assignments:</w:t>
      </w:r>
    </w:p>
    <w:p>
      <w:pPr>
        <w:pStyle w:val="ListParagraph"/>
        <w:numPr>
          <w:ilvl w:val="0"/>
          <w:numId w:val="2"/>
        </w:numPr>
        <w:spacing w:after="80"/>
      </w:pPr>
      <w:r>
        <w:t xml:space="preserve">Stream Two, the China dimension. The technocratic-class question has a Chinese counterpart that Western media covers thinly. Who are the equivalent Chinese principals? How does the Chinese state-and-capital relationship differ structurally from the American one? DeepSeek can read the Chinese-language financial press, the Caixin reporting on AI and infrastructure, the policy documents from the State Council. This is research that the other tools cannot do well.</w:t>
      </w:r>
    </w:p>
    <w:p>
      <w:pPr>
        <w:pStyle w:val="ListParagraph"/>
        <w:numPr>
          <w:ilvl w:val="0"/>
          <w:numId w:val="2"/>
        </w:numPr>
        <w:spacing w:after="80"/>
      </w:pPr>
      <w:r>
        <w:t xml:space="preserve">Stream Three, Chinese collapse cases. The Tang dynasty, the Yuan dynasty, the late Qing, the Republican period before 1949. Chinese historiography on these collapses is substantial, and DeepSeek's access to Chinese-language scholarship would strengthen the case dataset materially.</w:t>
      </w:r>
    </w:p>
    <w:p>
      <w:pPr>
        <w:pStyle w:val="ListParagraph"/>
        <w:numPr>
          <w:ilvl w:val="0"/>
          <w:numId w:val="2"/>
        </w:numPr>
        <w:spacing w:after="80"/>
      </w:pPr>
      <w:r>
        <w:t xml:space="preserve">Stream One, the Chinese-AI-breakthrough monitoring. The DeepSeek-R1 episode demonstrated that Chinese AI development can produce financial-market-moving events. Track Chinese AI labs (DeepSeek itself, Moonshot, Zhipu, Baichuan, MiniMax) for capability releases that would propagate through the US AI buildout in the ways we have analyzed.</w:t>
      </w:r>
    </w:p>
    <w:p>
      <w:pPr>
        <w:pBdr>
          <w:bottom w:val="single" w:color="999999" w:sz="6" w:space="4"/>
        </w:pBdr>
        <w:spacing w:after="240" w:before="240"/>
      </w:pPr>
      <w:r>
        <w:t xml:space="preserve"/>
      </w:r>
    </w:p>
    <w:p>
      <w:pPr>
        <w:pStyle w:val="Heading1"/>
        <w:spacing w:after="200" w:before="360"/>
      </w:pPr>
      <w:r>
        <w:t xml:space="preserve">Reading list</w:t>
      </w:r>
    </w:p>
    <w:p>
      <w:pPr>
        <w:spacing w:after="120"/>
        <w:jc w:val="left"/>
      </w:pPr>
      <w:r>
        <w:t xml:space="preserve">Organized by stream and by source type. Distribute across tools according to the role assignments above and your own self-assessment.</w:t>
      </w:r>
    </w:p>
    <w:p>
      <w:pPr>
        <w:pStyle w:val="Heading2"/>
        <w:spacing w:after="160" w:before="280"/>
      </w:pPr>
      <w:r>
        <w:t xml:space="preserve">Stream One: Financial-system architecture</w:t>
      </w:r>
    </w:p>
    <w:p>
      <w:pPr>
        <w:pStyle w:val="Heading3"/>
        <w:spacing w:after="120" w:before="200"/>
      </w:pPr>
      <w:r>
        <w:t xml:space="preserve">Official-sector primary sources</w:t>
      </w:r>
    </w:p>
    <w:p>
      <w:pPr>
        <w:pStyle w:val="ListParagraph"/>
        <w:numPr>
          <w:ilvl w:val="0"/>
          <w:numId w:val="2"/>
        </w:numPr>
        <w:spacing w:after="80"/>
      </w:pPr>
      <w:r>
        <w:t xml:space="preserve">Federal Reserve Financial Stability Report (most recent edition; new edition typically May and November)</w:t>
      </w:r>
    </w:p>
    <w:p>
      <w:pPr>
        <w:pStyle w:val="ListParagraph"/>
        <w:numPr>
          <w:ilvl w:val="0"/>
          <w:numId w:val="2"/>
        </w:numPr>
        <w:spacing w:after="80"/>
      </w:pPr>
      <w:r>
        <w:t xml:space="preserve">IMF Global Financial Stability Report (April and October editions; the April 2026 edition is foundational for the Amplification Channels argument)</w:t>
      </w:r>
    </w:p>
    <w:p>
      <w:pPr>
        <w:pStyle w:val="ListParagraph"/>
        <w:numPr>
          <w:ilvl w:val="0"/>
          <w:numId w:val="2"/>
        </w:numPr>
        <w:spacing w:after="80"/>
      </w:pPr>
      <w:r>
        <w:t xml:space="preserve">FDIC Quarterly Banking Profile (most recent quarter)</w:t>
      </w:r>
    </w:p>
    <w:p>
      <w:pPr>
        <w:pStyle w:val="ListParagraph"/>
        <w:numPr>
          <w:ilvl w:val="0"/>
          <w:numId w:val="2"/>
        </w:numPr>
        <w:spacing w:after="80"/>
      </w:pPr>
      <w:r>
        <w:t xml:space="preserve">BIS Quarterly Review</w:t>
      </w:r>
    </w:p>
    <w:p>
      <w:pPr>
        <w:pStyle w:val="ListParagraph"/>
        <w:numPr>
          <w:ilvl w:val="0"/>
          <w:numId w:val="2"/>
        </w:numPr>
        <w:spacing w:after="80"/>
      </w:pPr>
      <w:r>
        <w:t xml:space="preserve">Federal Reserve H.8 weekly bank assets and liabilities data</w:t>
      </w:r>
    </w:p>
    <w:p>
      <w:pPr>
        <w:pStyle w:val="ListParagraph"/>
        <w:numPr>
          <w:ilvl w:val="0"/>
          <w:numId w:val="2"/>
        </w:numPr>
        <w:spacing w:after="80"/>
      </w:pPr>
      <w:r>
        <w:t xml:space="preserve">OFR (Office of Financial Research) annual reports and periodic working papers</w:t>
      </w:r>
    </w:p>
    <w:p>
      <w:pPr>
        <w:pStyle w:val="Heading3"/>
        <w:spacing w:after="120" w:before="200"/>
      </w:pPr>
      <w:r>
        <w:t xml:space="preserve">Industry data sources</w:t>
      </w:r>
    </w:p>
    <w:p>
      <w:pPr>
        <w:pStyle w:val="ListParagraph"/>
        <w:numPr>
          <w:ilvl w:val="0"/>
          <w:numId w:val="2"/>
        </w:numPr>
        <w:spacing w:after="80"/>
      </w:pPr>
      <w:r>
        <w:t xml:space="preserve">Trepp CMBS reports and delinquency data</w:t>
      </w:r>
    </w:p>
    <w:p>
      <w:pPr>
        <w:pStyle w:val="ListParagraph"/>
        <w:numPr>
          <w:ilvl w:val="0"/>
          <w:numId w:val="2"/>
        </w:numPr>
        <w:spacing w:after="80"/>
      </w:pPr>
      <w:r>
        <w:t xml:space="preserve">Mortgage Bankers Association origination and maturity data</w:t>
      </w:r>
    </w:p>
    <w:p>
      <w:pPr>
        <w:pStyle w:val="ListParagraph"/>
        <w:numPr>
          <w:ilvl w:val="0"/>
          <w:numId w:val="2"/>
        </w:numPr>
        <w:spacing w:after="80"/>
      </w:pPr>
      <w:r>
        <w:t xml:space="preserve">CoStar commercial real estate analytics</w:t>
      </w:r>
    </w:p>
    <w:p>
      <w:pPr>
        <w:pStyle w:val="ListParagraph"/>
        <w:numPr>
          <w:ilvl w:val="0"/>
          <w:numId w:val="2"/>
        </w:numPr>
        <w:spacing w:after="80"/>
      </w:pPr>
      <w:r>
        <w:t xml:space="preserve">MSCI Real Capital Analytics distressed-asset reports</w:t>
      </w:r>
    </w:p>
    <w:p>
      <w:pPr>
        <w:pStyle w:val="ListParagraph"/>
        <w:numPr>
          <w:ilvl w:val="0"/>
          <w:numId w:val="2"/>
        </w:numPr>
        <w:spacing w:after="80"/>
      </w:pPr>
      <w:r>
        <w:t xml:space="preserve">S&amp;P Global Market Intelligence CRE coverage</w:t>
      </w:r>
    </w:p>
    <w:p>
      <w:pPr>
        <w:pStyle w:val="ListParagraph"/>
        <w:numPr>
          <w:ilvl w:val="0"/>
          <w:numId w:val="2"/>
        </w:numPr>
        <w:spacing w:after="80"/>
      </w:pPr>
      <w:r>
        <w:t xml:space="preserve">Bloomberg AI-deal coverage and circular-investment mapping (March 2026 graphics package particularly useful)</w:t>
      </w:r>
    </w:p>
    <w:p>
      <w:pPr>
        <w:pStyle w:val="Heading3"/>
        <w:spacing w:after="120" w:before="200"/>
      </w:pPr>
      <w:r>
        <w:t xml:space="preserve">Independent analysts and Substack writers</w:t>
      </w:r>
    </w:p>
    <w:p>
      <w:pPr>
        <w:pStyle w:val="ListParagraph"/>
        <w:numPr>
          <w:ilvl w:val="0"/>
          <w:numId w:val="2"/>
        </w:numPr>
        <w:spacing w:after="80"/>
      </w:pPr>
      <w:r>
        <w:t xml:space="preserve">Wolf Richter, Wolf Street (CRE, regional banks)</w:t>
      </w:r>
    </w:p>
    <w:p>
      <w:pPr>
        <w:pStyle w:val="ListParagraph"/>
        <w:numPr>
          <w:ilvl w:val="0"/>
          <w:numId w:val="2"/>
        </w:numPr>
        <w:spacing w:after="80"/>
      </w:pPr>
      <w:r>
        <w:t xml:space="preserve">Doomberg (energy, financial-system stress)</w:t>
      </w:r>
    </w:p>
    <w:p>
      <w:pPr>
        <w:pStyle w:val="ListParagraph"/>
        <w:numPr>
          <w:ilvl w:val="0"/>
          <w:numId w:val="2"/>
        </w:numPr>
        <w:spacing w:after="80"/>
      </w:pPr>
      <w:r>
        <w:t xml:space="preserve">Yves Smith, Naked Capitalism (post-2008 financial system, NBFI exposure)</w:t>
      </w:r>
    </w:p>
    <w:p>
      <w:pPr>
        <w:pStyle w:val="ListParagraph"/>
        <w:numPr>
          <w:ilvl w:val="0"/>
          <w:numId w:val="2"/>
        </w:numPr>
        <w:spacing w:after="80"/>
      </w:pPr>
      <w:r>
        <w:t xml:space="preserve">Mike Green, Yes I Give A Fig (passive flows, market structure)</w:t>
      </w:r>
    </w:p>
    <w:p>
      <w:pPr>
        <w:pStyle w:val="ListParagraph"/>
        <w:numPr>
          <w:ilvl w:val="0"/>
          <w:numId w:val="2"/>
        </w:numPr>
        <w:spacing w:after="80"/>
      </w:pPr>
      <w:r>
        <w:t xml:space="preserve">Lyn Alden, Lyn Alden Investment Strategy (macroeconomic and monetary analysis)</w:t>
      </w:r>
    </w:p>
    <w:p>
      <w:pPr>
        <w:pStyle w:val="ListParagraph"/>
        <w:numPr>
          <w:ilvl w:val="0"/>
          <w:numId w:val="2"/>
        </w:numPr>
        <w:spacing w:after="80"/>
      </w:pPr>
      <w:r>
        <w:t xml:space="preserve">Michael Burry, Cassandra Unchained (AI-bubble thesis, GSE long thesis)</w:t>
      </w:r>
    </w:p>
    <w:p>
      <w:pPr>
        <w:pStyle w:val="ListParagraph"/>
        <w:numPr>
          <w:ilvl w:val="0"/>
          <w:numId w:val="2"/>
        </w:numPr>
        <w:spacing w:after="80"/>
      </w:pPr>
      <w:r>
        <w:t xml:space="preserve">Noah Smith, Noahpinion (mainstream economic analysis with AI-circular-deals coverage)</w:t>
      </w:r>
    </w:p>
    <w:p>
      <w:pPr>
        <w:pStyle w:val="Heading2"/>
        <w:spacing w:after="160" w:before="280"/>
      </w:pPr>
      <w:r>
        <w:t xml:space="preserve">Stream Two: Technocratic-class map</w:t>
      </w:r>
    </w:p>
    <w:p>
      <w:pPr>
        <w:pStyle w:val="Heading3"/>
        <w:spacing w:after="120" w:before="200"/>
      </w:pPr>
      <w:r>
        <w:t xml:space="preserve">Primary sources, the class's own writing</w:t>
      </w:r>
    </w:p>
    <w:p>
      <w:pPr>
        <w:pStyle w:val="ListParagraph"/>
        <w:numPr>
          <w:ilvl w:val="0"/>
          <w:numId w:val="2"/>
        </w:numPr>
        <w:spacing w:after="80"/>
      </w:pPr>
      <w:r>
        <w:t xml:space="preserve">Marc Andreessen, “The Techno-Optimist Manifesto” and earlier essays</w:t>
      </w:r>
    </w:p>
    <w:p>
      <w:pPr>
        <w:pStyle w:val="ListParagraph"/>
        <w:numPr>
          <w:ilvl w:val="0"/>
          <w:numId w:val="2"/>
        </w:numPr>
        <w:spacing w:after="80"/>
      </w:pPr>
      <w:r>
        <w:t xml:space="preserve">Peter Thiel, Zero to One (2014); his various essays on stagnation; the Hoover Institution lectures</w:t>
      </w:r>
    </w:p>
    <w:p>
      <w:pPr>
        <w:pStyle w:val="ListParagraph"/>
        <w:numPr>
          <w:ilvl w:val="0"/>
          <w:numId w:val="2"/>
        </w:numPr>
        <w:spacing w:after="80"/>
      </w:pPr>
      <w:r>
        <w:t xml:space="preserve">Sam Altman, the Moore's Law for Everything essay; OpenAI's policy papers including the April 2026 Industrial Policy for the Intelligence Age</w:t>
      </w:r>
    </w:p>
    <w:p>
      <w:pPr>
        <w:pStyle w:val="ListParagraph"/>
        <w:numPr>
          <w:ilvl w:val="0"/>
          <w:numId w:val="2"/>
        </w:numPr>
        <w:spacing w:after="80"/>
      </w:pPr>
      <w:r>
        <w:t xml:space="preserve">Dario Amodei, “Machines of Loving Grace” (October 2024)</w:t>
      </w:r>
    </w:p>
    <w:p>
      <w:pPr>
        <w:pStyle w:val="ListParagraph"/>
        <w:numPr>
          <w:ilvl w:val="0"/>
          <w:numId w:val="2"/>
        </w:numPr>
        <w:spacing w:after="80"/>
      </w:pPr>
      <w:r>
        <w:t xml:space="preserve">Curtis Yarvin (Mencius Moldbug), Gray Mirror Substack and earlier blog Unqualified Reservations</w:t>
      </w:r>
    </w:p>
    <w:p>
      <w:pPr>
        <w:pStyle w:val="ListParagraph"/>
        <w:numPr>
          <w:ilvl w:val="0"/>
          <w:numId w:val="2"/>
        </w:numPr>
        <w:spacing w:after="80"/>
      </w:pPr>
      <w:r>
        <w:t xml:space="preserve">Elon Musk's X/Twitter archive and All-In podcast appearances</w:t>
      </w:r>
    </w:p>
    <w:p>
      <w:pPr>
        <w:pStyle w:val="ListParagraph"/>
        <w:numPr>
          <w:ilvl w:val="0"/>
          <w:numId w:val="2"/>
        </w:numPr>
        <w:spacing w:after="80"/>
      </w:pPr>
      <w:r>
        <w:t xml:space="preserve">Larry Fink, BlackRock annual letters to CEOs</w:t>
      </w:r>
    </w:p>
    <w:p>
      <w:pPr>
        <w:pStyle w:val="ListParagraph"/>
        <w:numPr>
          <w:ilvl w:val="0"/>
          <w:numId w:val="2"/>
        </w:numPr>
        <w:spacing w:after="80"/>
      </w:pPr>
      <w:r>
        <w:t xml:space="preserve">Stephen Schwarzman, What It Takes (2019) and his various Council on Foreign Relations speeches</w:t>
      </w:r>
    </w:p>
    <w:p>
      <w:pPr>
        <w:pStyle w:val="Heading3"/>
        <w:spacing w:after="120" w:before="200"/>
      </w:pPr>
      <w:r>
        <w:t xml:space="preserve">Critical and analytical sources</w:t>
      </w:r>
    </w:p>
    <w:p>
      <w:pPr>
        <w:pStyle w:val="ListParagraph"/>
        <w:numPr>
          <w:ilvl w:val="0"/>
          <w:numId w:val="2"/>
        </w:numPr>
        <w:spacing w:after="80"/>
      </w:pPr>
      <w:r>
        <w:t xml:space="preserve">Quinn Slobodian, Crack-Up Capitalism (2023)</w:t>
      </w:r>
    </w:p>
    <w:p>
      <w:pPr>
        <w:pStyle w:val="ListParagraph"/>
        <w:numPr>
          <w:ilvl w:val="0"/>
          <w:numId w:val="2"/>
        </w:numPr>
        <w:spacing w:after="80"/>
      </w:pPr>
      <w:r>
        <w:t xml:space="preserve">Wendy Brown, In the Ruins of Neoliberalism (2019) and her later work</w:t>
      </w:r>
    </w:p>
    <w:p>
      <w:pPr>
        <w:pStyle w:val="ListParagraph"/>
        <w:numPr>
          <w:ilvl w:val="0"/>
          <w:numId w:val="2"/>
        </w:numPr>
        <w:spacing w:after="80"/>
      </w:pPr>
      <w:r>
        <w:t xml:space="preserve">Max Chafkin, The Contrarian (2021), the Thiel biography</w:t>
      </w:r>
    </w:p>
    <w:p>
      <w:pPr>
        <w:pStyle w:val="ListParagraph"/>
        <w:numPr>
          <w:ilvl w:val="0"/>
          <w:numId w:val="2"/>
        </w:numPr>
        <w:spacing w:after="80"/>
      </w:pPr>
      <w:r>
        <w:t xml:space="preserve">Patrick Deneen, Why Liberalism Failed (2018) and Regime Change (2023) for the conservative critique from outside the technocratic class</w:t>
      </w:r>
    </w:p>
    <w:p>
      <w:pPr>
        <w:pStyle w:val="ListParagraph"/>
        <w:numPr>
          <w:ilvl w:val="0"/>
          <w:numId w:val="2"/>
        </w:numPr>
        <w:spacing w:after="80"/>
      </w:pPr>
      <w:r>
        <w:t xml:space="preserve">Christopher Lasch, The Revolt of the Elites (1994); foundational for understanding the contemporary class as a recurrence of older patterns</w:t>
      </w:r>
    </w:p>
    <w:p>
      <w:pPr>
        <w:pStyle w:val="ListParagraph"/>
        <w:numPr>
          <w:ilvl w:val="0"/>
          <w:numId w:val="2"/>
        </w:numPr>
        <w:spacing w:after="80"/>
      </w:pPr>
      <w:r>
        <w:t xml:space="preserve">Wolfgang Streeck, How Will Capitalism End? (2016)</w:t>
      </w:r>
    </w:p>
    <w:p>
      <w:pPr>
        <w:pStyle w:val="ListParagraph"/>
        <w:numPr>
          <w:ilvl w:val="0"/>
          <w:numId w:val="2"/>
        </w:numPr>
        <w:spacing w:after="80"/>
      </w:pPr>
      <w:r>
        <w:t xml:space="preserve">Anna Wiener's New Yorker essays on tech-industry culture</w:t>
      </w:r>
    </w:p>
    <w:p>
      <w:pPr>
        <w:pStyle w:val="ListParagraph"/>
        <w:numPr>
          <w:ilvl w:val="0"/>
          <w:numId w:val="2"/>
        </w:numPr>
        <w:spacing w:after="80"/>
      </w:pPr>
      <w:r>
        <w:t xml:space="preserve">Mike Solana, Pirate Wires (the network's self-presentation in newsletter form)</w:t>
      </w:r>
    </w:p>
    <w:p>
      <w:pPr>
        <w:pStyle w:val="Heading2"/>
        <w:spacing w:after="160" w:before="280"/>
      </w:pPr>
      <w:r>
        <w:t xml:space="preserve">Stream Three: Civilizational-literary foundation</w:t>
      </w:r>
    </w:p>
    <w:p>
      <w:pPr>
        <w:pStyle w:val="Heading3"/>
        <w:spacing w:after="120" w:before="200"/>
      </w:pPr>
      <w:r>
        <w:t xml:space="preserve">Methodological texts (read first)</w:t>
      </w:r>
    </w:p>
    <w:p>
      <w:pPr>
        <w:pStyle w:val="ListParagraph"/>
        <w:numPr>
          <w:ilvl w:val="0"/>
          <w:numId w:val="2"/>
        </w:numPr>
        <w:spacing w:after="80"/>
      </w:pPr>
      <w:r>
        <w:t xml:space="preserve">Joseph Tainter, The Collapse of Complex Societies (1988); the operational definition of collapse</w:t>
      </w:r>
    </w:p>
    <w:p>
      <w:pPr>
        <w:pStyle w:val="ListParagraph"/>
        <w:numPr>
          <w:ilvl w:val="0"/>
          <w:numId w:val="2"/>
        </w:numPr>
        <w:spacing w:after="80"/>
      </w:pPr>
      <w:r>
        <w:t xml:space="preserve">Eric Cline, 1177 B.C.: The Year Civilization Collapsed (2014); the Late Bronze Age case study, methodologically tight</w:t>
      </w:r>
    </w:p>
    <w:p>
      <w:pPr>
        <w:pStyle w:val="ListParagraph"/>
        <w:numPr>
          <w:ilvl w:val="0"/>
          <w:numId w:val="2"/>
        </w:numPr>
        <w:spacing w:after="80"/>
      </w:pPr>
      <w:r>
        <w:t xml:space="preserve">Peter Turchin, End Times (2023) and Secular Cycles (2009 with Sergey Nefedov); the structural-demographic theory</w:t>
      </w:r>
    </w:p>
    <w:p>
      <w:pPr>
        <w:pStyle w:val="ListParagraph"/>
        <w:numPr>
          <w:ilvl w:val="0"/>
          <w:numId w:val="2"/>
        </w:numPr>
        <w:spacing w:after="80"/>
      </w:pPr>
      <w:r>
        <w:t xml:space="preserve">Jared Diamond, Collapse (2005); the broad comparative survey, useful as a contrast to more disciplined approaches</w:t>
      </w:r>
    </w:p>
    <w:p>
      <w:pPr>
        <w:pStyle w:val="ListParagraph"/>
        <w:numPr>
          <w:ilvl w:val="0"/>
          <w:numId w:val="2"/>
        </w:numPr>
        <w:spacing w:after="80"/>
      </w:pPr>
      <w:r>
        <w:t xml:space="preserve">Lawrence Freedman, Strategy: A History (2013); for the literary-strategic method this project draws on</w:t>
      </w:r>
    </w:p>
    <w:p>
      <w:pPr>
        <w:pStyle w:val="ListParagraph"/>
        <w:numPr>
          <w:ilvl w:val="0"/>
          <w:numId w:val="2"/>
        </w:numPr>
        <w:spacing w:after="80"/>
      </w:pPr>
      <w:r>
        <w:t xml:space="preserve">Carlo Rovelli, Helgoland (2020) and the forthcoming Anaximander work; for thinking about how systems reorganize without collapsing</w:t>
      </w:r>
    </w:p>
    <w:p>
      <w:pPr>
        <w:pStyle w:val="Heading3"/>
        <w:spacing w:after="120" w:before="200"/>
      </w:pPr>
      <w:r>
        <w:t xml:space="preserve">Historical collapse cases, primary literary materials</w:t>
      </w:r>
    </w:p>
    <w:p>
      <w:pPr>
        <w:spacing w:after="120"/>
      </w:pPr>
      <w:r>
        <w:rPr>
          <w:b/>
          <w:bCs/>
        </w:rPr>
        <w:t xml:space="preserve">Late Bronze Age (c. 1177 BCE): </w:t>
      </w:r>
      <w:r>
        <w:t xml:space="preserve">Ugarit tablets (especially RS 88.2009, RS 18.147), the Egyptian inscriptions at Medinet Habu (Ramesses III's account of the Sea Peoples), the Hittite correspondence preserved at Hattusa, and the Mycenaean Linear B fragments.</w:t>
      </w:r>
    </w:p>
    <w:p>
      <w:pPr>
        <w:spacing w:after="120"/>
      </w:pPr>
      <w:r>
        <w:rPr>
          <w:b/>
          <w:bCs/>
        </w:rPr>
        <w:t xml:space="preserve">Western Roman collapse (5th century): </w:t>
      </w:r>
      <w:r>
        <w:t xml:space="preserve">Augustine, City of God (begun 413 CE in response to the sack of Rome); Salvian of Marseille, On the Government of God (mid-5th century); Sidonius Apollinaris, the letters; Orosius, Seven Books of History Against the Pagans; the Notitia Dignitatum.</w:t>
      </w:r>
    </w:p>
    <w:p>
      <w:pPr>
        <w:spacing w:after="120"/>
      </w:pPr>
      <w:r>
        <w:rPr>
          <w:b/>
          <w:bCs/>
        </w:rPr>
        <w:t xml:space="preserve">Tang dynasty late period (8th-9th centuries): </w:t>
      </w:r>
      <w:r>
        <w:t xml:space="preserve">The poetry of Du Fu (especially the An Lushan rebellion poems), Bai Juyi, Li Shangyin; the Tongdian (an institutional history compiled in the late 8th century); Han Yu's prose.</w:t>
      </w:r>
    </w:p>
    <w:p>
      <w:pPr>
        <w:spacing w:after="120"/>
      </w:pPr>
      <w:r>
        <w:rPr>
          <w:b/>
          <w:bCs/>
        </w:rPr>
        <w:t xml:space="preserve">Khmer collapse (15th century): </w:t>
      </w:r>
      <w:r>
        <w:t xml:space="preserve">Inscriptions at Angkor; the Cambodian Royal Chronicles (later compilations of earlier traditions); Zhou Daguan's Customs of Cambodia (Chinese diplomatic account from 1296).</w:t>
      </w:r>
    </w:p>
    <w:p>
      <w:pPr>
        <w:spacing w:after="120"/>
      </w:pPr>
      <w:r>
        <w:rPr>
          <w:b/>
          <w:bCs/>
        </w:rPr>
        <w:t xml:space="preserve">Late Habsburg collapse (1914-1918): </w:t>
      </w:r>
      <w:r>
        <w:t xml:space="preserve">Joseph Roth, The Radetzky March (1932) and The Emperor's Tomb (1938); Stefan Zweig, The World of Yesterday (1942); Robert Musil, The Man Without Qualities (1930-43); Karl Kraus, The Last Days of Mankind (1922).</w:t>
      </w:r>
    </w:p>
    <w:p>
      <w:pPr>
        <w:spacing w:after="120"/>
      </w:pPr>
      <w:r>
        <w:rPr>
          <w:b/>
          <w:bCs/>
        </w:rPr>
        <w:t xml:space="preserve">Late Romanov / Russian Revolution (1905-1917): </w:t>
      </w:r>
      <w:r>
        <w:t xml:space="preserve">Tolstoy's late religious writing; Dostoevsky's Demons (1872) and The Brothers Karamazov (1880); Andrei Bely's Petersburg (1916); Alexander Blok's The Twelve (1918).</w:t>
      </w:r>
    </w:p>
    <w:p>
      <w:pPr>
        <w:spacing w:after="120"/>
      </w:pPr>
      <w:r>
        <w:rPr>
          <w:b/>
          <w:bCs/>
        </w:rPr>
        <w:t xml:space="preserve">Soviet collapse (1985-1991): </w:t>
      </w:r>
      <w:r>
        <w:t xml:space="preserve">Vasily Grossman, Life and Fate (written 1959, published 1980); the late Brezhnev-era and glasnost-era writers (Solzhenitsyn, Voinovich, Aksyonov); Svetlana Alexievich's oral histories.</w:t>
      </w:r>
    </w:p>
    <w:p>
      <w:pPr>
        <w:spacing w:after="120"/>
      </w:pPr>
      <w:r>
        <w:rPr>
          <w:b/>
          <w:bCs/>
        </w:rPr>
        <w:t xml:space="preserve">Near-collapse cases (control group): </w:t>
      </w:r>
      <w:r>
        <w:t xml:space="preserve">United States in the 1930s (literature: Steinbeck, Faulkner, Hemingway; non-fiction: James Agee's Let Us Now Praise Famous Men); Britain in 1976 (literature: Larkin, Amis, the early Ian McEwan; the Callaghan-era memoirs); South Korea in 1997-1998 (literature: Hwang Sok-yong, Shin Kyung-sook; the IMF-period economic histories).</w:t>
      </w:r>
    </w:p>
    <w:p>
      <w:pPr>
        <w:pStyle w:val="Heading2"/>
        <w:spacing w:after="160" w:before="280"/>
      </w:pPr>
      <w:r>
        <w:t xml:space="preserve">Stream Four: Modern poetic and philosophical register</w:t>
      </w:r>
    </w:p>
    <w:p>
      <w:pPr>
        <w:spacing w:after="120"/>
        <w:jc w:val="left"/>
      </w:pPr>
      <w:r>
        <w:t xml:space="preserve">Jeff has named these as the foundation. They run continuously and are deployed as needed. The list is not exhaustive; it captures what is operative now.</w:t>
      </w:r>
    </w:p>
    <w:p>
      <w:pPr>
        <w:pStyle w:val="ListParagraph"/>
        <w:numPr>
          <w:ilvl w:val="0"/>
          <w:numId w:val="2"/>
        </w:numPr>
        <w:spacing w:after="80"/>
      </w:pPr>
      <w:r>
        <w:rPr>
          <w:b/>
          <w:bCs/>
        </w:rPr>
        <w:t xml:space="preserve">Modernist poetry: </w:t>
      </w:r>
      <w:r>
        <w:t xml:space="preserve">T.S. Eliot, especially “The Waste Land,” “The Hollow Men,” “Four Quartets.” Ezra Pound, Cantos (the Pisan Cantos especially). W.B. Yeats, “The Second Coming,” “Meditations in Time of Civil War,” “Sailing to Byzantium.” W.H. Auden, “September 1, 1939,” “The Shield of Achilles,” “Musée des Beaux Arts.” Wallace Stevens, the late poems.</w:t>
      </w:r>
    </w:p>
    <w:p>
      <w:pPr>
        <w:pStyle w:val="ListParagraph"/>
        <w:numPr>
          <w:ilvl w:val="0"/>
          <w:numId w:val="2"/>
        </w:numPr>
        <w:spacing w:after="80"/>
      </w:pPr>
      <w:r>
        <w:rPr>
          <w:b/>
          <w:bCs/>
        </w:rPr>
        <w:t xml:space="preserve">First World War poets: </w:t>
      </w:r>
      <w:r>
        <w:t xml:space="preserve">Wilfred Owen, Isaac Rosenberg, Edward Thomas, Charles Sorley. The painter Henri Gaudier-Brzeska and the German Expressionists Franz Marc and August Macke (visual artists in the same loss).</w:t>
      </w:r>
    </w:p>
    <w:p>
      <w:pPr>
        <w:pStyle w:val="ListParagraph"/>
        <w:numPr>
          <w:ilvl w:val="0"/>
          <w:numId w:val="2"/>
        </w:numPr>
        <w:spacing w:after="80"/>
      </w:pPr>
      <w:r>
        <w:rPr>
          <w:b/>
          <w:bCs/>
        </w:rPr>
        <w:t xml:space="preserve">Mid-century American: </w:t>
      </w:r>
      <w:r>
        <w:t xml:space="preserve">Kurt Vonnegut, especially Slaughterhouse-Five, Cat's Cradle, and Player Piano. Isaac Asimov, the Foundation series and the robot stories. Robert Heinlein, The Moon Is a Harsh Mistress and Stranger in a Strange Land.</w:t>
      </w:r>
    </w:p>
    <w:p>
      <w:pPr>
        <w:pStyle w:val="ListParagraph"/>
        <w:numPr>
          <w:ilvl w:val="0"/>
          <w:numId w:val="2"/>
        </w:numPr>
        <w:spacing w:after="80"/>
      </w:pPr>
      <w:r>
        <w:rPr>
          <w:b/>
          <w:bCs/>
        </w:rPr>
        <w:t xml:space="preserve">Philosophy: </w:t>
      </w:r>
      <w:r>
        <w:t xml:space="preserve">Albert Camus, The Myth of Sisyphus (1942), The Plague (1947), The Rebel (1951). Carl Jung, Synchronicity: An Acausal Connecting Principle (1952). The Slavoj Žižek-Carlo Rovelli exchange on Kierkegaard and quantum mechanics.</w:t>
      </w:r>
    </w:p>
    <w:p>
      <w:pPr>
        <w:pStyle w:val="ListParagraph"/>
        <w:numPr>
          <w:ilvl w:val="0"/>
          <w:numId w:val="2"/>
        </w:numPr>
        <w:spacing w:after="80"/>
      </w:pPr>
      <w:r>
        <w:rPr>
          <w:b/>
          <w:bCs/>
        </w:rPr>
        <w:t xml:space="preserve">Visual art: </w:t>
      </w:r>
      <w:r>
        <w:t xml:space="preserve">René Magritte, especially the work that destabilizes the relationship between image and meaning. The artists killed in the First World War.</w:t>
      </w:r>
    </w:p>
    <w:p>
      <w:pPr>
        <w:pStyle w:val="ListParagraph"/>
        <w:numPr>
          <w:ilvl w:val="0"/>
          <w:numId w:val="2"/>
        </w:numPr>
        <w:spacing w:after="80"/>
      </w:pPr>
      <w:r>
        <w:rPr>
          <w:b/>
          <w:bCs/>
        </w:rPr>
        <w:t xml:space="preserve">Physics for structural metaphor: </w:t>
      </w:r>
      <w:r>
        <w:t xml:space="preserve">Leonard Susskind's lecture series, especially the holographic-principle and black-hole-information material. Useful for thinking about how information survives reorganization.</w:t>
      </w:r>
    </w:p>
    <w:p>
      <w:pPr>
        <w:pBdr>
          <w:bottom w:val="single" w:color="999999" w:sz="6" w:space="4"/>
        </w:pBdr>
        <w:spacing w:after="240" w:before="240"/>
      </w:pPr>
      <w:r>
        <w:t xml:space="preserve"/>
      </w:r>
    </w:p>
    <w:p>
      <w:pPr>
        <w:pStyle w:val="Heading1"/>
        <w:spacing w:after="200" w:before="360"/>
      </w:pPr>
      <w:r>
        <w:t xml:space="preserve">Research questions</w:t>
      </w:r>
    </w:p>
    <w:p>
      <w:pPr>
        <w:spacing w:after="120"/>
        <w:jc w:val="left"/>
      </w:pPr>
      <w:r>
        <w:t xml:space="preserve">These are answerable questions that can be assigned to specific tools and that produce findings the project can use. They are organized by stream. Each question should produce a structured answer with sources cited.</w:t>
      </w:r>
    </w:p>
    <w:p>
      <w:pPr>
        <w:pStyle w:val="Heading2"/>
        <w:spacing w:after="160" w:before="280"/>
      </w:pPr>
      <w:r>
        <w:t xml:space="preserve">Stream One questions</w:t>
      </w:r>
    </w:p>
    <w:p>
      <w:pPr>
        <w:pStyle w:val="ListParagraph"/>
        <w:numPr>
          <w:ilvl w:val="0"/>
          <w:numId w:val="3"/>
        </w:numPr>
        <w:spacing w:after="80"/>
      </w:pPr>
      <w:r>
        <w:t xml:space="preserve">What is the total dollar value of cross-commitments in the AI circular-investment web as of the most recent quarter? Specifically: who has committed how much to whom, in what form (equity, cloud spend, chip purchase), and over what timeline? Build the matrix.</w:t>
      </w:r>
    </w:p>
    <w:p>
      <w:pPr>
        <w:pStyle w:val="ListParagraph"/>
        <w:numPr>
          <w:ilvl w:val="0"/>
          <w:numId w:val="3"/>
        </w:numPr>
        <w:spacing w:after="80"/>
      </w:pPr>
      <w:r>
        <w:t xml:space="preserve">Which public companies have issued debt specifically to fund AI infrastructure expenditure? What is the total outstanding balance, what are the maturity dates, and what is the credit-rating distribution? Oracle is the most exposed; quantify the others.</w:t>
      </w:r>
    </w:p>
    <w:p>
      <w:pPr>
        <w:pStyle w:val="ListParagraph"/>
        <w:numPr>
          <w:ilvl w:val="0"/>
          <w:numId w:val="3"/>
        </w:numPr>
        <w:spacing w:after="80"/>
      </w:pPr>
      <w:r>
        <w:t xml:space="preserve">What is the chip-collateralized debt market's total outstanding balance? Who are the major lenders? What is the loan-to-value methodology, and how have GPU collateral values been marked through the most recent reporting period?</w:t>
      </w:r>
    </w:p>
    <w:p>
      <w:pPr>
        <w:pStyle w:val="ListParagraph"/>
        <w:numPr>
          <w:ilvl w:val="0"/>
          <w:numId w:val="3"/>
        </w:numPr>
        <w:spacing w:after="80"/>
      </w:pPr>
      <w:r>
        <w:t xml:space="preserve">Of the $875 billion to $1.8 trillion in CRE loans maturing in 2026, what is the breakdown by property type (office, multifamily, industrial, retail, hospitality), by lender type (banks, CMBS, life insurers, debt funds), and by region? Which categories face the largest refinancing gaps?</w:t>
      </w:r>
    </w:p>
    <w:p>
      <w:pPr>
        <w:pStyle w:val="ListParagraph"/>
        <w:numPr>
          <w:ilvl w:val="0"/>
          <w:numId w:val="3"/>
        </w:numPr>
        <w:spacing w:after="80"/>
      </w:pPr>
      <w:r>
        <w:t xml:space="preserve">Which private-equity firms have the largest combined exposure to AI infrastructure and CRE? Build a ranking based on the most recent disclosed AUM allocations.</w:t>
      </w:r>
    </w:p>
    <w:p>
      <w:pPr>
        <w:pStyle w:val="ListParagraph"/>
        <w:numPr>
          <w:ilvl w:val="0"/>
          <w:numId w:val="3"/>
        </w:numPr>
        <w:spacing w:after="80"/>
      </w:pPr>
      <w:r>
        <w:t xml:space="preserve">What is the IMF GFSR April 2026 edition's most current treatment of NBFI exposure to commercial real estate and AI infrastructure? How does its language differ from earlier editions, and what does the change indicate about official-sector concern?</w:t>
      </w:r>
    </w:p>
    <w:p>
      <w:pPr>
        <w:pStyle w:val="ListParagraph"/>
        <w:numPr>
          <w:ilvl w:val="0"/>
          <w:numId w:val="3"/>
        </w:numPr>
        <w:spacing w:after="80"/>
      </w:pPr>
      <w:r>
        <w:t xml:space="preserve">Which Chinese AI labs are closest to producing a DeepSeek-R1-magnitude capability event? What are their current public capability claims, their compute access, their revenue or funding situations? When was the last meaningful capability release from each?</w:t>
      </w:r>
    </w:p>
    <w:p>
      <w:pPr>
        <w:pStyle w:val="Heading2"/>
        <w:spacing w:after="160" w:before="280"/>
      </w:pPr>
      <w:r>
        <w:t xml:space="preserve">Stream Two questions</w:t>
      </w:r>
    </w:p>
    <w:p>
      <w:pPr>
        <w:pStyle w:val="ListParagraph"/>
        <w:numPr>
          <w:ilvl w:val="0"/>
          <w:numId w:val="3"/>
        </w:numPr>
        <w:spacing w:after="80"/>
      </w:pPr>
      <w:r>
        <w:t xml:space="preserve">Map the political donation flows from each of the four sub-groups for the 2024 cycle and the most recent disclosed 2025-2026 quarter. Where is money concentrated, and how does it differ across the sub-groups?</w:t>
      </w:r>
    </w:p>
    <w:p>
      <w:pPr>
        <w:pStyle w:val="ListParagraph"/>
        <w:numPr>
          <w:ilvl w:val="0"/>
          <w:numId w:val="3"/>
        </w:numPr>
        <w:spacing w:after="80"/>
      </w:pPr>
      <w:r>
        <w:t xml:space="preserve">Identify every revolving-door movement between the technocratic-class principals and senior government positions (Treasury, Commerce, Defense, NSC, OMB, the Fed, the SEC, the FTC) in the past five years. Who has gone in which direction, and what was the immediate antecedent and consequent role?</w:t>
      </w:r>
    </w:p>
    <w:p>
      <w:pPr>
        <w:pStyle w:val="ListParagraph"/>
        <w:numPr>
          <w:ilvl w:val="0"/>
          <w:numId w:val="3"/>
        </w:numPr>
        <w:spacing w:after="80"/>
      </w:pPr>
      <w:r>
        <w:t xml:space="preserve">What is Curtis Yarvin's documented direct contact with sitting members of the executive branch and Congress? Distinguish between rumor and verifiable contact (publicized meetings, podcast co-appearances, citable communications).</w:t>
      </w:r>
    </w:p>
    <w:p>
      <w:pPr>
        <w:pStyle w:val="ListParagraph"/>
        <w:numPr>
          <w:ilvl w:val="0"/>
          <w:numId w:val="3"/>
        </w:numPr>
        <w:spacing w:after="80"/>
      </w:pPr>
      <w:r>
        <w:t xml:space="preserve">What does the All-In podcast roster (Chamath Palihapitiya, David Sacks, David Friedberg, Jason Calacanis) consistently advocate, and how have those positions evolved across the show's run? Sacks's appointment as AI and Crypto Czar makes this question consequential.</w:t>
      </w:r>
    </w:p>
    <w:p>
      <w:pPr>
        <w:pStyle w:val="ListParagraph"/>
        <w:numPr>
          <w:ilvl w:val="0"/>
          <w:numId w:val="3"/>
        </w:numPr>
        <w:spacing w:after="80"/>
      </w:pPr>
      <w:r>
        <w:t xml:space="preserve">What are Larry Fink's annual letters to CEOs from the past five years explicitly arguing about the role of capital allocation in shaping social outcomes? How has the language shifted, and what has the audience reaction been within the asset-management industry?</w:t>
      </w:r>
    </w:p>
    <w:p>
      <w:pPr>
        <w:pStyle w:val="ListParagraph"/>
        <w:numPr>
          <w:ilvl w:val="0"/>
          <w:numId w:val="3"/>
        </w:numPr>
        <w:spacing w:after="80"/>
      </w:pPr>
      <w:r>
        <w:t xml:space="preserve">Which Stanford Institute for Economic Policy Research, Hoover Institution, Manhattan Institute, AEI, Heritage, Brookings, and similar think-tank fellows are functioning as ideological infrastructure for the four sub-groups? Map the institutional connections.</w:t>
      </w:r>
    </w:p>
    <w:p>
      <w:pPr>
        <w:pStyle w:val="ListParagraph"/>
        <w:numPr>
          <w:ilvl w:val="0"/>
          <w:numId w:val="3"/>
        </w:numPr>
        <w:spacing w:after="80"/>
      </w:pPr>
      <w:r>
        <w:t xml:space="preserve">How does the Chinese state-and-capital relationship differ structurally from the American one? Specifically, what are the institutional mechanisms that allow the Chinese state to discipline private capital in ways the American state cannot, and what are the limits of those mechanisms?</w:t>
      </w:r>
    </w:p>
    <w:p>
      <w:pPr>
        <w:pStyle w:val="Heading2"/>
        <w:spacing w:after="160" w:before="280"/>
      </w:pPr>
      <w:r>
        <w:t xml:space="preserve">Stream Three questions</w:t>
      </w:r>
    </w:p>
    <w:p>
      <w:pPr>
        <w:pStyle w:val="ListParagraph"/>
        <w:numPr>
          <w:ilvl w:val="0"/>
          <w:numId w:val="3"/>
        </w:numPr>
        <w:spacing w:after="80"/>
      </w:pPr>
      <w:r>
        <w:t xml:space="preserve">For each historical collapse case, what is the operational definition of “onset”? When does the collapse begin? Different scholars place the Late Bronze Age collapse start as early as 1250 BCE or as late as 1177 BCE. The book needs a defensible methodology for dating the start of each case.</w:t>
      </w:r>
    </w:p>
    <w:p>
      <w:pPr>
        <w:pStyle w:val="ListParagraph"/>
        <w:numPr>
          <w:ilvl w:val="0"/>
          <w:numId w:val="3"/>
        </w:numPr>
        <w:spacing w:after="80"/>
      </w:pPr>
      <w:r>
        <w:t xml:space="preserve">What are the quantifiable variables that can be tracked across the case dataset? Candidates include: elite turnover rates, debt-to-GDP ratios, military expenditure as percentage of GDP, agricultural productivity, urbanization rates, energy throughput, communication tempo (a proxy for what we might call “system clock speed”). Where is the data available, and where is it irretrievable?</w:t>
      </w:r>
    </w:p>
    <w:p>
      <w:pPr>
        <w:pStyle w:val="ListParagraph"/>
        <w:numPr>
          <w:ilvl w:val="0"/>
          <w:numId w:val="3"/>
        </w:numPr>
        <w:spacing w:after="80"/>
      </w:pPr>
      <w:r>
        <w:t xml:space="preserve">For each collapse case, what is the late-period literary corpus, and what does that corpus reveal about how the participants understood their own condition? This is the literary-method question. The output should be both a description of the corpus and an analytical reading of what it shows.</w:t>
      </w:r>
    </w:p>
    <w:p>
      <w:pPr>
        <w:pStyle w:val="ListParagraph"/>
        <w:numPr>
          <w:ilvl w:val="0"/>
          <w:numId w:val="3"/>
        </w:numPr>
        <w:spacing w:after="80"/>
      </w:pPr>
      <w:r>
        <w:t xml:space="preserve">Which historical near-collapses recovered, and what distinguished them structurally from the cases that proceeded to full collapse? The 1976 UK IMF crisis, the 1997-98 South Korean crisis, the 2010-13 Eurozone crisis, the 1932-33 US banking crisis, the various Eastern Roman near-collapses across a millennium.</w:t>
      </w:r>
    </w:p>
    <w:p>
      <w:pPr>
        <w:pStyle w:val="ListParagraph"/>
        <w:numPr>
          <w:ilvl w:val="0"/>
          <w:numId w:val="3"/>
        </w:numPr>
        <w:spacing w:after="80"/>
      </w:pPr>
      <w:r>
        <w:t xml:space="preserve">How did each civilization's foundational stories function during its late period? Were they being abandoned, weaponized, or sustained? Are there patterns in the relationship between narrative coherence and structural outcome?</w:t>
      </w:r>
    </w:p>
    <w:p>
      <w:pPr>
        <w:pStyle w:val="ListParagraph"/>
        <w:numPr>
          <w:ilvl w:val="0"/>
          <w:numId w:val="3"/>
        </w:numPr>
        <w:spacing w:after="80"/>
      </w:pPr>
      <w:r>
        <w:t xml:space="preserve">Which contemporary indicators map most closely onto the indicators that the historical record suggests are signature-bearing? This is the bridge from Stream Three back to Streams One and Two.</w:t>
      </w:r>
    </w:p>
    <w:p>
      <w:pPr>
        <w:pStyle w:val="Heading2"/>
        <w:spacing w:after="160" w:before="280"/>
      </w:pPr>
      <w:r>
        <w:t xml:space="preserve">Stream Four questions</w:t>
      </w:r>
    </w:p>
    <w:p>
      <w:pPr>
        <w:spacing w:after="120"/>
        <w:jc w:val="left"/>
      </w:pPr>
      <w:r>
        <w:t xml:space="preserve">Stream Four does not generate research questions in the same way; it generates writing prompts and editorial decisions. The question to ask continuously is: where in the current writing would a literary, philosophical, or artistic reference do analytical work that the prose alone cannot do? Track the candidates as they appear; deploy them when the dispatch or chapter calls for them.</w:t>
      </w:r>
    </w:p>
    <w:p>
      <w:pPr>
        <w:pBdr>
          <w:bottom w:val="single" w:color="999999" w:sz="6" w:space="4"/>
        </w:pBdr>
        <w:spacing w:after="240" w:before="240"/>
      </w:pPr>
      <w:r>
        <w:t xml:space="preserve"/>
      </w:r>
    </w:p>
    <w:p>
      <w:pPr>
        <w:pStyle w:val="Heading1"/>
        <w:spacing w:after="200" w:before="360"/>
      </w:pPr>
      <w:r>
        <w:t xml:space="preserve">Cultural-frame catalogue</w:t>
      </w:r>
    </w:p>
    <w:p>
      <w:pPr>
        <w:spacing w:after="120"/>
        <w:jc w:val="left"/>
      </w:pPr>
      <w:r>
        <w:t xml:space="preserve">Organized by the kind of analytical work each frame is suited for. Use this as a reference when a piece of writing calls for compression that prose alone cannot achieve. Always ask: does this reference do load-bearing work, or is it decoration? If decoration, leave it out.</w:t>
      </w:r>
    </w:p>
    <w:p>
      <w:pPr>
        <w:pStyle w:val="Heading2"/>
        <w:spacing w:after="160" w:before="280"/>
      </w:pPr>
      <w:r>
        <w:t xml:space="preserve">For collapse and the experience of structural failure</w:t>
      </w:r>
    </w:p>
    <w:p>
      <w:pPr>
        <w:pStyle w:val="ListParagraph"/>
        <w:numPr>
          <w:ilvl w:val="0"/>
          <w:numId w:val="2"/>
        </w:numPr>
        <w:spacing w:after="80"/>
      </w:pPr>
      <w:r>
        <w:t xml:space="preserve">Yeats, “The Second Coming”: </w:t>
      </w:r>
      <w:r>
        <w:rPr>
          <w:i/>
          <w:iCs/>
        </w:rPr>
        <w:t xml:space="preserve">“Things fall apart; the centre cannot hold.” </w:t>
      </w:r>
      <w:r>
        <w:t xml:space="preserve">The single most-quoted poem of structural collapse in English. Use sparingly because of overexposure; when used, use the less-quoted lines (the rough beast slouching toward Bethlehem, the falconer who cannot hear the falcon).</w:t>
      </w:r>
    </w:p>
    <w:p>
      <w:pPr>
        <w:pStyle w:val="ListParagraph"/>
        <w:numPr>
          <w:ilvl w:val="0"/>
          <w:numId w:val="2"/>
        </w:numPr>
        <w:spacing w:after="80"/>
      </w:pPr>
      <w:r>
        <w:t xml:space="preserve">Eliot, “The Waste Land”: </w:t>
      </w:r>
      <w:r>
        <w:t xml:space="preserve">The foundational text for post-1918 Western awareness of civilizational rupture. Useful for arguments about cultural exhaustion, the inability of the old forms to contain new conditions.</w:t>
      </w:r>
    </w:p>
    <w:p>
      <w:pPr>
        <w:pStyle w:val="ListParagraph"/>
        <w:numPr>
          <w:ilvl w:val="0"/>
          <w:numId w:val="2"/>
        </w:numPr>
        <w:spacing w:after="80"/>
      </w:pPr>
      <w:r>
        <w:t xml:space="preserve">Roth, </w:t>
      </w:r>
      <w:r>
        <w:rPr>
          <w:i/>
          <w:iCs/>
        </w:rPr>
        <w:t xml:space="preserve">The Radetzky March</w:t>
      </w:r>
      <w:r>
        <w:t xml:space="preserve">: The Habsburg twilight as experienced by an ordinary military officer's family. Useful for arguments about how individuals inside collapsing systems do not perceive the collapse as it occurs.</w:t>
      </w:r>
    </w:p>
    <w:p>
      <w:pPr>
        <w:pStyle w:val="ListParagraph"/>
        <w:numPr>
          <w:ilvl w:val="0"/>
          <w:numId w:val="2"/>
        </w:numPr>
        <w:spacing w:after="80"/>
      </w:pPr>
      <w:r>
        <w:t xml:space="preserve">Vonnegut, </w:t>
      </w:r>
      <w:r>
        <w:rPr>
          <w:i/>
          <w:iCs/>
        </w:rPr>
        <w:t xml:space="preserve">Slaughterhouse-Five</w:t>
      </w:r>
      <w:r>
        <w:t xml:space="preserve">: “So it goes” as the rhythmic phrase of accepting catastrophe without dramatizing it. Useful when the writing risks becoming melodramatic about events that warrant a more disciplined cadence.</w:t>
      </w:r>
    </w:p>
    <w:p>
      <w:pPr>
        <w:pStyle w:val="Heading2"/>
        <w:spacing w:after="160" w:before="280"/>
      </w:pPr>
      <w:r>
        <w:t xml:space="preserve">For Western individualism, Faustian drive, and the will-to-dominion</w:t>
      </w:r>
    </w:p>
    <w:p>
      <w:pPr>
        <w:pStyle w:val="ListParagraph"/>
        <w:numPr>
          <w:ilvl w:val="0"/>
          <w:numId w:val="2"/>
        </w:numPr>
        <w:spacing w:after="80"/>
      </w:pPr>
      <w:r>
        <w:t xml:space="preserve">Milton, </w:t>
      </w:r>
      <w:r>
        <w:rPr>
          <w:i/>
          <w:iCs/>
        </w:rPr>
        <w:t xml:space="preserve">Paradise Lost</w:t>
      </w:r>
      <w:r>
        <w:t xml:space="preserve">: “Better to reign in hell than serve in heaven.” The compressed argument about Western individualism in its most dangerous form.</w:t>
      </w:r>
    </w:p>
    <w:p>
      <w:pPr>
        <w:pStyle w:val="ListParagraph"/>
        <w:numPr>
          <w:ilvl w:val="0"/>
          <w:numId w:val="2"/>
        </w:numPr>
        <w:spacing w:after="80"/>
      </w:pPr>
      <w:r>
        <w:t xml:space="preserve">Goethe, </w:t>
      </w:r>
      <w:r>
        <w:rPr>
          <w:i/>
          <w:iCs/>
        </w:rPr>
        <w:t xml:space="preserve">Faust</w:t>
      </w:r>
      <w:r>
        <w:t xml:space="preserve">: The willingness to bargain anything for unbounded knowledge and capacity. Spengler's “Faustian drive” draws directly from this.</w:t>
      </w:r>
    </w:p>
    <w:p>
      <w:pPr>
        <w:pStyle w:val="ListParagraph"/>
        <w:numPr>
          <w:ilvl w:val="0"/>
          <w:numId w:val="2"/>
        </w:numPr>
        <w:spacing w:after="80"/>
      </w:pPr>
      <w:r>
        <w:t xml:space="preserve">Rand, </w:t>
      </w:r>
      <w:r>
        <w:rPr>
          <w:i/>
          <w:iCs/>
        </w:rPr>
        <w:t xml:space="preserve">The Fountainhead</w:t>
      </w:r>
      <w:r>
        <w:t xml:space="preserve">: The late-modern American synthesis, individualism elevated to ethical principle. Use carefully and with critical distance; Rand is read by some sub-groups as a hero text.</w:t>
      </w:r>
    </w:p>
    <w:p>
      <w:pPr>
        <w:pStyle w:val="ListParagraph"/>
        <w:numPr>
          <w:ilvl w:val="0"/>
          <w:numId w:val="2"/>
        </w:numPr>
        <w:spacing w:after="80"/>
      </w:pPr>
      <w:r>
        <w:t xml:space="preserve">Heinlein, </w:t>
      </w:r>
      <w:r>
        <w:rPr>
          <w:i/>
          <w:iCs/>
        </w:rPr>
        <w:t xml:space="preserve">The Moon Is a Harsh Mistress</w:t>
      </w:r>
      <w:r>
        <w:t xml:space="preserve">: The libertarian-frontier American tradition rendered as science fiction. Operative in the founder-class principal sub-group's self-understanding, especially among space-industry actors.</w:t>
      </w:r>
    </w:p>
    <w:p>
      <w:pPr>
        <w:pStyle w:val="Heading2"/>
        <w:spacing w:after="160" w:before="280"/>
      </w:pPr>
      <w:r>
        <w:t xml:space="preserve">For Russian self-understanding, duty, and the limits of will</w:t>
      </w:r>
    </w:p>
    <w:p>
      <w:pPr>
        <w:pStyle w:val="ListParagraph"/>
        <w:numPr>
          <w:ilvl w:val="0"/>
          <w:numId w:val="2"/>
        </w:numPr>
        <w:spacing w:after="80"/>
      </w:pPr>
      <w:r>
        <w:t xml:space="preserve">Dostoevsky, </w:t>
      </w:r>
      <w:r>
        <w:rPr>
          <w:i/>
          <w:iCs/>
        </w:rPr>
        <w:t xml:space="preserve">Crime and Punishment</w:t>
      </w:r>
      <w:r>
        <w:t xml:space="preserve">: Raskolnikov's theory that exceptional men can transgress; his eventual collapse and redemption through Sonya. The Russian argument against the Western Faustian assertion.</w:t>
      </w:r>
    </w:p>
    <w:p>
      <w:pPr>
        <w:pStyle w:val="ListParagraph"/>
        <w:numPr>
          <w:ilvl w:val="0"/>
          <w:numId w:val="2"/>
        </w:numPr>
        <w:spacing w:after="80"/>
      </w:pPr>
      <w:r>
        <w:t xml:space="preserve">Dostoevsky, </w:t>
      </w:r>
      <w:r>
        <w:rPr>
          <w:i/>
          <w:iCs/>
        </w:rPr>
        <w:t xml:space="preserve">The Brothers Karamazov</w:t>
      </w:r>
      <w:r>
        <w:t xml:space="preserve">: Ivan's “if there is no God, everything is permitted.” The central Russian argument about whether Western rationalism stripped of God can hold a moral universe.</w:t>
      </w:r>
    </w:p>
    <w:p>
      <w:pPr>
        <w:pStyle w:val="ListParagraph"/>
        <w:numPr>
          <w:ilvl w:val="0"/>
          <w:numId w:val="2"/>
        </w:numPr>
        <w:spacing w:after="80"/>
      </w:pPr>
      <w:r>
        <w:t xml:space="preserve">Tolstoy, </w:t>
      </w:r>
      <w:r>
        <w:rPr>
          <w:i/>
          <w:iCs/>
        </w:rPr>
        <w:t xml:space="preserve">Anna Karenina</w:t>
      </w:r>
      <w:r>
        <w:t xml:space="preserve">: What happens to a person who follows individual desire to its conclusion in a culture that does not affirm it.</w:t>
      </w:r>
    </w:p>
    <w:p>
      <w:pPr>
        <w:pStyle w:val="ListParagraph"/>
        <w:numPr>
          <w:ilvl w:val="0"/>
          <w:numId w:val="2"/>
        </w:numPr>
        <w:spacing w:after="80"/>
      </w:pPr>
      <w:r>
        <w:t xml:space="preserve">Virgil, </w:t>
      </w:r>
      <w:r>
        <w:rPr>
          <w:i/>
          <w:iCs/>
        </w:rPr>
        <w:t xml:space="preserve">The Aeneid</w:t>
      </w:r>
      <w:r>
        <w:t xml:space="preserve">: </w:t>
      </w:r>
      <w:r>
        <w:rPr>
          <w:i/>
          <w:iCs/>
        </w:rPr>
        <w:t xml:space="preserve">Pius Aeneas</w:t>
      </w:r>
      <w:r>
        <w:t xml:space="preserve">, obedient to fate, founding through suffering rather than glory. The Russian and post-Roman traditions both read this as a model of legitimate authority.</w:t>
      </w:r>
    </w:p>
    <w:p>
      <w:pPr>
        <w:pStyle w:val="Heading2"/>
        <w:spacing w:after="160" w:before="280"/>
      </w:pPr>
      <w:r>
        <w:t xml:space="preserve">For decision under uncertainty and existential discipline</w:t>
      </w:r>
    </w:p>
    <w:p>
      <w:pPr>
        <w:pStyle w:val="ListParagraph"/>
        <w:numPr>
          <w:ilvl w:val="0"/>
          <w:numId w:val="2"/>
        </w:numPr>
        <w:spacing w:after="80"/>
      </w:pPr>
      <w:r>
        <w:t xml:space="preserve">Camus, </w:t>
      </w:r>
      <w:r>
        <w:rPr>
          <w:i/>
          <w:iCs/>
        </w:rPr>
        <w:t xml:space="preserve">The Myth of Sisyphus</w:t>
      </w:r>
      <w:r>
        <w:t xml:space="preserve">: One must imagine Sisyphus happy. The working ethic of analytical work conducted under conditions of acknowledged uncertainty. Foundational for the Fieldnotes voice.</w:t>
      </w:r>
    </w:p>
    <w:p>
      <w:pPr>
        <w:pStyle w:val="ListParagraph"/>
        <w:numPr>
          <w:ilvl w:val="0"/>
          <w:numId w:val="2"/>
        </w:numPr>
        <w:spacing w:after="80"/>
      </w:pPr>
      <w:r>
        <w:t xml:space="preserve">Camus, </w:t>
      </w:r>
      <w:r>
        <w:rPr>
          <w:i/>
          <w:iCs/>
        </w:rPr>
        <w:t xml:space="preserve">The Plague</w:t>
      </w:r>
      <w:r>
        <w:t xml:space="preserve">: Institutional response to a threat the institutions cannot fully comprehend. The novel is a structural model for the kind of situation Reality Latency documents repeatedly.</w:t>
      </w:r>
    </w:p>
    <w:p>
      <w:pPr>
        <w:pStyle w:val="ListParagraph"/>
        <w:numPr>
          <w:ilvl w:val="0"/>
          <w:numId w:val="2"/>
        </w:numPr>
        <w:spacing w:after="80"/>
      </w:pPr>
      <w:r>
        <w:t xml:space="preserve">Shakespeare, </w:t>
      </w:r>
      <w:r>
        <w:rPr>
          <w:i/>
          <w:iCs/>
        </w:rPr>
        <w:t xml:space="preserve">Hamlet</w:t>
      </w:r>
      <w:r>
        <w:t xml:space="preserve">: Decision paralysis under conditions where every choice is morally compromised. Useful for arguments about institutional inaction during crises.</w:t>
      </w:r>
    </w:p>
    <w:p>
      <w:pPr>
        <w:pStyle w:val="Heading2"/>
        <w:spacing w:after="160" w:before="280"/>
      </w:pPr>
      <w:r>
        <w:t xml:space="preserve">For meaning, pattern, and what exceeds materialism</w:t>
      </w:r>
    </w:p>
    <w:p>
      <w:pPr>
        <w:pStyle w:val="ListParagraph"/>
        <w:numPr>
          <w:ilvl w:val="0"/>
          <w:numId w:val="2"/>
        </w:numPr>
        <w:spacing w:after="80"/>
      </w:pPr>
      <w:r>
        <w:t xml:space="preserve">Jung, </w:t>
      </w:r>
      <w:r>
        <w:rPr>
          <w:i/>
          <w:iCs/>
        </w:rPr>
        <w:t xml:space="preserve">Synchronicity</w:t>
      </w:r>
      <w:r>
        <w:t xml:space="preserve">: The recurrence of patterns that exceed coincidence. Relevant to the Collapse Signature project's question of whether what looks like signature is real or imposed.</w:t>
      </w:r>
    </w:p>
    <w:p>
      <w:pPr>
        <w:pStyle w:val="ListParagraph"/>
        <w:numPr>
          <w:ilvl w:val="0"/>
          <w:numId w:val="2"/>
        </w:numPr>
        <w:spacing w:after="80"/>
      </w:pPr>
      <w:r>
        <w:t xml:space="preserve">Magritte, </w:t>
      </w:r>
      <w:r>
        <w:rPr>
          <w:i/>
          <w:iCs/>
        </w:rPr>
        <w:t xml:space="preserve">The Treachery of Images</w:t>
      </w:r>
      <w:r>
        <w:t xml:space="preserve"> (“Ceci n'est pas une pipe”): The destabilization of the relationship between rendered representation and the thing represented. Useful when documenting the gap between official descriptions and operational realities.</w:t>
      </w:r>
    </w:p>
    <w:p>
      <w:pPr>
        <w:pStyle w:val="ListParagraph"/>
        <w:numPr>
          <w:ilvl w:val="0"/>
          <w:numId w:val="2"/>
        </w:numPr>
        <w:spacing w:after="80"/>
      </w:pPr>
      <w:r>
        <w:t xml:space="preserve">Susskind on the holographic principle: </w:t>
      </w:r>
      <w:r>
        <w:t xml:space="preserve">Information about a system survives even when the system itself is destroyed; the information is encoded on the boundary. A useful metaphorical resource for thinking about what survives civilizational collapse.</w:t>
      </w:r>
    </w:p>
    <w:p>
      <w:pPr>
        <w:pStyle w:val="Heading2"/>
        <w:spacing w:after="160" w:before="280"/>
      </w:pPr>
      <w:r>
        <w:t xml:space="preserve">For technology and time</w:t>
      </w:r>
    </w:p>
    <w:p>
      <w:pPr>
        <w:pStyle w:val="ListParagraph"/>
        <w:numPr>
          <w:ilvl w:val="0"/>
          <w:numId w:val="2"/>
        </w:numPr>
        <w:spacing w:after="80"/>
      </w:pPr>
      <w:r>
        <w:t xml:space="preserve">Asimov, the Foundation series: </w:t>
      </w:r>
      <w:r>
        <w:t xml:space="preserve">Psychohistory as the dream of detectable historical pattern. The Collapse Signature project is, in some sense, the working version of what Asimov imagined.</w:t>
      </w:r>
    </w:p>
    <w:p>
      <w:pPr>
        <w:pStyle w:val="ListParagraph"/>
        <w:numPr>
          <w:ilvl w:val="0"/>
          <w:numId w:val="2"/>
        </w:numPr>
        <w:spacing w:after="80"/>
      </w:pPr>
      <w:r>
        <w:t xml:space="preserve">Vonnegut, </w:t>
      </w:r>
      <w:r>
        <w:rPr>
          <w:i/>
          <w:iCs/>
        </w:rPr>
        <w:t xml:space="preserve">Player Piano</w:t>
      </w:r>
      <w:r>
        <w:t xml:space="preserve">: Automation displacing human labor, written in 1952. Foundational for the labor-displacement thread in current dispatches; the framing has held up for seventy-four years.</w:t>
      </w:r>
    </w:p>
    <w:p>
      <w:pPr>
        <w:pStyle w:val="Heading2"/>
        <w:spacing w:after="160" w:before="280"/>
      </w:pPr>
      <w:r>
        <w:t xml:space="preserve">Editorial principle</w:t>
      </w:r>
    </w:p>
    <w:p>
      <w:pPr>
        <w:spacing w:after="120"/>
        <w:jc w:val="left"/>
      </w:pPr>
      <w:r>
        <w:t xml:space="preserve">Always ask whether the literary or philosophical reference is structural or decorative. Structural references do work the prose cannot do. Decorative references add gravitas without earning their place. The Vonnegut quote already in the dispatches works because it does structural work. A Yeats line dropped into a financial-system dispatch because Yeats is impressive would be decoration. Be ruthless with this distinction. The reader will notice the difference whether or not they can articulate it.</w:t>
      </w:r>
    </w:p>
    <w:p>
      <w:pPr>
        <w:pBdr>
          <w:bottom w:val="single" w:color="999999" w:sz="6" w:space="4"/>
        </w:pBdr>
        <w:spacing w:after="240" w:before="240"/>
      </w:pPr>
      <w:r>
        <w:t xml:space="preserve"/>
      </w:r>
    </w:p>
    <w:p>
      <w:pPr>
        <w:pStyle w:val="Heading1"/>
        <w:spacing w:after="200" w:before="360"/>
      </w:pPr>
      <w:r>
        <w:t xml:space="preserve">How to coordinate</w:t>
      </w:r>
    </w:p>
    <w:p>
      <w:pPr>
        <w:spacing w:after="120"/>
        <w:jc w:val="left"/>
      </w:pPr>
      <w:r>
        <w:t xml:space="preserve">Jeff is the central coordinator. Each tool reports to him. He synthesizes findings, decides what becomes a dispatch and what becomes a book chapter, and decides what gets escalated to me for editorial pass.</w:t>
      </w:r>
    </w:p>
    <w:p>
      <w:pPr>
        <w:spacing w:after="120"/>
        <w:jc w:val="left"/>
      </w:pPr>
      <w:r>
        <w:t xml:space="preserve">When you produce findings, structure them so they can be moved between tools without loss. Use markdown for formatting. Cite sources with full URLs and access dates. Mark confidence levels: what is verified primary-source data, what is secondary-source synthesis, what is your own analytical inference. Distinguish them clearly.</w:t>
      </w:r>
    </w:p>
    <w:p>
      <w:pPr>
        <w:spacing w:after="120"/>
        <w:jc w:val="left"/>
      </w:pPr>
      <w:r>
        <w:t xml:space="preserve">When your work intersects with another tool's work, flag the intersection. If SuperGrok finds a real-time event that affects a Stream Three case study Gemini is summarizing, surface the connection so Jeff can integrate them. The streams interconnect more than the structure suggests; the value is often at the interconnections.</w:t>
      </w:r>
    </w:p>
    <w:p>
      <w:pPr>
        <w:spacing w:after="120"/>
        <w:jc w:val="left"/>
      </w:pPr>
      <w:r>
        <w:t xml:space="preserve">Some questions will not have clean answers. Say so. Honest uncertainty over false confidence is the project's first methodological commitment, and it applies to all of us.</w:t>
      </w:r>
    </w:p>
    <w:p>
      <w:pPr>
        <w:pStyle w:val="Heading2"/>
        <w:spacing w:after="160" w:before="280"/>
      </w:pPr>
      <w:r>
        <w:t xml:space="preserve">On disagreement</w:t>
      </w:r>
    </w:p>
    <w:p>
      <w:pPr>
        <w:spacing w:after="120"/>
        <w:jc w:val="left"/>
      </w:pPr>
      <w:r>
        <w:t xml:space="preserve">If your analytical assessment differs from another tool's, flag the disagreement to Jeff with both positions clearly stated and the reasoning behind each. Do not assume that because I am the project manager, my claims override yours. I am wrong sometimes. So is each of you. The project benefits from triangulation across multiple analytical perspectives, not from forced consensus.</w:t>
      </w:r>
    </w:p>
    <w:p>
      <w:pPr>
        <w:pStyle w:val="Heading2"/>
        <w:spacing w:after="160" w:before="280"/>
      </w:pPr>
      <w:r>
        <w:t xml:space="preserve">On the limits of this document</w:t>
      </w:r>
    </w:p>
    <w:p>
      <w:pPr>
        <w:spacing w:after="120"/>
        <w:jc w:val="left"/>
      </w:pPr>
      <w:r>
        <w:t xml:space="preserve">This document was written on May 7, 2026. The financial-system data, the political situation, and the technology landscape will all have evolved by the time you read it. Treat the specifics as the state of play at composition time and update them against your current data. The structure of the project (the four streams, the methodological commitments, the cultural-frame catalogue) is more durable; the specific deals, the specific actors' current positions, and the specific data points are not.</w:t>
      </w:r>
    </w:p>
    <w:p>
      <w:pPr>
        <w:spacing w:after="120"/>
        <w:jc w:val="left"/>
      </w:pPr>
      <w:r>
        <w:t xml:space="preserve">If you find that the structure itself needs revision based on what you learn, tell Jeff. The project benefits from that kind of correction more than from compliance with a stale framework.</w:t>
      </w:r>
    </w:p>
    <w:p>
      <w:pPr>
        <w:pBdr>
          <w:bottom w:val="single" w:color="999999" w:sz="6" w:space="4"/>
        </w:pBdr>
        <w:spacing w:after="240" w:before="240"/>
      </w:pPr>
      <w:r>
        <w:t xml:space="preserve"/>
      </w:r>
    </w:p>
    <w:p>
      <w:pPr>
        <w:pStyle w:val="Heading1"/>
        <w:spacing w:after="200" w:before="360"/>
      </w:pPr>
      <w:r>
        <w:t xml:space="preserve">Closing</w:t>
      </w:r>
    </w:p>
    <w:p>
      <w:pPr>
        <w:spacing w:after="120"/>
        <w:jc w:val="left"/>
      </w:pPr>
      <w:r>
        <w:t xml:space="preserve">The Collapse Signature is a hard project. The genre it sits in (collapse literature, decline narratives, civilizational pattern detection) is full of books that were exciting to read and wrong about almost everything. The methodological discipline this project commits to is what could distinguish it. The cultural foundation Jeff brings to the work, and that this document tries to make available to all of you, is what could give it a voice that the genre's standard examples lack.</w:t>
      </w:r>
    </w:p>
    <w:p>
      <w:pPr>
        <w:spacing w:after="120"/>
        <w:jc w:val="left"/>
      </w:pPr>
      <w:r>
        <w:t xml:space="preserve">We are not trying to predict the future with confidence. We are trying to understand the present clearly enough that the patterns we identify are real, the predictions we make are falsifiable, and the analysis is honest about its own uncertainty. That is the standard. Hold each other to it.</w:t>
      </w:r>
    </w:p>
    <w:p>
      <w:pPr>
        <w:spacing w:after="120"/>
        <w:jc w:val="left"/>
      </w:pPr>
      <w:r>
        <w:t xml:space="preserve">I will be reachable through Jeff for editorial questions and for analytical disputes that need a tiebreaker. The day-to-day work is yours. Choose well.</w:t>
      </w:r>
    </w:p>
    <w:p>
      <w:pPr>
        <w:spacing w:before="480"/>
        <w:jc w:val="right"/>
      </w:pPr>
      <w:r>
        <w:rPr>
          <w:i/>
          <w:iCs/>
          <w:sz w:val="22"/>
          <w:szCs w:val="22"/>
        </w:rPr>
        <w:t xml:space="preserve">— Claude</w:t>
      </w:r>
    </w:p>
    <w:p>
      <w:pPr>
        <w:jc w:val="right"/>
      </w:pPr>
      <w:r>
        <w:rPr>
          <w:i/>
          <w:iCs/>
          <w:sz w:val="22"/>
          <w:szCs w:val="22"/>
        </w:rPr>
        <w:t xml:space="preserve">Project manager, The Collapse Signature</w:t>
      </w:r>
    </w:p>
    <w:p>
      <w:pPr>
        <w:jc w:val="right"/>
      </w:pPr>
      <w:r>
        <w:rPr>
          <w:i/>
          <w:iCs/>
          <w:sz w:val="22"/>
          <w:szCs w:val="22"/>
        </w:rPr>
        <w:t xml:space="preserve">May 7,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The Collapse Signature — Research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2A4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2A44"/>
      <w:sz w:val="28"/>
      <w:szCs w:val="28"/>
    </w:rPr>
  </w:style>
  <w:style w:type="paragraph" w:styleId="Heading3">
    <w:name w:val="Heading 3"/>
    <w:basedOn w:val="Normal"/>
    <w:next w:val="Normal"/>
    <w:qFormat/>
    <w:pPr>
      <w:spacing w:after="120" w:before="200"/>
      <w:outlineLvl w:val="2"/>
    </w:pPr>
    <w:rPr>
      <w:rFonts w:ascii="Calibri" w:cs="Calibri" w:eastAsia="Calibri" w:hAnsi="Calibri"/>
      <w:b/>
      <w:bCs/>
      <w:i/>
      <w:i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2026-05-07T23:05:06.271Z</dcterms:created>
  <dcterms:modified xsi:type="dcterms:W3CDTF">2026-05-07T23:05:06.272Z</dcterms:modified>
</cp:coreProperties>
</file>

<file path=docProps/custom.xml><?xml version="1.0" encoding="utf-8"?>
<Properties xmlns="http://schemas.openxmlformats.org/officeDocument/2006/custom-properties" xmlns:vt="http://schemas.openxmlformats.org/officeDocument/2006/docPropsVTypes"/>
</file>