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4"/>
        </w:rPr>
        <w:t>USPS Priority Mail Label 228 - Calibration Revision 1</w:t>
      </w:r>
    </w:p>
    <w:p>
      <w:pPr>
        <w:spacing w:after="120"/>
        <w:jc w:val="center"/>
      </w:pPr>
      <w:r>
        <w:rPr>
          <w:rFonts w:ascii="Arial" w:hAnsi="Arial"/>
          <w:sz w:val="18"/>
        </w:rPr>
        <w:t>Print on US Letter at 100% / Actual Size. Do not use Fit, Shrink, or Scale.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4335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228-calibration-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rFonts w:ascii="Arial" w:hAnsi="Arial"/>
          <w:sz w:val="16"/>
        </w:rPr>
        <w:t>Solid = backing/media boundary   |   Dashed = adhesive-label boundary</w:t>
        <w:br/>
        <w:t>Dotted = proposed address regions   |   Crosshairs = measured FROM/TO reference anchors</w:t>
      </w:r>
    </w:p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USPS Label 228 Calibration Revision 1</dc:title>
  <dc:subject>Calibration Revision 1 - USPS Label 228 (December 2023)</dc:subject>
  <dc:creator>OpenAI</dc:creator>
  <cp:keywords/>
  <dc:description>1:1 physical calibration sheet for USPS Label 228.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