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25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tbl>
          <w:tblPr>
            <w:tblpPr w:leftFromText="0" w:rightFromText="0" w:topFromText="0" w:bottomFromText="0" w:vertAnchor="page" w:horzAnchor="page" w:tblpX="1979" w:tblpY="459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 w:line="240" w:lineRule="auto"/>
                  <w:rPr>
                    <w:rFonts w:ascii="Arial" w:hAnsi="Arial"/>
                    <w:sz w:val="20"/>
                  </w:rPr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10</dc:title>
  <dc:subject>Template Revision 10 - USPS Label 228 (December 2023)</dc:subject>
  <dc:creator>OpenAI</dc:creator>
  <cp:keywords/>
  <dc:description>Restored focus-dependent, nonprinting content-control labels while retaining the four-sided gridline structure.</dc:description>
  <cp:lastModifiedBy/>
  <cp:revision>10</cp:revision>
  <dcterms:created xsi:type="dcterms:W3CDTF">2013-12-23T23:15:00Z</dcterms:created>
  <dcterms:modified xsi:type="dcterms:W3CDTF">2013-12-23T23:15:00Z</dcterms:modified>
  <cp:category/>
</cp:coreProperties>
</file>