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2.xml" ContentType="application/vnd.openxmlformats-officedocument.themeOverride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C6" w:rsidRPr="00457E38" w:rsidRDefault="00EE3F36">
      <w:pPr>
        <w:rPr>
          <w:b/>
        </w:rPr>
      </w:pPr>
      <w:r w:rsidRPr="00457E38">
        <w:rPr>
          <w:b/>
        </w:rPr>
        <w:t>Electronics “3 Pager” Datasheet</w:t>
      </w:r>
    </w:p>
    <w:p w:rsidR="00EE3F36" w:rsidRPr="00421604" w:rsidRDefault="00EE3F36" w:rsidP="00EE3F36">
      <w:pPr>
        <w:pStyle w:val="ListParagraph"/>
        <w:numPr>
          <w:ilvl w:val="0"/>
          <w:numId w:val="1"/>
        </w:numPr>
        <w:rPr>
          <w:b/>
        </w:rPr>
      </w:pPr>
      <w:r w:rsidRPr="00421604">
        <w:rPr>
          <w:b/>
        </w:rPr>
        <w:t xml:space="preserve">Corporate Overview </w:t>
      </w:r>
    </w:p>
    <w:p w:rsidR="00421604" w:rsidRDefault="00421604" w:rsidP="00421604">
      <w:pPr>
        <w:pStyle w:val="ListParagraph"/>
        <w:numPr>
          <w:ilvl w:val="1"/>
          <w:numId w:val="1"/>
        </w:numPr>
      </w:pPr>
      <w:r>
        <w:t>Who is Air Products?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Company founded in 1940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FY 201</w:t>
      </w:r>
      <w:r w:rsidR="00635258">
        <w:t>2</w:t>
      </w:r>
      <w:r>
        <w:t xml:space="preserve"> revenue – USD </w:t>
      </w:r>
      <w:r w:rsidR="00635258">
        <w:t xml:space="preserve">9.6 </w:t>
      </w:r>
      <w:r>
        <w:t>billion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 xml:space="preserve">Ranked </w:t>
      </w:r>
      <w:r w:rsidR="00635258">
        <w:t xml:space="preserve">265 </w:t>
      </w:r>
      <w:r>
        <w:t>on Fortune 500 list of US companies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+</w:t>
      </w:r>
      <w:r w:rsidR="00635258">
        <w:t>20</w:t>
      </w:r>
      <w:r>
        <w:t>,000 employees worldwide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 xml:space="preserve">Operations in more than </w:t>
      </w:r>
      <w:r w:rsidR="00635258">
        <w:t xml:space="preserve">50 </w:t>
      </w:r>
      <w:r w:rsidR="008C6357">
        <w:t>countries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A tradition of safety leadership for over 60 years</w:t>
      </w:r>
    </w:p>
    <w:p w:rsidR="00421604" w:rsidRDefault="00421604" w:rsidP="00A04356">
      <w:pPr>
        <w:pStyle w:val="ListParagraph"/>
        <w:numPr>
          <w:ilvl w:val="2"/>
          <w:numId w:val="1"/>
        </w:numPr>
      </w:pPr>
      <w:r>
        <w:t>Serving customers in industrial, ener</w:t>
      </w:r>
      <w:r w:rsidR="005242AE">
        <w:t>gy, technology and healthcare m</w:t>
      </w:r>
      <w:r>
        <w:t>arkets worldwide with a unique portfolio of gases, performance materials, and</w:t>
      </w:r>
      <w:r w:rsidR="00A04356">
        <w:t xml:space="preserve"> eq</w:t>
      </w:r>
      <w:r>
        <w:t>uipment and services</w:t>
      </w:r>
    </w:p>
    <w:p w:rsidR="00A04356" w:rsidRDefault="00EE3F36" w:rsidP="00A04356">
      <w:pPr>
        <w:pStyle w:val="ListParagraph"/>
        <w:numPr>
          <w:ilvl w:val="0"/>
          <w:numId w:val="1"/>
        </w:numPr>
      </w:pPr>
      <w:r w:rsidRPr="00A04356">
        <w:rPr>
          <w:b/>
        </w:rPr>
        <w:lastRenderedPageBreak/>
        <w:t>Divisional Overview</w:t>
      </w:r>
      <w:r w:rsidR="00A04356">
        <w:rPr>
          <w:b/>
        </w:rPr>
        <w:t xml:space="preserve"> </w:t>
      </w:r>
      <w:r>
        <w:t>FY 12</w:t>
      </w:r>
      <w:r w:rsidR="00421604">
        <w:t xml:space="preserve"> Financials (charts and graphs)- use FY11 FPO until Rob has final numbers</w:t>
      </w:r>
      <w:r w:rsidR="00A04356">
        <w:rPr>
          <w:noProof/>
        </w:rPr>
        <w:drawing>
          <wp:inline distT="0" distB="0" distL="0" distR="0">
            <wp:extent cx="4759393" cy="3807062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59393" cy="3807062"/>
                      <a:chOff x="-26481" y="2325889"/>
                      <a:chExt cx="4759393" cy="3807062"/>
                    </a:xfrm>
                  </a:grpSpPr>
                  <a:grpSp>
                    <a:nvGrpSpPr>
                      <a:cNvPr id="2" name="Group 20"/>
                      <a:cNvGrpSpPr/>
                    </a:nvGrpSpPr>
                    <a:grpSpPr>
                      <a:xfrm>
                        <a:off x="-26481" y="2325889"/>
                        <a:ext cx="4759393" cy="3807062"/>
                        <a:chOff x="4205471" y="1460089"/>
                        <a:chExt cx="4112388" cy="2467137"/>
                      </a:xfrm>
                    </a:grpSpPr>
                    <a:grpSp>
                      <a:nvGrpSpPr>
                        <a:cNvPr id="3" name="Group 24"/>
                        <a:cNvGrpSpPr/>
                      </a:nvGrpSpPr>
                      <a:grpSpPr>
                        <a:xfrm>
                          <a:off x="4205471" y="1460089"/>
                          <a:ext cx="4112388" cy="2467137"/>
                          <a:chOff x="4205471" y="1460089"/>
                          <a:chExt cx="4112388" cy="2467137"/>
                        </a:xfrm>
                      </a:grpSpPr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4205471" y="2930885"/>
                            <a:ext cx="1557542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Manufacturing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14%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graphicFrame>
                        <a:nvGraphicFramePr>
                          <a:cNvPr id="26" name="Chart 25"/>
                          <a:cNvGraphicFramePr/>
                        </a:nvGraphicFramePr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  <a:xfrm>
                          <a:off x="4955459" y="1460089"/>
                          <a:ext cx="2735055" cy="2467137"/>
                        </a:xfrm>
                      </a:graphicFrame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5276684" y="1629302"/>
                            <a:ext cx="1150375" cy="34624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Food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4%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TextBox 29"/>
                          <a:cNvSpPr txBox="1"/>
                        </a:nvSpPr>
                        <a:spPr>
                          <a:xfrm>
                            <a:off x="5634016" y="1562158"/>
                            <a:ext cx="1391017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Medical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3%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TextBox 30"/>
                          <a:cNvSpPr txBox="1"/>
                        </a:nvSpPr>
                        <a:spPr>
                          <a:xfrm>
                            <a:off x="4946115" y="1888178"/>
                            <a:ext cx="934403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Metals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10%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5720219" y="3434242"/>
                            <a:ext cx="1381100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Chemicals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20%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TextBox 32"/>
                          <a:cNvSpPr txBox="1"/>
                        </a:nvSpPr>
                        <a:spPr>
                          <a:xfrm>
                            <a:off x="7167486" y="2783043"/>
                            <a:ext cx="1150373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Electronics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17%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TextBox 33"/>
                          <a:cNvSpPr txBox="1"/>
                        </a:nvSpPr>
                        <a:spPr>
                          <a:xfrm>
                            <a:off x="6792941" y="1822336"/>
                            <a:ext cx="873555" cy="29917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Verdana" pitchFamily="-96" charset="0"/>
                                  <a:ea typeface="ＭＳ Ｐゴシック" pitchFamily="28" charset="-128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Energy</a:t>
                              </a:r>
                            </a:p>
                            <a:p>
                              <a:pPr algn="ctr"/>
                              <a:r>
                                <a:rPr lang="en-US" sz="1200" dirty="0" smtClean="0"/>
                                <a:t>23%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4623899" y="2310159"/>
                          <a:ext cx="934403" cy="29917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Verdana" pitchFamily="-96" charset="0"/>
                                <a:ea typeface="ＭＳ Ｐゴシック" pitchFamily="28" charset="-128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Other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9%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A04356">
        <w:rPr>
          <w:noProof/>
        </w:rPr>
        <w:drawing>
          <wp:inline distT="0" distB="0" distL="0" distR="0">
            <wp:extent cx="3165368" cy="3807062"/>
            <wp:effectExtent l="19050" t="0" r="15982" b="2938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E3F36" w:rsidRDefault="00EE3F36" w:rsidP="00EE3F36">
      <w:pPr>
        <w:pStyle w:val="ListParagraph"/>
        <w:numPr>
          <w:ilvl w:val="1"/>
          <w:numId w:val="1"/>
        </w:numPr>
      </w:pPr>
      <w:r>
        <w:t>Narrative</w:t>
      </w:r>
    </w:p>
    <w:p w:rsidR="00421604" w:rsidRDefault="00ED35B0" w:rsidP="00421604">
      <w:pPr>
        <w:pStyle w:val="ListParagraph"/>
        <w:numPr>
          <w:ilvl w:val="2"/>
          <w:numId w:val="1"/>
        </w:numPr>
      </w:pPr>
      <w:r w:rsidRPr="00ED35B0">
        <w:rPr>
          <w:rFonts w:cstheme="minorHAnsi"/>
        </w:rPr>
        <w:lastRenderedPageBreak/>
        <w:t>We offer a reliable and sustainable source of high purity electronics gases and materials together with services and related equipment to enable silicon</w:t>
      </w:r>
      <w:r w:rsidRPr="00ED35B0">
        <w:rPr>
          <w:rFonts w:cstheme="minorHAnsi"/>
          <w:color w:val="000000"/>
        </w:rPr>
        <w:t xml:space="preserve"> and compound semiconductors and LCDs to power our digital world</w:t>
      </w:r>
      <w:r>
        <w:rPr>
          <w:rFonts w:ascii="TheSansOsF-Light" w:hAnsi="TheSansOsF-Light" w:cs="TheSansOsF-Light"/>
          <w:color w:val="000000"/>
          <w:sz w:val="17"/>
          <w:szCs w:val="17"/>
        </w:rPr>
        <w:t xml:space="preserve">. </w:t>
      </w:r>
      <w:r>
        <w:t xml:space="preserve">Providing </w:t>
      </w:r>
      <w:r w:rsidR="00421604">
        <w:t>a competitive advantage</w:t>
      </w:r>
      <w:r>
        <w:t>, we</w:t>
      </w:r>
      <w:r w:rsidR="00421604">
        <w:t xml:space="preserve"> are focused on delivering value, reliability, innovation and consistency to our global customers</w:t>
      </w:r>
      <w:r>
        <w:t xml:space="preserve"> through </w:t>
      </w:r>
      <w:r w:rsidR="00463B3C">
        <w:t xml:space="preserve">an extensive specialty materials </w:t>
      </w:r>
      <w:r>
        <w:t xml:space="preserve">portfolio </w:t>
      </w:r>
      <w:r w:rsidR="00463B3C">
        <w:t xml:space="preserve">for each step in the </w:t>
      </w:r>
      <w:r>
        <w:t>integrated circuit (IC)</w:t>
      </w:r>
      <w:r w:rsidR="00463B3C">
        <w:t xml:space="preserve"> </w:t>
      </w:r>
      <w:r>
        <w:t xml:space="preserve">manufacturing </w:t>
      </w:r>
      <w:r w:rsidR="00463B3C">
        <w:t xml:space="preserve">process: </w:t>
      </w:r>
      <w:r w:rsidR="00421604">
        <w:t>(add “IC wheel” here)</w:t>
      </w:r>
    </w:p>
    <w:p w:rsidR="00EE3F36" w:rsidRPr="00A04356" w:rsidRDefault="00EE3F36" w:rsidP="00A04356">
      <w:pPr>
        <w:pStyle w:val="ListParagraph"/>
        <w:numPr>
          <w:ilvl w:val="0"/>
          <w:numId w:val="1"/>
        </w:numPr>
        <w:rPr>
          <w:b/>
        </w:rPr>
      </w:pPr>
      <w:r w:rsidRPr="00A04356">
        <w:rPr>
          <w:b/>
        </w:rPr>
        <w:t>Market Segments</w:t>
      </w:r>
      <w:r w:rsidR="00604DD7" w:rsidRPr="00A04356">
        <w:rPr>
          <w:b/>
        </w:rPr>
        <w:t xml:space="preserve"> </w:t>
      </w:r>
    </w:p>
    <w:p w:rsidR="00421604" w:rsidRDefault="00421604" w:rsidP="00421604">
      <w:pPr>
        <w:pStyle w:val="ListParagraph"/>
        <w:numPr>
          <w:ilvl w:val="1"/>
          <w:numId w:val="1"/>
        </w:numPr>
      </w:pPr>
      <w:r>
        <w:t>We serve customers across market segments, including: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Integrated circuits (IC)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Flat panel displays</w:t>
      </w:r>
    </w:p>
    <w:p w:rsidR="007E41B6" w:rsidRPr="00421604" w:rsidRDefault="007E41B6" w:rsidP="007E41B6">
      <w:pPr>
        <w:pStyle w:val="ListParagraph"/>
        <w:numPr>
          <w:ilvl w:val="0"/>
          <w:numId w:val="1"/>
        </w:numPr>
        <w:rPr>
          <w:b/>
        </w:rPr>
      </w:pPr>
      <w:r w:rsidRPr="00421604">
        <w:rPr>
          <w:b/>
        </w:rPr>
        <w:t>Technical Achievements</w:t>
      </w:r>
    </w:p>
    <w:p w:rsidR="00421604" w:rsidRPr="0048717E" w:rsidRDefault="00A04356" w:rsidP="00421604">
      <w:pPr>
        <w:pStyle w:val="ListParagraph"/>
        <w:numPr>
          <w:ilvl w:val="1"/>
          <w:numId w:val="1"/>
        </w:numPr>
      </w:pPr>
      <w:r>
        <w:t>Global</w:t>
      </w:r>
      <w:r w:rsidR="00F567A4">
        <w:t xml:space="preserve"> leader in bulk supply of specialty gases.  Our GASGUARD</w:t>
      </w:r>
      <w:r>
        <w:rPr>
          <w:rFonts w:cstheme="minorHAnsi"/>
        </w:rPr>
        <w:t xml:space="preserve">® </w:t>
      </w:r>
      <w:r w:rsidR="00F567A4">
        <w:t>B</w:t>
      </w:r>
      <w:r>
        <w:t xml:space="preserve">ulk </w:t>
      </w:r>
      <w:r w:rsidR="00F567A4">
        <w:t>S</w:t>
      </w:r>
      <w:r>
        <w:t xml:space="preserve">pecialty </w:t>
      </w:r>
      <w:r w:rsidR="00F567A4">
        <w:t>G</w:t>
      </w:r>
      <w:r>
        <w:t xml:space="preserve">as </w:t>
      </w:r>
      <w:r w:rsidR="00F567A4">
        <w:t>S</w:t>
      </w:r>
      <w:r>
        <w:t>ystem (BSGS)</w:t>
      </w:r>
      <w:r w:rsidR="00F567A4">
        <w:t xml:space="preserve"> technology safely delivers our specialty materials, providing lower costs, higher product consistency and reliability, and improved safety performance.</w:t>
      </w:r>
    </w:p>
    <w:p w:rsidR="00421604" w:rsidRPr="0048717E" w:rsidRDefault="00421604" w:rsidP="00421604">
      <w:pPr>
        <w:pStyle w:val="ListParagraph"/>
        <w:numPr>
          <w:ilvl w:val="1"/>
          <w:numId w:val="1"/>
        </w:numPr>
      </w:pPr>
      <w:r>
        <w:t>Nitrogen p</w:t>
      </w:r>
      <w:r w:rsidRPr="0048717E">
        <w:t xml:space="preserve">ipelines: </w:t>
      </w:r>
    </w:p>
    <w:p w:rsidR="00421604" w:rsidRDefault="00421604" w:rsidP="00421604">
      <w:pPr>
        <w:pStyle w:val="ListParagraph"/>
        <w:numPr>
          <w:ilvl w:val="2"/>
          <w:numId w:val="1"/>
        </w:numPr>
      </w:pPr>
      <w:r>
        <w:t>Today, our pipelines travel through the leading science parks in China, Korea and Taiwan supplying next-generation fabs with the high volumes of nitrogen necessary for semiconductor and TFT-LCD production.</w:t>
      </w:r>
      <w:r w:rsidR="00437C74">
        <w:t xml:space="preserve"> Our pipeline system in Silicon Valley, California has been providing major semiconductor manufacturers with reliable high-volume nitrogen supplies since the 1970s.</w:t>
      </w:r>
    </w:p>
    <w:p w:rsidR="00437C74" w:rsidRDefault="00437C74" w:rsidP="00421604">
      <w:pPr>
        <w:pStyle w:val="ListParagraph"/>
        <w:numPr>
          <w:ilvl w:val="2"/>
          <w:numId w:val="1"/>
        </w:numPr>
      </w:pPr>
      <w:r>
        <w:t>Advanced Deposition – LTO-520 double patterning – allows industry to avoid lithography process changes to achieve next technology node (talk to Karwacki or Suresh)</w:t>
      </w:r>
    </w:p>
    <w:p w:rsidR="00437C74" w:rsidRDefault="00437C74" w:rsidP="00421604">
      <w:pPr>
        <w:pStyle w:val="ListParagraph"/>
        <w:numPr>
          <w:ilvl w:val="2"/>
          <w:numId w:val="1"/>
        </w:numPr>
      </w:pPr>
      <w:r>
        <w:t>PolyFlow – developed new slurry distribution equipment for semiconductor industry (talk to Walton or Kurt Mitchke)</w:t>
      </w:r>
    </w:p>
    <w:p w:rsidR="00437C74" w:rsidRDefault="00437C74" w:rsidP="00421604">
      <w:pPr>
        <w:pStyle w:val="ListParagraph"/>
        <w:numPr>
          <w:ilvl w:val="2"/>
          <w:numId w:val="1"/>
        </w:numPr>
      </w:pPr>
      <w:r>
        <w:t>CMP technology advances with our Tungsten and Copper slurries (talk to Saifi)</w:t>
      </w:r>
    </w:p>
    <w:p w:rsidR="00437C74" w:rsidRDefault="00437C74" w:rsidP="00421604">
      <w:pPr>
        <w:pStyle w:val="ListParagraph"/>
        <w:numPr>
          <w:ilvl w:val="2"/>
          <w:numId w:val="1"/>
        </w:numPr>
      </w:pPr>
      <w:r>
        <w:t>ACT Strippers – innovated around Hydroxylamine (talk to Laura Matz)</w:t>
      </w:r>
    </w:p>
    <w:p w:rsidR="00EE3F36" w:rsidRPr="001B723D" w:rsidRDefault="00747149" w:rsidP="001B723D">
      <w:pPr>
        <w:ind w:left="360"/>
        <w:rPr>
          <w:b/>
        </w:rPr>
      </w:pPr>
      <w:r>
        <w:rPr>
          <w:b/>
        </w:rPr>
        <w:t xml:space="preserve">Advanced </w:t>
      </w:r>
      <w:r w:rsidR="00421604" w:rsidRPr="001B723D">
        <w:rPr>
          <w:b/>
        </w:rPr>
        <w:t>Materials R&amp;D programs</w:t>
      </w:r>
      <w:r w:rsidR="00FB5469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0C09C9" w:rsidTr="000C09C9">
        <w:tc>
          <w:tcPr>
            <w:tcW w:w="2178" w:type="dxa"/>
          </w:tcPr>
          <w:p w:rsidR="000C09C9" w:rsidRPr="000C09C9" w:rsidRDefault="000C09C9" w:rsidP="000C09C9">
            <w:pPr>
              <w:rPr>
                <w:b/>
              </w:rPr>
            </w:pPr>
            <w:r>
              <w:rPr>
                <w:b/>
              </w:rPr>
              <w:t>Dielectrics</w:t>
            </w:r>
          </w:p>
        </w:tc>
        <w:tc>
          <w:tcPr>
            <w:tcW w:w="6678" w:type="dxa"/>
          </w:tcPr>
          <w:p w:rsidR="000C09C9" w:rsidRDefault="000C09C9" w:rsidP="000C09C9">
            <w:pPr>
              <w:pStyle w:val="ListParagraph"/>
              <w:numPr>
                <w:ilvl w:val="0"/>
                <w:numId w:val="3"/>
              </w:numPr>
              <w:tabs>
                <w:tab w:val="left" w:pos="522"/>
              </w:tabs>
              <w:ind w:left="252" w:hanging="180"/>
            </w:pPr>
            <w:r>
              <w:t>Low temperature ALD SiO2 precursors</w:t>
            </w:r>
          </w:p>
          <w:p w:rsidR="000C09C9" w:rsidRDefault="000C09C9" w:rsidP="000C09C9">
            <w:pPr>
              <w:pStyle w:val="ListParagraph"/>
              <w:numPr>
                <w:ilvl w:val="0"/>
                <w:numId w:val="3"/>
              </w:numPr>
              <w:tabs>
                <w:tab w:val="left" w:pos="522"/>
              </w:tabs>
              <w:ind w:left="252" w:hanging="180"/>
            </w:pPr>
            <w:r>
              <w:t>Low temperature ALD SiN precursors</w:t>
            </w:r>
          </w:p>
          <w:p w:rsidR="000C09C9" w:rsidRPr="000C09C9" w:rsidRDefault="000C09C9" w:rsidP="000C09C9">
            <w:pPr>
              <w:pStyle w:val="ListParagraph"/>
              <w:numPr>
                <w:ilvl w:val="0"/>
                <w:numId w:val="3"/>
              </w:numPr>
              <w:tabs>
                <w:tab w:val="left" w:pos="522"/>
              </w:tabs>
              <w:ind w:left="252" w:hanging="180"/>
            </w:pPr>
            <w:r>
              <w:t>Flowable oxide precursors (TSA)</w:t>
            </w:r>
          </w:p>
        </w:tc>
      </w:tr>
      <w:tr w:rsidR="000C09C9" w:rsidTr="000C09C9">
        <w:tc>
          <w:tcPr>
            <w:tcW w:w="2178" w:type="dxa"/>
          </w:tcPr>
          <w:p w:rsidR="000C09C9" w:rsidRPr="000C09C9" w:rsidRDefault="000C09C9" w:rsidP="000C09C9">
            <w:pPr>
              <w:rPr>
                <w:b/>
              </w:rPr>
            </w:pPr>
            <w:r>
              <w:rPr>
                <w:b/>
              </w:rPr>
              <w:t>High-k Dielectrics</w:t>
            </w:r>
          </w:p>
        </w:tc>
        <w:tc>
          <w:tcPr>
            <w:tcW w:w="6678" w:type="dxa"/>
          </w:tcPr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Strontium, titanium and barium precursors</w:t>
            </w:r>
          </w:p>
          <w:p w:rsidR="000C09C9" w:rsidRP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HtB in Octane (HfO2)</w:t>
            </w:r>
          </w:p>
        </w:tc>
      </w:tr>
      <w:tr w:rsidR="000C09C9" w:rsidTr="000C09C9">
        <w:tc>
          <w:tcPr>
            <w:tcW w:w="2178" w:type="dxa"/>
          </w:tcPr>
          <w:p w:rsidR="000C09C9" w:rsidRPr="000C09C9" w:rsidRDefault="000C09C9" w:rsidP="000C09C9">
            <w:pPr>
              <w:rPr>
                <w:b/>
              </w:rPr>
            </w:pPr>
            <w:r>
              <w:rPr>
                <w:b/>
              </w:rPr>
              <w:t>Metals</w:t>
            </w:r>
          </w:p>
        </w:tc>
        <w:tc>
          <w:tcPr>
            <w:tcW w:w="6678" w:type="dxa"/>
          </w:tcPr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GST precursors for PRAM</w:t>
            </w:r>
          </w:p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Tantalum precursors (PDMAT, TBTDET and TaCl5)</w:t>
            </w:r>
          </w:p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Copper precursors (Cu KI5)</w:t>
            </w:r>
          </w:p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Ru, Co, La, Ni and Mn precursors</w:t>
            </w:r>
          </w:p>
          <w:p w:rsidR="000C09C9" w:rsidRP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CpCu(Co2)</w:t>
            </w:r>
          </w:p>
        </w:tc>
      </w:tr>
      <w:tr w:rsidR="000C09C9" w:rsidTr="000C09C9">
        <w:tc>
          <w:tcPr>
            <w:tcW w:w="2178" w:type="dxa"/>
          </w:tcPr>
          <w:p w:rsidR="000C09C9" w:rsidRPr="000C09C9" w:rsidRDefault="000C09C9" w:rsidP="000C09C9">
            <w:pPr>
              <w:rPr>
                <w:b/>
              </w:rPr>
            </w:pPr>
            <w:r>
              <w:rPr>
                <w:b/>
              </w:rPr>
              <w:t>Low-k interconnect dielectrics</w:t>
            </w:r>
          </w:p>
        </w:tc>
        <w:tc>
          <w:tcPr>
            <w:tcW w:w="6678" w:type="dxa"/>
          </w:tcPr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PDEMS® 2.2 and 2.0 ILD film</w:t>
            </w:r>
          </w:p>
          <w:p w:rsid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BCHD</w:t>
            </w:r>
          </w:p>
          <w:p w:rsidR="000C09C9" w:rsidRPr="000C09C9" w:rsidRDefault="000C09C9" w:rsidP="000C09C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lastRenderedPageBreak/>
              <w:t>Film hardening and damage resistant porogens</w:t>
            </w:r>
          </w:p>
        </w:tc>
      </w:tr>
      <w:tr w:rsidR="001B723D" w:rsidTr="000C09C9">
        <w:tc>
          <w:tcPr>
            <w:tcW w:w="2178" w:type="dxa"/>
          </w:tcPr>
          <w:p w:rsidR="001B723D" w:rsidRPr="000C09C9" w:rsidRDefault="001B723D" w:rsidP="00077009">
            <w:pPr>
              <w:rPr>
                <w:b/>
              </w:rPr>
            </w:pPr>
            <w:r>
              <w:rPr>
                <w:b/>
              </w:rPr>
              <w:lastRenderedPageBreak/>
              <w:t>Material recovery</w:t>
            </w:r>
          </w:p>
        </w:tc>
        <w:tc>
          <w:tcPr>
            <w:tcW w:w="6678" w:type="dxa"/>
          </w:tcPr>
          <w:p w:rsidR="001B723D" w:rsidRDefault="001B723D" w:rsidP="0007700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XeCovery® xenon recovery service</w:t>
            </w:r>
          </w:p>
          <w:p w:rsidR="001B723D" w:rsidRPr="000C09C9" w:rsidRDefault="001B723D" w:rsidP="0007700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Helium recovery</w:t>
            </w:r>
          </w:p>
        </w:tc>
      </w:tr>
      <w:tr w:rsidR="001B723D" w:rsidTr="000C09C9">
        <w:tc>
          <w:tcPr>
            <w:tcW w:w="2178" w:type="dxa"/>
          </w:tcPr>
          <w:p w:rsidR="001B723D" w:rsidRPr="000C09C9" w:rsidRDefault="001B723D" w:rsidP="00077009">
            <w:pPr>
              <w:rPr>
                <w:b/>
              </w:rPr>
            </w:pPr>
            <w:r>
              <w:rPr>
                <w:b/>
              </w:rPr>
              <w:t>Etching gases</w:t>
            </w:r>
          </w:p>
        </w:tc>
        <w:tc>
          <w:tcPr>
            <w:tcW w:w="6678" w:type="dxa"/>
          </w:tcPr>
          <w:p w:rsidR="001B723D" w:rsidRPr="000C09C9" w:rsidRDefault="001B723D" w:rsidP="0007700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Xenon DiFluoride (XeF2)</w:t>
            </w:r>
          </w:p>
        </w:tc>
      </w:tr>
      <w:tr w:rsidR="001B723D" w:rsidTr="000C09C9">
        <w:tc>
          <w:tcPr>
            <w:tcW w:w="2178" w:type="dxa"/>
          </w:tcPr>
          <w:p w:rsidR="001B723D" w:rsidRPr="000C09C9" w:rsidRDefault="001B723D" w:rsidP="00077009">
            <w:pPr>
              <w:rPr>
                <w:b/>
              </w:rPr>
            </w:pPr>
            <w:r>
              <w:rPr>
                <w:b/>
              </w:rPr>
              <w:t>3D packaging</w:t>
            </w:r>
          </w:p>
        </w:tc>
        <w:tc>
          <w:tcPr>
            <w:tcW w:w="6678" w:type="dxa"/>
          </w:tcPr>
          <w:p w:rsidR="001B723D" w:rsidRPr="000C09C9" w:rsidRDefault="001B723D" w:rsidP="00077009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hanging="648"/>
            </w:pPr>
            <w:r>
              <w:t>TSV liner films</w:t>
            </w:r>
          </w:p>
        </w:tc>
      </w:tr>
    </w:tbl>
    <w:p w:rsidR="000C09C9" w:rsidRPr="001B723D" w:rsidRDefault="000C09C9" w:rsidP="001B723D">
      <w:pPr>
        <w:ind w:left="360"/>
        <w:rPr>
          <w:b/>
        </w:rPr>
      </w:pPr>
    </w:p>
    <w:p w:rsidR="00EE3F36" w:rsidRDefault="00EE3F36" w:rsidP="00EE3F36">
      <w:pPr>
        <w:pStyle w:val="ListParagraph"/>
        <w:numPr>
          <w:ilvl w:val="0"/>
          <w:numId w:val="1"/>
        </w:numPr>
      </w:pPr>
      <w:r>
        <w:t>Growing our Business (strategic achievements)</w:t>
      </w:r>
    </w:p>
    <w:p w:rsidR="00F22873" w:rsidRDefault="00F22873" w:rsidP="00F22873">
      <w:pPr>
        <w:pStyle w:val="ListParagraph"/>
        <w:numPr>
          <w:ilvl w:val="1"/>
          <w:numId w:val="1"/>
        </w:numPr>
      </w:pPr>
      <w:r>
        <w:t>Recent investments in our R&amp;D capabilities offer our customers a collaborative relationship for joint development of new materials (add the photos of the two labs in Carlsbad and the one lab in Allentown, with captions for each of the photos)</w:t>
      </w:r>
    </w:p>
    <w:p w:rsidR="00EE3F36" w:rsidRDefault="00EE3F36" w:rsidP="00EE3F36">
      <w:pPr>
        <w:pStyle w:val="ListParagraph"/>
        <w:numPr>
          <w:ilvl w:val="0"/>
          <w:numId w:val="1"/>
        </w:numPr>
      </w:pPr>
      <w:r>
        <w:t>Market Growth Opportunities</w:t>
      </w:r>
    </w:p>
    <w:p w:rsidR="00EE3F36" w:rsidRDefault="00F22873" w:rsidP="00EE3F36">
      <w:pPr>
        <w:pStyle w:val="ListParagraph"/>
        <w:numPr>
          <w:ilvl w:val="1"/>
          <w:numId w:val="1"/>
        </w:numPr>
      </w:pPr>
      <w:r>
        <w:t>Our integrated CMP Solutions provide a full portfolio of offerings to leading edge IC manufacturers</w:t>
      </w:r>
    </w:p>
    <w:p w:rsidR="00F22873" w:rsidRDefault="00F22873" w:rsidP="00F22873">
      <w:pPr>
        <w:pStyle w:val="ListParagraph"/>
        <w:numPr>
          <w:ilvl w:val="2"/>
          <w:numId w:val="1"/>
        </w:numPr>
      </w:pPr>
      <w:r>
        <w:t>DA NanoMaterials:  A broad range of advanced CMP slurries through recent acquisition of 100% interest in DA NanoMaterials.  Offers advanced performance and reduced cost of ownership</w:t>
      </w:r>
    </w:p>
    <w:p w:rsidR="00F22873" w:rsidRDefault="00F22873" w:rsidP="00F22873">
      <w:pPr>
        <w:pStyle w:val="ListParagraph"/>
        <w:numPr>
          <w:ilvl w:val="2"/>
          <w:numId w:val="1"/>
        </w:numPr>
      </w:pPr>
      <w:r>
        <w:t>Post-CMP Cleans:  Optimized for use in combination with our DA Nano CMP slurry formulations</w:t>
      </w:r>
    </w:p>
    <w:p w:rsidR="00F22873" w:rsidRDefault="00F22873" w:rsidP="00F22873">
      <w:pPr>
        <w:pStyle w:val="ListParagraph"/>
        <w:numPr>
          <w:ilvl w:val="2"/>
          <w:numId w:val="1"/>
        </w:numPr>
      </w:pPr>
      <w:r>
        <w:t>Our FlowMaster™ CMP slurry delivery equipment offers significant benefits in product delivery, consistency and reliability.</w:t>
      </w:r>
    </w:p>
    <w:p w:rsidR="00F22873" w:rsidRDefault="00EE3F36" w:rsidP="00EE3F36">
      <w:pPr>
        <w:pStyle w:val="ListParagraph"/>
        <w:numPr>
          <w:ilvl w:val="0"/>
          <w:numId w:val="1"/>
        </w:numPr>
      </w:pPr>
      <w:r>
        <w:t>Plants/Locations</w:t>
      </w:r>
      <w:r w:rsidR="005D3C32">
        <w:t xml:space="preserve"> </w:t>
      </w:r>
    </w:p>
    <w:p w:rsidR="00EE3F36" w:rsidRDefault="005D3C32" w:rsidP="00F22873">
      <w:pPr>
        <w:pStyle w:val="ListParagraph"/>
        <w:numPr>
          <w:ilvl w:val="1"/>
          <w:numId w:val="1"/>
        </w:numPr>
      </w:pPr>
      <w:r>
        <w:t>(insert R&amp;D technology locations here</w:t>
      </w:r>
      <w:r w:rsidR="001B723D">
        <w:t>?  I don’t think we have a global map showing all of our locations – if we have something sketchy, I can redraw</w:t>
      </w:r>
      <w:r>
        <w:t>)</w:t>
      </w:r>
      <w:r w:rsidR="00151CBE">
        <w:rPr>
          <w:color w:val="FF0000"/>
        </w:rPr>
        <w:t xml:space="preserve"> how about slide #5 from the “Competitive Advantage” presentation? It has R&amp;D and Applications Labs locations.</w:t>
      </w:r>
    </w:p>
    <w:p w:rsidR="00EE3F36" w:rsidRDefault="00EE3F36" w:rsidP="00EE3F36">
      <w:pPr>
        <w:pStyle w:val="ListParagraph"/>
        <w:numPr>
          <w:ilvl w:val="0"/>
          <w:numId w:val="1"/>
        </w:numPr>
      </w:pPr>
      <w:r>
        <w:t>Elements of Market Success</w:t>
      </w:r>
      <w:r w:rsidR="0086441B">
        <w:t xml:space="preserve"> – </w:t>
      </w:r>
      <w:r w:rsidR="0086441B" w:rsidRPr="0086441B">
        <w:rPr>
          <w:highlight w:val="yellow"/>
        </w:rPr>
        <w:t>here is the stuff Dow has, we need to come up with our own</w:t>
      </w:r>
      <w:r w:rsidR="0086441B">
        <w:t>…..</w:t>
      </w:r>
      <w:r w:rsidR="00F76A8F">
        <w:rPr>
          <w:b/>
        </w:rPr>
        <w:t>John C. suggested using some SGI language in this section.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 xml:space="preserve">Industry leadership </w:t>
      </w:r>
      <w:r w:rsidR="009F687C">
        <w:t>in the global supply of Bulk/Specialty Gases and Advanced Materials for the Semiconductor (IC) and Display segments and targeted high growth markets where we are advantaged.</w:t>
      </w:r>
    </w:p>
    <w:p w:rsidR="00EA2E8D" w:rsidRDefault="00EA2E8D" w:rsidP="0086441B">
      <w:pPr>
        <w:pStyle w:val="ListParagraph"/>
        <w:numPr>
          <w:ilvl w:val="1"/>
          <w:numId w:val="1"/>
        </w:numPr>
      </w:pPr>
      <w:r>
        <w:t>Offering our customers a reliable and sustainable source of high-purity gases and chemicals.</w:t>
      </w:r>
    </w:p>
    <w:p w:rsidR="00F76A8F" w:rsidRDefault="00F76A8F" w:rsidP="0086441B">
      <w:pPr>
        <w:pStyle w:val="ListParagraph"/>
        <w:numPr>
          <w:ilvl w:val="1"/>
          <w:numId w:val="1"/>
        </w:numPr>
      </w:pPr>
      <w:r>
        <w:t>Understanding industry trends and customer challenges and leading with competitive cost-of-ownership and technical solutions.</w:t>
      </w:r>
    </w:p>
    <w:p w:rsidR="00EE3F36" w:rsidRDefault="00EE3F36" w:rsidP="00EE3F36">
      <w:pPr>
        <w:pStyle w:val="ListParagraph"/>
        <w:numPr>
          <w:ilvl w:val="0"/>
          <w:numId w:val="1"/>
        </w:numPr>
      </w:pPr>
      <w:r>
        <w:t>Competitive Advantage (elements of profitability)</w:t>
      </w:r>
      <w:r w:rsidR="0086441B">
        <w:t xml:space="preserve"> – </w:t>
      </w:r>
      <w:r w:rsidR="0086441B" w:rsidRPr="0086441B">
        <w:rPr>
          <w:highlight w:val="yellow"/>
        </w:rPr>
        <w:t>here is the stuff Dow has, we need to come up with our own</w:t>
      </w:r>
      <w:r w:rsidR="0086441B">
        <w:t>…..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Expansion into faster-growing markets that value innovation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Continuous innovation to maintain leading-edge technologies for rapidly changing industry dynamics and customer needs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Geographic presence of physical and intellectual assets to enhance customer intimacy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Close and multifaceted collaboration with customers who value innovative, customized solutions and speed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lastRenderedPageBreak/>
        <w:t>Accelerated investments to maximize new opportunities and customer growth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Strong intellectual property to provide the next generation of solutions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Opportunistic acquisitions to supplement organic growth and broden technology platforms</w:t>
      </w:r>
    </w:p>
    <w:p w:rsidR="0086441B" w:rsidRDefault="0086441B" w:rsidP="0086441B">
      <w:pPr>
        <w:pStyle w:val="ListParagraph"/>
        <w:numPr>
          <w:ilvl w:val="1"/>
          <w:numId w:val="1"/>
        </w:numPr>
      </w:pPr>
      <w:r>
        <w:t>A portion of Dow’s equity earnings from Dow Corning corporation, a 50:50 joint venture</w:t>
      </w:r>
    </w:p>
    <w:p w:rsidR="00ED68F5" w:rsidRPr="00ED68F5" w:rsidRDefault="00ED68F5" w:rsidP="00ED68F5">
      <w:pPr>
        <w:ind w:left="1080"/>
        <w:rPr>
          <w:b/>
        </w:rPr>
      </w:pPr>
    </w:p>
    <w:p w:rsidR="00077009" w:rsidRPr="00ED68F5" w:rsidRDefault="00077009" w:rsidP="00077009">
      <w:pPr>
        <w:rPr>
          <w:b/>
          <w:highlight w:val="yellow"/>
        </w:rPr>
      </w:pPr>
      <w:r w:rsidRPr="00ED68F5">
        <w:rPr>
          <w:b/>
          <w:highlight w:val="yellow"/>
        </w:rPr>
        <w:t>Some other ideas we may want to incorporate?</w:t>
      </w:r>
    </w:p>
    <w:p w:rsidR="00077009" w:rsidRDefault="00077009" w:rsidP="00077009">
      <w:pPr>
        <w:rPr>
          <w:highlight w:val="yellow"/>
        </w:rPr>
      </w:pPr>
      <w:r w:rsidRPr="00ED68F5">
        <w:rPr>
          <w:b/>
          <w:highlight w:val="yellow"/>
        </w:rPr>
        <w:t>Sustainability:</w:t>
      </w:r>
      <w:r w:rsidRPr="00ED68F5">
        <w:rPr>
          <w:highlight w:val="yellow"/>
        </w:rPr>
        <w:t xml:space="preserve">  We are proud to be a Responsible Care® company.  We take our commitment to sustainability and preserving the environment seriously.  Our policies meet or exceed governmental environmental protection laws in the countries where we operate.</w:t>
      </w:r>
    </w:p>
    <w:p w:rsidR="00ED68F5" w:rsidRDefault="00ED68F5" w:rsidP="00077009">
      <w:r w:rsidRPr="00ED68F5">
        <w:rPr>
          <w:b/>
          <w:highlight w:val="yellow"/>
        </w:rPr>
        <w:t>Consistent and reliable delivery of products:</w:t>
      </w:r>
      <w:r w:rsidRPr="00ED68F5">
        <w:rPr>
          <w:highlight w:val="yellow"/>
        </w:rPr>
        <w:t xml:space="preserve">  Ensuring the safety and security of global materials supply to our customers is very important.  We have a strong focus on next generation supply chain principles that make sure we provide reliable and continuous flow of products to our customers.</w:t>
      </w:r>
    </w:p>
    <w:p w:rsidR="00ED68F5" w:rsidRDefault="00ED68F5" w:rsidP="00077009">
      <w:r w:rsidRPr="00ED68F5">
        <w:rPr>
          <w:b/>
          <w:highlight w:val="yellow"/>
        </w:rPr>
        <w:t>At Air Products, it’s all about the chemistry</w:t>
      </w:r>
      <w:r w:rsidRPr="00ED68F5">
        <w:rPr>
          <w:highlight w:val="yellow"/>
        </w:rPr>
        <w:t>…….talk to us, we’ll listen.</w:t>
      </w:r>
    </w:p>
    <w:p w:rsidR="007E41B6" w:rsidRPr="007E41B6" w:rsidRDefault="007E41B6">
      <w:pPr>
        <w:rPr>
          <w:b/>
        </w:rPr>
      </w:pPr>
    </w:p>
    <w:sectPr w:rsidR="007E41B6" w:rsidRPr="007E41B6" w:rsidSect="007E44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356" w:rsidRDefault="00A04356" w:rsidP="00EE3F36">
      <w:pPr>
        <w:spacing w:after="0" w:line="240" w:lineRule="auto"/>
      </w:pPr>
      <w:r>
        <w:separator/>
      </w:r>
    </w:p>
  </w:endnote>
  <w:endnote w:type="continuationSeparator" w:id="0">
    <w:p w:rsidR="00A04356" w:rsidRDefault="00A04356" w:rsidP="00EE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Os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Default="00A043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Pr="00EE3F36" w:rsidRDefault="00A04356" w:rsidP="00EE3F36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Air Products Internal Use Only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Default="00A04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356" w:rsidRDefault="00A04356" w:rsidP="00EE3F36">
      <w:pPr>
        <w:spacing w:after="0" w:line="240" w:lineRule="auto"/>
      </w:pPr>
      <w:r>
        <w:separator/>
      </w:r>
    </w:p>
  </w:footnote>
  <w:footnote w:type="continuationSeparator" w:id="0">
    <w:p w:rsidR="00A04356" w:rsidRDefault="00A04356" w:rsidP="00EE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Default="00A043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Default="00A043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56" w:rsidRDefault="00A043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568"/>
    <w:multiLevelType w:val="hybridMultilevel"/>
    <w:tmpl w:val="4EF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B3FA1"/>
    <w:multiLevelType w:val="hybridMultilevel"/>
    <w:tmpl w:val="418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B4F2A"/>
    <w:multiLevelType w:val="hybridMultilevel"/>
    <w:tmpl w:val="7930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F36"/>
    <w:rsid w:val="00077009"/>
    <w:rsid w:val="000C09C9"/>
    <w:rsid w:val="000E6689"/>
    <w:rsid w:val="00104E6E"/>
    <w:rsid w:val="00151CBE"/>
    <w:rsid w:val="001B723D"/>
    <w:rsid w:val="002708D9"/>
    <w:rsid w:val="0029157A"/>
    <w:rsid w:val="002C3B22"/>
    <w:rsid w:val="002C6F26"/>
    <w:rsid w:val="00421604"/>
    <w:rsid w:val="00437C74"/>
    <w:rsid w:val="00441C00"/>
    <w:rsid w:val="00457E38"/>
    <w:rsid w:val="00463B3C"/>
    <w:rsid w:val="005242AE"/>
    <w:rsid w:val="00575028"/>
    <w:rsid w:val="005D3C32"/>
    <w:rsid w:val="00604DD7"/>
    <w:rsid w:val="00635258"/>
    <w:rsid w:val="00747149"/>
    <w:rsid w:val="007A30EF"/>
    <w:rsid w:val="007C617A"/>
    <w:rsid w:val="007E41B6"/>
    <w:rsid w:val="007E44C6"/>
    <w:rsid w:val="0086441B"/>
    <w:rsid w:val="008C6357"/>
    <w:rsid w:val="009654C3"/>
    <w:rsid w:val="009A31DE"/>
    <w:rsid w:val="009F687C"/>
    <w:rsid w:val="00A04356"/>
    <w:rsid w:val="00A769A5"/>
    <w:rsid w:val="00AC419A"/>
    <w:rsid w:val="00C42BBD"/>
    <w:rsid w:val="00CE7C44"/>
    <w:rsid w:val="00E51F82"/>
    <w:rsid w:val="00E522EA"/>
    <w:rsid w:val="00E66924"/>
    <w:rsid w:val="00E94CC6"/>
    <w:rsid w:val="00EA2E8D"/>
    <w:rsid w:val="00ED35B0"/>
    <w:rsid w:val="00ED68F5"/>
    <w:rsid w:val="00EE3F36"/>
    <w:rsid w:val="00F006F1"/>
    <w:rsid w:val="00F13437"/>
    <w:rsid w:val="00F22873"/>
    <w:rsid w:val="00F26E19"/>
    <w:rsid w:val="00F3289E"/>
    <w:rsid w:val="00F346E3"/>
    <w:rsid w:val="00F567A4"/>
    <w:rsid w:val="00F76A8F"/>
    <w:rsid w:val="00FB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F36"/>
  </w:style>
  <w:style w:type="paragraph" w:styleId="Footer">
    <w:name w:val="footer"/>
    <w:basedOn w:val="Normal"/>
    <w:link w:val="FooterChar"/>
    <w:uiPriority w:val="99"/>
    <w:semiHidden/>
    <w:unhideWhenUsed/>
    <w:rsid w:val="00EE3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36"/>
  </w:style>
  <w:style w:type="paragraph" w:styleId="ListParagraph">
    <w:name w:val="List Paragraph"/>
    <w:basedOn w:val="Normal"/>
    <w:uiPriority w:val="34"/>
    <w:qFormat/>
    <w:rsid w:val="00EE3F36"/>
    <w:pPr>
      <w:ind w:left="720"/>
      <w:contextualSpacing/>
    </w:pPr>
  </w:style>
  <w:style w:type="table" w:styleId="TableGrid">
    <w:name w:val="Table Grid"/>
    <w:basedOn w:val="TableNormal"/>
    <w:uiPriority w:val="59"/>
    <w:rsid w:val="000C0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636885637293144"/>
          <c:y val="9.784513924798921E-2"/>
          <c:w val="0.70639227931595849"/>
          <c:h val="0.7831023248538998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009B48"/>
            </a:solidFill>
            <a:ln>
              <a:solidFill>
                <a:srgbClr val="FFFFFF"/>
              </a:solidFill>
            </a:ln>
          </c:spPr>
          <c:dPt>
            <c:idx val="1"/>
            <c:spPr>
              <a:solidFill>
                <a:srgbClr val="E37222"/>
              </a:solidFill>
              <a:ln>
                <a:solidFill>
                  <a:srgbClr val="FFFFFF"/>
                </a:solidFill>
              </a:ln>
            </c:spPr>
          </c:dPt>
          <c:dPt>
            <c:idx val="2"/>
            <c:spPr>
              <a:solidFill>
                <a:srgbClr val="00A9E0"/>
              </a:solidFill>
              <a:ln>
                <a:solidFill>
                  <a:srgbClr val="FFFFFF"/>
                </a:solidFill>
              </a:ln>
            </c:spPr>
          </c:dPt>
          <c:dPt>
            <c:idx val="3"/>
            <c:spPr>
              <a:solidFill>
                <a:srgbClr val="8FD400"/>
              </a:solidFill>
              <a:ln>
                <a:solidFill>
                  <a:srgbClr val="FFFFFF"/>
                </a:solidFill>
              </a:ln>
            </c:spPr>
          </c:dPt>
          <c:dPt>
            <c:idx val="4"/>
            <c:spPr>
              <a:solidFill>
                <a:srgbClr val="FFCB00"/>
              </a:solidFill>
              <a:ln>
                <a:solidFill>
                  <a:srgbClr val="FFFFFF"/>
                </a:solidFill>
              </a:ln>
            </c:spPr>
          </c:dPt>
          <c:dPt>
            <c:idx val="5"/>
            <c:spPr>
              <a:solidFill>
                <a:srgbClr val="CF0360"/>
              </a:solidFill>
              <a:ln>
                <a:solidFill>
                  <a:srgbClr val="FFFFFF"/>
                </a:solidFill>
              </a:ln>
            </c:spPr>
          </c:dPt>
          <c:dPt>
            <c:idx val="6"/>
            <c:spPr>
              <a:solidFill>
                <a:srgbClr val="808080"/>
              </a:solidFill>
              <a:ln>
                <a:solidFill>
                  <a:srgbClr val="FFFFFF"/>
                </a:solidFill>
              </a:ln>
            </c:spPr>
          </c:dPt>
          <c:dPt>
            <c:idx val="7"/>
            <c:spPr>
              <a:solidFill>
                <a:srgbClr val="00A9E0">
                  <a:lumMod val="40000"/>
                  <a:lumOff val="60000"/>
                </a:srgbClr>
              </a:solidFill>
              <a:ln>
                <a:solidFill>
                  <a:srgbClr val="FFFFFF"/>
                </a:solidFill>
              </a:ln>
            </c:spPr>
          </c:dPt>
          <c:dLbls>
            <c:delete val="1"/>
          </c:dLbls>
          <c:cat>
            <c:strRef>
              <c:f>Sheet1!$A$2:$A$9</c:f>
              <c:strCache>
                <c:ptCount val="8"/>
                <c:pt idx="0">
                  <c:v>Energy</c:v>
                </c:pt>
                <c:pt idx="1">
                  <c:v>Electronics</c:v>
                </c:pt>
                <c:pt idx="2">
                  <c:v>Chemicals</c:v>
                </c:pt>
                <c:pt idx="3">
                  <c:v>Manufacturing</c:v>
                </c:pt>
                <c:pt idx="4">
                  <c:v>Other</c:v>
                </c:pt>
                <c:pt idx="5">
                  <c:v>Metals</c:v>
                </c:pt>
                <c:pt idx="6">
                  <c:v>Food</c:v>
                </c:pt>
                <c:pt idx="7">
                  <c:v>Medical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2.2890000000000001</c:v>
                </c:pt>
                <c:pt idx="1">
                  <c:v>1.655</c:v>
                </c:pt>
                <c:pt idx="2">
                  <c:v>1.9419999999999931</c:v>
                </c:pt>
                <c:pt idx="3">
                  <c:v>1.349</c:v>
                </c:pt>
                <c:pt idx="4">
                  <c:v>0.90400000000000003</c:v>
                </c:pt>
                <c:pt idx="5">
                  <c:v>0.875000000000003</c:v>
                </c:pt>
                <c:pt idx="6">
                  <c:v>0.37000000000000038</c:v>
                </c:pt>
                <c:pt idx="7">
                  <c:v>0.28600000000000031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Energy</c:v>
                </c:pt>
                <c:pt idx="1">
                  <c:v>Electronics</c:v>
                </c:pt>
                <c:pt idx="2">
                  <c:v>Chemicals</c:v>
                </c:pt>
                <c:pt idx="3">
                  <c:v>Manufacturing</c:v>
                </c:pt>
                <c:pt idx="4">
                  <c:v>Other</c:v>
                </c:pt>
                <c:pt idx="5">
                  <c:v>Metals</c:v>
                </c:pt>
                <c:pt idx="6">
                  <c:v>Food</c:v>
                </c:pt>
                <c:pt idx="7">
                  <c:v>Medical</c:v>
                </c:pt>
              </c:strCache>
            </c:strRef>
          </c:cat>
          <c:val>
            <c:numRef>
              <c:f>Sheet1!$C$2:$C$9</c:f>
              <c:numCache>
                <c:formatCode>0%</c:formatCode>
                <c:ptCount val="8"/>
                <c:pt idx="0">
                  <c:v>0.23671147880041443</c:v>
                </c:pt>
                <c:pt idx="1">
                  <c:v>0.17114788004136647</c:v>
                </c:pt>
                <c:pt idx="2">
                  <c:v>0.20082730093071388</c:v>
                </c:pt>
                <c:pt idx="3">
                  <c:v>0.139503619441572</c:v>
                </c:pt>
                <c:pt idx="4">
                  <c:v>9.3485005170631519E-2</c:v>
                </c:pt>
                <c:pt idx="5">
                  <c:v>9.0486039296794191E-2</c:v>
                </c:pt>
                <c:pt idx="6">
                  <c:v>3.8262668045501519E-2</c:v>
                </c:pt>
                <c:pt idx="7">
                  <c:v>2.9576008273009411E-2</c:v>
                </c:pt>
              </c:numCache>
            </c:numRef>
          </c:val>
        </c:ser>
        <c:dLbls>
          <c:showPercent val="1"/>
        </c:dLbls>
        <c:firstSliceAng val="0"/>
      </c:pieChart>
    </c:plotArea>
    <c:plotVisOnly val="1"/>
    <c:dispBlanksAs val="zero"/>
  </c:chart>
  <c:txPr>
    <a:bodyPr/>
    <a:lstStyle/>
    <a:p>
      <a:pPr>
        <a:defRPr sz="1800"/>
      </a:pPr>
      <a:endParaRPr lang="en-US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636885637293144"/>
          <c:y val="9.7845139247989044E-2"/>
          <c:w val="0.70639227931595849"/>
          <c:h val="0.7831023248538998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808080">
                <a:lumMod val="40000"/>
                <a:lumOff val="60000"/>
              </a:srgbClr>
            </a:solidFill>
            <a:ln>
              <a:solidFill>
                <a:schemeClr val="bg1"/>
              </a:solidFill>
            </a:ln>
          </c:spPr>
          <c:dPt>
            <c:idx val="0"/>
            <c:spPr>
              <a:solidFill>
                <a:srgbClr val="009B48"/>
              </a:solidFill>
              <a:ln>
                <a:solidFill>
                  <a:schemeClr val="bg1"/>
                </a:solidFill>
              </a:ln>
            </c:spPr>
          </c:dPt>
          <c:dPt>
            <c:idx val="1"/>
            <c:spPr>
              <a:solidFill>
                <a:srgbClr val="E37222"/>
              </a:solidFill>
              <a:ln>
                <a:solidFill>
                  <a:schemeClr val="bg1"/>
                </a:solidFill>
              </a:ln>
            </c:spPr>
          </c:dPt>
          <c:dPt>
            <c:idx val="2"/>
            <c:spPr>
              <a:solidFill>
                <a:srgbClr val="8FD400"/>
              </a:solidFill>
              <a:ln>
                <a:solidFill>
                  <a:schemeClr val="bg1"/>
                </a:solidFill>
              </a:ln>
            </c:spPr>
          </c:dPt>
          <c:dPt>
            <c:idx val="3"/>
            <c:spPr>
              <a:solidFill>
                <a:srgbClr val="00A9E0"/>
              </a:solidFill>
              <a:ln>
                <a:solidFill>
                  <a:schemeClr val="bg1"/>
                </a:solidFill>
              </a:ln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0.28000000000000008</c:v>
                </c:pt>
                <c:pt idx="1">
                  <c:v>0.25</c:v>
                </c:pt>
                <c:pt idx="2">
                  <c:v>7.0000000000000021E-2</c:v>
                </c:pt>
                <c:pt idx="3">
                  <c:v>0.4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0.28000000000000008</c:v>
                </c:pt>
                <c:pt idx="1">
                  <c:v>0.25</c:v>
                </c:pt>
                <c:pt idx="2">
                  <c:v>7.0000000000000021E-2</c:v>
                </c:pt>
                <c:pt idx="3">
                  <c:v>0.4</c:v>
                </c:pt>
              </c:numCache>
            </c:numRef>
          </c:val>
        </c:ser>
        <c:dLbls>
          <c:showPercent val="1"/>
        </c:dLbls>
        <c:firstSliceAng val="0"/>
      </c:pieChart>
    </c:plotArea>
    <c:plotVisOnly val="1"/>
    <c:dispBlanksAs val="zero"/>
  </c:chart>
  <c:txPr>
    <a:bodyPr/>
    <a:lstStyle/>
    <a:p>
      <a:pPr>
        <a:defRPr sz="1800"/>
      </a:pPr>
      <a:endParaRPr lang="en-US"/>
    </a:p>
  </c:txPr>
  <c:externalData r:id="rId2"/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0.02648</cdr:x>
      <cdr:y>0.18214</cdr:y>
    </cdr:from>
    <cdr:to>
      <cdr:x>0.30429</cdr:x>
      <cdr:y>0.30341</cdr:y>
    </cdr:to>
    <cdr:sp macro="" textlink="">
      <cdr:nvSpPr>
        <cdr:cNvPr id="2" name="TextBox 45"/>
        <cdr:cNvSpPr txBox="1"/>
      </cdr:nvSpPr>
      <cdr:spPr>
        <a:xfrm xmlns:a="http://schemas.openxmlformats.org/drawingml/2006/main">
          <a:off x="83820" y="693420"/>
          <a:ext cx="879374" cy="461664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>
          <a:spAutoFit/>
        </a:bodyPr>
        <a:lstStyle xmlns:a="http://schemas.openxmlformats.org/drawingml/2006/main">
          <a:defPPr>
            <a:defRPr lang="en-US"/>
          </a:defPPr>
          <a:lvl1pPr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1pPr>
          <a:lvl2pPr marL="4572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2pPr>
          <a:lvl3pPr marL="9144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3pPr>
          <a:lvl4pPr marL="13716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4pPr>
          <a:lvl5pPr marL="18288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5pPr>
          <a:lvl6pPr marL="22860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6pPr>
          <a:lvl7pPr marL="27432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7pPr>
          <a:lvl8pPr marL="32004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8pPr>
          <a:lvl9pPr marL="36576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9pPr>
        </a:lstStyle>
        <a:p xmlns:a="http://schemas.openxmlformats.org/drawingml/2006/main">
          <a:pPr algn="ctr"/>
          <a:r>
            <a:rPr lang="en-US" sz="1200" dirty="0" smtClean="0"/>
            <a:t>U.S.</a:t>
          </a:r>
        </a:p>
        <a:p xmlns:a="http://schemas.openxmlformats.org/drawingml/2006/main">
          <a:pPr algn="ctr"/>
          <a:r>
            <a:rPr lang="en-US" sz="1200" dirty="0" smtClean="0"/>
            <a:t>40%</a:t>
          </a:r>
          <a:endParaRPr lang="en-US" sz="1200" dirty="0"/>
        </a:p>
      </cdr:txBody>
    </cdr:sp>
  </cdr:relSizeAnchor>
  <cdr:relSizeAnchor xmlns:cdr="http://schemas.openxmlformats.org/drawingml/2006/chartDrawing">
    <cdr:from>
      <cdr:x>0.54646</cdr:x>
      <cdr:y>0.6525</cdr:y>
    </cdr:from>
    <cdr:to>
      <cdr:x>0.9133</cdr:x>
      <cdr:y>0.77377</cdr:y>
    </cdr:to>
    <cdr:sp macro="" textlink="">
      <cdr:nvSpPr>
        <cdr:cNvPr id="3" name="TextBox 41"/>
        <cdr:cNvSpPr txBox="1"/>
      </cdr:nvSpPr>
      <cdr:spPr>
        <a:xfrm xmlns:a="http://schemas.openxmlformats.org/drawingml/2006/main">
          <a:off x="1729740" y="2484120"/>
          <a:ext cx="1161179" cy="461664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>
          <a:spAutoFit/>
        </a:bodyPr>
        <a:lstStyle xmlns:a="http://schemas.openxmlformats.org/drawingml/2006/main">
          <a:defPPr>
            <a:defRPr lang="en-US"/>
          </a:defPPr>
          <a:lvl1pPr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1pPr>
          <a:lvl2pPr marL="4572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2pPr>
          <a:lvl3pPr marL="9144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3pPr>
          <a:lvl4pPr marL="13716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4pPr>
          <a:lvl5pPr marL="18288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5pPr>
          <a:lvl6pPr marL="22860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6pPr>
          <a:lvl7pPr marL="27432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7pPr>
          <a:lvl8pPr marL="32004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8pPr>
          <a:lvl9pPr marL="36576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9pPr>
        </a:lstStyle>
        <a:p xmlns:a="http://schemas.openxmlformats.org/drawingml/2006/main">
          <a:pPr algn="ctr"/>
          <a:r>
            <a:rPr lang="en-US" sz="1200" dirty="0" smtClean="0"/>
            <a:t>Asia</a:t>
          </a:r>
        </a:p>
        <a:p xmlns:a="http://schemas.openxmlformats.org/drawingml/2006/main">
          <a:pPr algn="ctr"/>
          <a:r>
            <a:rPr lang="en-US" sz="1200" dirty="0" smtClean="0"/>
            <a:t>25%</a:t>
          </a:r>
          <a:endParaRPr lang="en-US" sz="1200" dirty="0"/>
        </a:p>
      </cdr:txBody>
    </cdr:sp>
  </cdr:relSizeAnchor>
  <cdr:relSizeAnchor xmlns:cdr="http://schemas.openxmlformats.org/drawingml/2006/chartDrawing">
    <cdr:from>
      <cdr:x>0</cdr:x>
      <cdr:y>0.72256</cdr:y>
    </cdr:from>
    <cdr:to>
      <cdr:x>0.68054</cdr:x>
      <cdr:y>0.89233</cdr:y>
    </cdr:to>
    <cdr:sp macro="" textlink="">
      <cdr:nvSpPr>
        <cdr:cNvPr id="4" name="TextBox 44"/>
        <cdr:cNvSpPr txBox="1"/>
      </cdr:nvSpPr>
      <cdr:spPr>
        <a:xfrm xmlns:a="http://schemas.openxmlformats.org/drawingml/2006/main">
          <a:off x="0" y="2750820"/>
          <a:ext cx="2154150" cy="646331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>
          <a:spAutoFit/>
        </a:bodyPr>
        <a:lstStyle xmlns:a="http://schemas.openxmlformats.org/drawingml/2006/main">
          <a:defPPr>
            <a:defRPr lang="en-US"/>
          </a:defPPr>
          <a:lvl1pPr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1pPr>
          <a:lvl2pPr marL="4572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2pPr>
          <a:lvl3pPr marL="9144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3pPr>
          <a:lvl4pPr marL="13716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4pPr>
          <a:lvl5pPr marL="18288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5pPr>
          <a:lvl6pPr marL="22860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6pPr>
          <a:lvl7pPr marL="27432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7pPr>
          <a:lvl8pPr marL="32004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8pPr>
          <a:lvl9pPr marL="36576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9pPr>
        </a:lstStyle>
        <a:p xmlns:a="http://schemas.openxmlformats.org/drawingml/2006/main">
          <a:pPr algn="ctr"/>
          <a:r>
            <a:rPr lang="en-US" sz="1200" dirty="0" smtClean="0"/>
            <a:t>Canada/</a:t>
          </a:r>
          <a:br>
            <a:rPr lang="en-US" sz="1200" dirty="0" smtClean="0"/>
          </a:br>
          <a:r>
            <a:rPr lang="en-US" sz="1200" dirty="0" smtClean="0"/>
            <a:t>Latin America</a:t>
          </a:r>
        </a:p>
        <a:p xmlns:a="http://schemas.openxmlformats.org/drawingml/2006/main">
          <a:pPr algn="ctr"/>
          <a:r>
            <a:rPr lang="en-US" sz="1200" dirty="0" smtClean="0"/>
            <a:t>7%</a:t>
          </a:r>
          <a:endParaRPr lang="en-US" sz="1200" dirty="0"/>
        </a:p>
      </cdr:txBody>
    </cdr:sp>
  </cdr:relSizeAnchor>
  <cdr:relSizeAnchor xmlns:cdr="http://schemas.openxmlformats.org/drawingml/2006/chartDrawing">
    <cdr:from>
      <cdr:x>0.64985</cdr:x>
      <cdr:y>0.20816</cdr:y>
    </cdr:from>
    <cdr:to>
      <cdr:x>1</cdr:x>
      <cdr:y>0.32943</cdr:y>
    </cdr:to>
    <cdr:sp macro="" textlink="">
      <cdr:nvSpPr>
        <cdr:cNvPr id="5" name="TextBox 38"/>
        <cdr:cNvSpPr txBox="1"/>
      </cdr:nvSpPr>
      <cdr:spPr>
        <a:xfrm xmlns:a="http://schemas.openxmlformats.org/drawingml/2006/main">
          <a:off x="2057110" y="792480"/>
          <a:ext cx="1108365" cy="461664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>
          <a:spAutoFit/>
        </a:bodyPr>
        <a:lstStyle xmlns:a="http://schemas.openxmlformats.org/drawingml/2006/main">
          <a:defPPr>
            <a:defRPr lang="en-US"/>
          </a:defPPr>
          <a:lvl1pPr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1pPr>
          <a:lvl2pPr marL="4572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2pPr>
          <a:lvl3pPr marL="9144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3pPr>
          <a:lvl4pPr marL="13716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4pPr>
          <a:lvl5pPr marL="1828800" algn="l" rtl="0" eaLnBrk="0" fontAlgn="base" hangingPunct="0">
            <a:spcBef>
              <a:spcPct val="0"/>
            </a:spcBef>
            <a:spcAft>
              <a:spcPct val="0"/>
            </a:spcAft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5pPr>
          <a:lvl6pPr marL="22860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6pPr>
          <a:lvl7pPr marL="27432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7pPr>
          <a:lvl8pPr marL="32004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8pPr>
          <a:lvl9pPr marL="3657600" algn="l" defTabSz="914400" rtl="0" eaLnBrk="1" latinLnBrk="0" hangingPunct="1">
            <a:defRPr sz="2400" kern="1200">
              <a:solidFill>
                <a:srgbClr val="000000"/>
              </a:solidFill>
              <a:latin typeface="Verdana" pitchFamily="-96" charset="0"/>
              <a:ea typeface="ＭＳ Ｐゴシック" pitchFamily="28" charset="-128"/>
            </a:defRPr>
          </a:lvl9pPr>
        </a:lstStyle>
        <a:p xmlns:a="http://schemas.openxmlformats.org/drawingml/2006/main">
          <a:pPr algn="ctr"/>
          <a:r>
            <a:rPr lang="en-US" sz="1200" dirty="0" smtClean="0"/>
            <a:t>Europe</a:t>
          </a:r>
        </a:p>
        <a:p xmlns:a="http://schemas.openxmlformats.org/drawingml/2006/main">
          <a:pPr algn="ctr"/>
          <a:r>
            <a:rPr lang="en-US" sz="1200" dirty="0" smtClean="0"/>
            <a:t>28%</a:t>
          </a:r>
          <a:endParaRPr lang="en-US" sz="1200" dirty="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Investor Conf 2011">
    <a:dk1>
      <a:srgbClr val="000000"/>
    </a:dk1>
    <a:lt1>
      <a:srgbClr val="FFFFFF"/>
    </a:lt1>
    <a:dk2>
      <a:srgbClr val="009B48"/>
    </a:dk2>
    <a:lt2>
      <a:srgbClr val="808080"/>
    </a:lt2>
    <a:accent1>
      <a:srgbClr val="009B48"/>
    </a:accent1>
    <a:accent2>
      <a:srgbClr val="E37222"/>
    </a:accent2>
    <a:accent3>
      <a:srgbClr val="00A9E0"/>
    </a:accent3>
    <a:accent4>
      <a:srgbClr val="FFCB00"/>
    </a:accent4>
    <a:accent5>
      <a:srgbClr val="8FD400"/>
    </a:accent5>
    <a:accent6>
      <a:srgbClr val="CF0360"/>
    </a:accent6>
    <a:hlink>
      <a:srgbClr val="99D7B6"/>
    </a:hlink>
    <a:folHlink>
      <a:srgbClr val="9BE7FF"/>
    </a:folHlink>
  </a:clrScheme>
  <a:fontScheme name="Blank Presentation">
    <a:majorFont>
      <a:latin typeface="Verdana"/>
      <a:ea typeface="ＭＳ Ｐゴシック"/>
      <a:cs typeface=""/>
    </a:majorFont>
    <a:minorFont>
      <a:latin typeface="Verdana"/>
      <a:ea typeface="ＭＳ Ｐ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Investor Conf 2011">
    <a:dk1>
      <a:srgbClr val="000000"/>
    </a:dk1>
    <a:lt1>
      <a:srgbClr val="FFFFFF"/>
    </a:lt1>
    <a:dk2>
      <a:srgbClr val="009B48"/>
    </a:dk2>
    <a:lt2>
      <a:srgbClr val="808080"/>
    </a:lt2>
    <a:accent1>
      <a:srgbClr val="009B48"/>
    </a:accent1>
    <a:accent2>
      <a:srgbClr val="E37222"/>
    </a:accent2>
    <a:accent3>
      <a:srgbClr val="00A9E0"/>
    </a:accent3>
    <a:accent4>
      <a:srgbClr val="FFCB00"/>
    </a:accent4>
    <a:accent5>
      <a:srgbClr val="8FD400"/>
    </a:accent5>
    <a:accent6>
      <a:srgbClr val="CF0360"/>
    </a:accent6>
    <a:hlink>
      <a:srgbClr val="99D7B6"/>
    </a:hlink>
    <a:folHlink>
      <a:srgbClr val="9BE7FF"/>
    </a:folHlink>
  </a:clrScheme>
  <a:fontScheme name="Blank Presentation">
    <a:majorFont>
      <a:latin typeface="Verdana"/>
      <a:ea typeface="ＭＳ Ｐゴシック"/>
      <a:cs typeface=""/>
    </a:majorFont>
    <a:minorFont>
      <a:latin typeface="Verdana"/>
      <a:ea typeface="ＭＳ Ｐ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Inactive xmlns="http://schemas.microsoft.com/sharepoint/v3">false</Inactive>
    <Business_x0020_Area_x0020_Codes xmlns="b774b8cb-c9d2-4acc-85e1-47da56a5b83f">(None)</Business_x0020_Area_x0020_Codes>
    <Product_x0020_Type xmlns="b774b8cb-c9d2-4acc-85e1-47da56a5b83f" xsi:nil="true"/>
    <APDescription xmlns="http://schemas.microsoft.com/sharepoint/v3">START HERE</APDescription>
    <InfoClass xmlns="http://schemas.microsoft.com/sharepoint/v3">Air Products Internal Use Only</InfoCla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PDocument" ma:contentTypeID="0x010100054E53FEE9F44F4182A821FC53344EEC000E201ADECBAA6C40939788EB7BC06E6D" ma:contentTypeVersion="32" ma:contentTypeDescription="Create a new document." ma:contentTypeScope="" ma:versionID="5416ce7954591731468c98100eabf87e">
  <xsd:schema xmlns:xsd="http://www.w3.org/2001/XMLSchema" xmlns:xs="http://www.w3.org/2001/XMLSchema" xmlns:p="http://schemas.microsoft.com/office/2006/metadata/properties" xmlns:ns1="http://schemas.microsoft.com/sharepoint/v3" xmlns:ns3="b774b8cb-c9d2-4acc-85e1-47da56a5b83f" targetNamespace="http://schemas.microsoft.com/office/2006/metadata/properties" ma:root="true" ma:fieldsID="4cd39d7f1bd50e2188d72047b89751d2" ns1:_="" ns3:_="">
    <xsd:import namespace="http://schemas.microsoft.com/sharepoint/v3"/>
    <xsd:import namespace="b774b8cb-c9d2-4acc-85e1-47da56a5b83f"/>
    <xsd:element name="properties">
      <xsd:complexType>
        <xsd:sequence>
          <xsd:element name="documentManagement">
            <xsd:complexType>
              <xsd:all>
                <xsd:element ref="ns1:APDescription" minOccurs="0"/>
                <xsd:element ref="ns1:Language" minOccurs="0"/>
                <xsd:element ref="ns1:InfoClass"/>
                <xsd:element ref="ns3:Product_x0020_Type" minOccurs="0"/>
                <xsd:element ref="ns3:Business_x0020_Area_x0020_Codes" minOccurs="0"/>
                <xsd:element ref="ns1:Inact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PDescription" ma:index="9" nillable="true" ma:displayName="Description" ma:description="Text entered ranks higher in search results (seperate phrases or keywords with commas)" ma:internalName="APDescription">
      <xsd:simpleType>
        <xsd:restriction base="dms:Note"/>
      </xsd:simpleType>
    </xsd:element>
    <xsd:element name="Language" ma:index="10" nillable="true" ma:displayName="Language" ma:default="English" ma:description="Primary language of the content." ma:internalName="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InfoClass" ma:index="11" ma:displayName="Information Classification" ma:default="Air Products Internal Use Only" ma:description="For more information, click here http://apshare.apci.com/APHelp/SolutionScenarios/InformationClassification.doc" ma:internalName="InfoClass">
      <xsd:simpleType>
        <xsd:restriction base="dms:Choice">
          <xsd:enumeration value="Air Products Confidential"/>
          <xsd:enumeration value="Air Products Internal Use Only"/>
          <xsd:enumeration value="Air Products Public"/>
          <xsd:enumeration value="Air Products Confidential–Restricted (Government)"/>
        </xsd:restriction>
      </xsd:simpleType>
    </xsd:element>
    <xsd:element name="Inactive" ma:index="14" nillable="true" ma:displayName="Inactive?" ma:description="Click checkbox to hide the document in views that show active documents." ma:internalName="Inact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4b8cb-c9d2-4acc-85e1-47da56a5b83f" elementFormDefault="qualified">
    <xsd:import namespace="http://schemas.microsoft.com/office/2006/documentManagement/types"/>
    <xsd:import namespace="http://schemas.microsoft.com/office/infopath/2007/PartnerControls"/>
    <xsd:element name="Product_x0020_Type" ma:index="12" nillable="true" ma:displayName="Product Type" ma:format="Dropdown" ma:internalName="Product_x0020_Type">
      <xsd:simpleType>
        <xsd:restriction base="dms:Choice">
          <xsd:enumeration value="(None)"/>
          <xsd:enumeration value="Advertisement"/>
          <xsd:enumeration value="Article"/>
          <xsd:enumeration value="Banner"/>
          <xsd:enumeration value="Binder / Booklet / Manual"/>
          <xsd:enumeration value="Brief"/>
          <xsd:enumeration value="Brochure"/>
          <xsd:enumeration value="Case Study"/>
          <xsd:enumeration value="Data Sheet"/>
          <xsd:enumeration value="Direct Mail / Invitation"/>
          <xsd:enumeration value="E-Direct Mail / Invitation"/>
          <xsd:enumeration value="E-Communication / Newsletter"/>
          <xsd:enumeration value="Flyer"/>
          <xsd:enumeration value="Graphic / Illustration"/>
          <xsd:enumeration value="News Release"/>
          <xsd:enumeration value="Newsletter"/>
          <xsd:enumeration value="Media Statement / Advisory"/>
          <xsd:enumeration value="Mobile App"/>
          <xsd:enumeration value="Photograph"/>
          <xsd:enumeration value="Poster / Signage / Point of Sale"/>
          <xsd:enumeration value="Presentation"/>
          <xsd:enumeration value="Promotional Item"/>
          <xsd:enumeration value="Knowledge / Technical Paper"/>
          <xsd:enumeration value="Safetygram"/>
          <xsd:enumeration value="Talking Points / Q&amp;A’s"/>
          <xsd:enumeration value="Template / Form"/>
          <xsd:enumeration value="Video"/>
          <xsd:enumeration value="Podcast"/>
          <xsd:enumeration value="Web Page"/>
          <xsd:enumeration value="WebCast"/>
        </xsd:restriction>
      </xsd:simpleType>
    </xsd:element>
    <xsd:element name="Business_x0020_Area_x0020_Codes" ma:index="13" nillable="true" ma:displayName="Business Area Codes" ma:default="(None)" ma:description="The three digit business area code pertaining to the project (OPTIONAL)" ma:format="Dropdown" ma:internalName="Business_x0020_Area_x0020_Codes">
      <xsd:simpleType>
        <xsd:restriction base="dms:Choice">
          <xsd:enumeration value="(None)"/>
          <xsd:enumeration value="101 - General"/>
          <xsd:enumeration value="110 - Industrial &amp; Institutional Cleaning (Tomah)"/>
          <xsd:enumeration value="120 - Specialty Additives (Performance Solutions)"/>
          <xsd:enumeration value="125 - Epoxy Additives"/>
          <xsd:enumeration value="140 - Polyurethane Additives"/>
          <xsd:enumeration value="140 - Polyurethane Intermediates (PUI)"/>
          <xsd:enumeration value="165 - Advanced Materials"/>
          <xsd:enumeration value="165 - Personal Care"/>
          <xsd:enumeration value="170 - Nanotechnology"/>
          <xsd:enumeration value="220 – LNG Transportation"/>
          <xsd:enumeration value="230 - LNG Liquified Natural Gas"/>
          <xsd:enumeration value="231 - PG Metal Fabrication"/>
          <xsd:enumeration value="232 - PG Balloon Gas"/>
          <xsd:enumeration value="233 - PG Agents"/>
          <xsd:enumeration value="235 - PG - Customer Newsletter"/>
          <xsd:enumeration value="237 - CryoEase / Microbulk"/>
          <xsd:enumeration value="238 – Offshore"/>
          <xsd:enumeration value="239 – PG Hospitals"/>
          <xsd:enumeration value="240 - Water"/>
          <xsd:enumeration value="250 - PG Specialty Gases"/>
          <xsd:enumeration value="280 – ASU"/>
          <xsd:enumeration value="295 - Merchant refining"/>
          <xsd:enumeration value="310 - General / Liquid Bulk"/>
          <xsd:enumeration value="312 - Liquid Bulk-Chemicals-Pharmaceuticals"/>
          <xsd:enumeration value="315 - Cement"/>
          <xsd:enumeration value="320 - Distributors"/>
          <xsd:enumeration value="325 - Electronics"/>
          <xsd:enumeration value="330 - Metals Processing"/>
          <xsd:enumeration value="331 - Industrial Cryogenics (Rubber and Plastics)"/>
          <xsd:enumeration value="332 - Food"/>
          <xsd:enumeration value="332 - MAP"/>
          <xsd:enumeration value="334 - Primary Metals / Non-Ferrous"/>
          <xsd:enumeration value="335 - Primary Metals / Ferrous"/>
          <xsd:enumeration value="337 - Glass"/>
          <xsd:enumeration value="338 - Refining - Tonnage H2O"/>
          <xsd:enumeration value="341 - APEX Services"/>
          <xsd:enumeration value="342 - BioEnergy"/>
          <xsd:enumeration value="343 - Carbon Capture"/>
          <xsd:enumeration value="344 - Customer Plant Support (CPS)"/>
          <xsd:enumeration value="345 - Energy Mgmt. Systems"/>
          <xsd:enumeration value="346 - Gas to Liquid (GTL)"/>
          <xsd:enumeration value="347 - Gasification"/>
          <xsd:enumeration value="348 - Liquid Bulk / Refining / Petrochemical"/>
          <xsd:enumeration value="350 - Helium   Non-MRI"/>
          <xsd:enumeration value="351 - Oilfield Services (OFS)"/>
          <xsd:enumeration value="352 - Hydrogen Energy Systems"/>
          <xsd:enumeration value="354 - Helium"/>
          <xsd:enumeration value="354 - MRI"/>
          <xsd:enumeration value="355 - Petrochemicals"/>
          <xsd:enumeration value="356 - Power"/>
          <xsd:enumeration value="360 - Medical / Hospitals"/>
          <xsd:enumeration value="365 - Homecare -  Europe / Asia"/>
          <xsd:enumeration value="450 - EPAT (Electronic Packaging Assembly &amp; Technology)"/>
          <xsd:enumeration value="522 - On-site Gas Generation"/>
          <xsd:enumeration value="523 PRISM Membranes"/>
          <xsd:enumeration value="329 Metals Fabrication"/>
          <xsd:enumeration value="[Inactive Code] 280 - Customer Plant Support (CPS)"/>
          <xsd:enumeration value="[Inactive Code] 290 - Skychain"/>
          <xsd:enumeration value="[Inactive Code] 320 - Large ASU"/>
          <xsd:enumeration value="[Inactive Code] 330 - Primary / Nonferrous Metals"/>
          <xsd:enumeration value="[Inactive Code] 338 - Tonnage Hydrogen"/>
          <xsd:enumeration value="[Inactive Code] 338 - Water Systems"/>
          <xsd:enumeration value="[Inactive Code] 600 - Homecare (Air Products Healthcare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e1a1403-cbdd-4759-807d-3dc4767d88d2" ContentTypeId="0x010100054E53FEE9F44F4182A821FC53344EEC" PreviousValue="false"/>
</file>

<file path=customXml/itemProps1.xml><?xml version="1.0" encoding="utf-8"?>
<ds:datastoreItem xmlns:ds="http://schemas.openxmlformats.org/officeDocument/2006/customXml" ds:itemID="{E2D980F1-BEDB-4F70-9F98-E21DFCBBD999}"/>
</file>

<file path=customXml/itemProps2.xml><?xml version="1.0" encoding="utf-8"?>
<ds:datastoreItem xmlns:ds="http://schemas.openxmlformats.org/officeDocument/2006/customXml" ds:itemID="{03F6F94C-C0B4-4809-9DDC-F6F0ED0E8934}"/>
</file>

<file path=customXml/itemProps3.xml><?xml version="1.0" encoding="utf-8"?>
<ds:datastoreItem xmlns:ds="http://schemas.openxmlformats.org/officeDocument/2006/customXml" ds:itemID="{1F096780-83E4-4EBD-9BD8-4BC03C26CCB4}"/>
</file>

<file path=customXml/itemProps4.xml><?xml version="1.0" encoding="utf-8"?>
<ds:datastoreItem xmlns:ds="http://schemas.openxmlformats.org/officeDocument/2006/customXml" ds:itemID="{D5BC19CF-E91F-4456-922E-C2A9D7F263C3}"/>
</file>

<file path=customXml/itemProps5.xml><?xml version="1.0" encoding="utf-8"?>
<ds:datastoreItem xmlns:ds="http://schemas.openxmlformats.org/officeDocument/2006/customXml" ds:itemID="{95B95A58-4E2C-4C4A-A342-4FC2AA712A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5131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 HERE</vt:lpstr>
    </vt:vector>
  </TitlesOfParts>
  <Company>Air Products and Chemicals, Inc.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 HERE</dc:title>
  <dc:creator>neilsoc</dc:creator>
  <cp:lastModifiedBy>mckendej</cp:lastModifiedBy>
  <cp:revision>2</cp:revision>
  <cp:lastPrinted>2012-10-25T18:24:00Z</cp:lastPrinted>
  <dcterms:created xsi:type="dcterms:W3CDTF">2012-10-25T20:26:00Z</dcterms:created>
  <dcterms:modified xsi:type="dcterms:W3CDTF">2012-10-25T20:26:00Z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0x010100054E53FEE9F44F4182A821FC53344EEC000E201ADECBAA6C40939788EB7BC06E6D</vt:lpwstr>
  </property>
  <property fmtid="{D5CDD505-2E9C-101B-9397-08002B2CF9AE}" pid="3" name="Fiscal Year">
    <vt:lpwstr>;#2013;#</vt:lpwstr>
  </property>
  <property fmtid="{D5CDD505-2E9C-101B-9397-08002B2CF9AE}" pid="4" name="Finished Product">
    <vt:bool>false</vt:bool>
  </property>
</Properties>
</file>