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A44"/>
          <w:sz w:val="32"/>
          <w:szCs w:val="32"/>
        </w:rPr>
        <w:t xml:space="preserve">Loading a New Portfolio's Report</w:t>
      </w:r>
    </w:p>
    <w:p>
      <w:pPr>
        <w:spacing w:after="200"/>
      </w:pPr>
      <w:r>
        <w:rPr>
          <w:rFonts w:ascii="Arial" w:cs="Arial" w:eastAsia="Arial" w:hAnsi="Arial"/>
          <w:color w:val="5A6478"/>
          <w:sz w:val="20"/>
          <w:szCs w:val="20"/>
        </w:rPr>
        <w:t xml:space="preserve">Quick reference for the Mother Dashboard and the Data Quality Validator</w:t>
      </w:r>
    </w:p>
    <w:p>
      <w:pPr>
        <w:pBdr>
          <w:bottom w:val="single" w:color="CCD2E0" w:sz="4" w:space="4"/>
        </w:pBdr>
        <w:spacing w:after="100" w:before="260"/>
      </w:pPr>
      <w:r>
        <w:rPr>
          <w:rFonts w:ascii="Arial" w:cs="Arial" w:eastAsia="Arial" w:hAnsi="Arial"/>
          <w:b/>
          <w:bCs/>
          <w:color w:val="1F2A44"/>
          <w:sz w:val="22"/>
          <w:szCs w:val="22"/>
        </w:rPr>
        <w:t xml:space="preserve">The short version</w:t>
      </w:r>
    </w:p>
    <w:p>
      <w:pPr>
        <w:spacing w:after="120"/>
      </w:pPr>
      <w:r>
        <w:rPr>
          <w:rFonts w:ascii="Arial" w:cs="Arial" w:eastAsia="Arial" w:hAnsi="Arial"/>
          <w:b w:val="false"/>
          <w:bCs w:val="false"/>
          <w:color w:val="1A2233"/>
          <w:sz w:val="20"/>
          <w:szCs w:val="20"/>
        </w:rPr>
        <w:t xml:space="preserve">Open the report tab that matches the file (Request Count, New Lease, Cheque Count, or Bounced Cheques), click “Load Excel File…”, and pick the workbook. The dashboard reads the column headers itself, no renaming or reordering needed, and the Overview tab updates automatically once it's loaded.</w:t>
      </w:r>
    </w:p>
    <w:p>
      <w:pPr>
        <w:pBdr>
          <w:bottom w:val="single" w:color="CCD2E0" w:sz="4" w:space="4"/>
        </w:pBdr>
        <w:spacing w:after="100" w:before="260"/>
      </w:pPr>
      <w:r>
        <w:rPr>
          <w:rFonts w:ascii="Arial" w:cs="Arial" w:eastAsia="Arial" w:hAnsi="Arial"/>
          <w:b/>
          <w:bCs/>
          <w:color w:val="1F2A44"/>
          <w:sz w:val="22"/>
          <w:szCs w:val="22"/>
        </w:rPr>
        <w:t xml:space="preserve">Step by step</w:t>
      </w:r>
    </w:p>
    <w:p>
      <w:pPr>
        <w:pStyle w:val="ListParagraph"/>
        <w:numPr>
          <w:ilvl w:val="0"/>
          <w:numId w:val="2"/>
        </w:numPr>
        <w:spacing w:after="80"/>
      </w:pPr>
      <w:r>
        <w:rPr>
          <w:rFonts w:ascii="Arial" w:cs="Arial" w:eastAsia="Arial" w:hAnsi="Arial"/>
          <w:color w:val="1A2233"/>
          <w:sz w:val="20"/>
          <w:szCs w:val="20"/>
        </w:rPr>
        <w:t xml:space="preserve">Open Mother_Dashboard_v2.html and click the tab for the report you're adding.</w:t>
      </w:r>
    </w:p>
    <w:p>
      <w:pPr>
        <w:pStyle w:val="ListParagraph"/>
        <w:numPr>
          <w:ilvl w:val="0"/>
          <w:numId w:val="2"/>
        </w:numPr>
        <w:spacing w:after="80"/>
      </w:pPr>
      <w:r>
        <w:rPr>
          <w:rFonts w:ascii="Arial" w:cs="Arial" w:eastAsia="Arial" w:hAnsi="Arial"/>
          <w:color w:val="1A2233"/>
          <w:sz w:val="20"/>
          <w:szCs w:val="20"/>
        </w:rPr>
        <w:t xml:space="preserve">Click “Load Excel File…” in that tab and select the workbook.</w:t>
      </w:r>
    </w:p>
    <w:p>
      <w:pPr>
        <w:pStyle w:val="ListParagraph"/>
        <w:numPr>
          <w:ilvl w:val="0"/>
          <w:numId w:val="2"/>
        </w:numPr>
        <w:spacing w:after="80"/>
      </w:pPr>
      <w:r>
        <w:rPr>
          <w:rFonts w:ascii="Arial" w:cs="Arial" w:eastAsia="Arial" w:hAnsi="Arial"/>
          <w:color w:val="1A2233"/>
          <w:sz w:val="20"/>
          <w:szCs w:val="20"/>
        </w:rPr>
        <w:t xml:space="preserve">The dashboard matches columns by their header text, not their position, so it doesn't matter if the new portfolio's export has columns in a different order.</w:t>
      </w:r>
    </w:p>
    <w:p>
      <w:pPr>
        <w:pStyle w:val="ListParagraph"/>
        <w:numPr>
          <w:ilvl w:val="0"/>
          <w:numId w:val="2"/>
        </w:numPr>
        <w:spacing w:after="80"/>
      </w:pPr>
      <w:r>
        <w:rPr>
          <w:rFonts w:ascii="Arial" w:cs="Arial" w:eastAsia="Arial" w:hAnsi="Arial"/>
          <w:color w:val="1A2233"/>
          <w:sz w:val="20"/>
          <w:szCs w:val="20"/>
        </w:rPr>
        <w:t xml:space="preserve">If a required column (Date or Amount, plus Contract Number for Cheque Count) can't be found under any of its usual names, a column-mapping panel appears so you can point it at the right column by hand. Everything else is optional; if it's missing, that part of the dashboard just reads as “Unknown” rather than failing.</w:t>
      </w:r>
    </w:p>
    <w:p>
      <w:pPr>
        <w:pStyle w:val="ListParagraph"/>
        <w:numPr>
          <w:ilvl w:val="0"/>
          <w:numId w:val="2"/>
        </w:numPr>
        <w:spacing w:after="80"/>
      </w:pPr>
      <w:r>
        <w:rPr>
          <w:rFonts w:ascii="Arial" w:cs="Arial" w:eastAsia="Arial" w:hAnsi="Arial"/>
          <w:color w:val="1A2233"/>
          <w:sz w:val="20"/>
          <w:szCs w:val="20"/>
        </w:rPr>
        <w:t xml:space="preserve">Once it loads, the Overview tab and the cross-checks section (bottom of Overview) refresh on their own, no extra step needed.</w:t>
      </w:r>
    </w:p>
    <w:p>
      <w:pPr>
        <w:pBdr>
          <w:bottom w:val="single" w:color="CCD2E0" w:sz="4" w:space="4"/>
        </w:pBdr>
        <w:spacing w:after="100" w:before="260"/>
      </w:pPr>
      <w:r>
        <w:rPr>
          <w:rFonts w:ascii="Arial" w:cs="Arial" w:eastAsia="Arial" w:hAnsi="Arial"/>
          <w:b/>
          <w:bCs/>
          <w:color w:val="1F2A44"/>
          <w:sz w:val="22"/>
          <w:szCs w:val="22"/>
        </w:rPr>
        <w:t xml:space="preserve">What each report type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300"/>
        <w:gridCol w:w="2160"/>
      </w:tblGrid>
      <w:tr>
        <w:tc>
          <w:tcPr>
            <w:tcW w:type="dxa" w:w="1700"/>
            <w:shd w:fill="EDF0F6" w:val="clear"/>
            <w:tcMar>
              <w:top w:type="dxa" w:w="60"/>
              <w:left w:type="dxa" w:w="100"/>
              <w:bottom w:type="dxa" w:w="60"/>
              <w:right w:type="dxa" w:w="100"/>
            </w:tcMar>
          </w:tcPr>
          <w:p>
            <w:r>
              <w:rPr>
                <w:rFonts w:ascii="Arial" w:cs="Arial" w:eastAsia="Arial" w:hAnsi="Arial"/>
                <w:b/>
                <w:bCs/>
                <w:color w:val="1F2A44"/>
                <w:sz w:val="18"/>
                <w:szCs w:val="18"/>
              </w:rPr>
              <w:t xml:space="preserve">Report type</w:t>
            </w:r>
          </w:p>
        </w:tc>
        <w:tc>
          <w:tcPr>
            <w:tcW w:type="dxa" w:w="3200"/>
            <w:shd w:fill="EDF0F6" w:val="clear"/>
            <w:tcMar>
              <w:top w:type="dxa" w:w="60"/>
              <w:left w:type="dxa" w:w="100"/>
              <w:bottom w:type="dxa" w:w="60"/>
              <w:right w:type="dxa" w:w="100"/>
            </w:tcMar>
          </w:tcPr>
          <w:p>
            <w:r>
              <w:rPr>
                <w:rFonts w:ascii="Arial" w:cs="Arial" w:eastAsia="Arial" w:hAnsi="Arial"/>
                <w:b/>
                <w:bCs/>
                <w:color w:val="1F2A44"/>
                <w:sz w:val="18"/>
                <w:szCs w:val="18"/>
              </w:rPr>
              <w:t xml:space="preserve">Must-have columns (by any of these names)</w:t>
            </w:r>
          </w:p>
        </w:tc>
        <w:tc>
          <w:tcPr>
            <w:tcW w:type="dxa" w:w="2300"/>
            <w:shd w:fill="EDF0F6" w:val="clear"/>
            <w:tcMar>
              <w:top w:type="dxa" w:w="60"/>
              <w:left w:type="dxa" w:w="100"/>
              <w:bottom w:type="dxa" w:w="60"/>
              <w:right w:type="dxa" w:w="100"/>
            </w:tcMar>
          </w:tcPr>
          <w:p>
            <w:r>
              <w:rPr>
                <w:rFonts w:ascii="Arial" w:cs="Arial" w:eastAsia="Arial" w:hAnsi="Arial"/>
                <w:b/>
                <w:bCs/>
                <w:color w:val="1F2A44"/>
                <w:sz w:val="18"/>
                <w:szCs w:val="18"/>
              </w:rPr>
              <w:t xml:space="preserve">Sheet it reads</w:t>
            </w:r>
          </w:p>
        </w:tc>
        <w:tc>
          <w:tcPr>
            <w:tcW w:type="dxa" w:w="2160"/>
            <w:shd w:fill="EDF0F6" w:val="clear"/>
            <w:tcMar>
              <w:top w:type="dxa" w:w="60"/>
              <w:left w:type="dxa" w:w="100"/>
              <w:bottom w:type="dxa" w:w="60"/>
              <w:right w:type="dxa" w:w="100"/>
            </w:tcMar>
          </w:tcPr>
          <w:p>
            <w:r>
              <w:rPr>
                <w:rFonts w:ascii="Arial" w:cs="Arial" w:eastAsia="Arial" w:hAnsi="Arial"/>
                <w:b/>
                <w:bCs/>
                <w:color w:val="1F2A44"/>
                <w:sz w:val="18"/>
                <w:szCs w:val="18"/>
              </w:rPr>
              <w:t xml:space="preserve">Notes</w:t>
            </w:r>
          </w:p>
        </w:tc>
      </w:tr>
      <w:tr>
        <w:tc>
          <w:tcPr>
            <w:tcW w:type="dxa" w:w="1700"/>
            <w:tcMar>
              <w:top w:type="dxa" w:w="60"/>
              <w:left w:type="dxa" w:w="100"/>
              <w:bottom w:type="dxa" w:w="60"/>
              <w:right w:type="dxa" w:w="100"/>
            </w:tcMar>
          </w:tcPr>
          <w:p>
            <w:r>
              <w:rPr>
                <w:rFonts w:ascii="Arial" w:cs="Arial" w:eastAsia="Arial" w:hAnsi="Arial"/>
                <w:b w:val="false"/>
                <w:bCs w:val="false"/>
                <w:color w:val="1A2233"/>
                <w:sz w:val="18"/>
                <w:szCs w:val="18"/>
              </w:rPr>
              <w:t xml:space="preserve">Request Count</w:t>
            </w:r>
          </w:p>
        </w:tc>
        <w:tc>
          <w:tcPr>
            <w:tcW w:type="dxa" w:w="3200"/>
            <w:tcMar>
              <w:top w:type="dxa" w:w="60"/>
              <w:left w:type="dxa" w:w="100"/>
              <w:bottom w:type="dxa" w:w="60"/>
              <w:right w:type="dxa" w:w="100"/>
            </w:tcMar>
          </w:tcPr>
          <w:p>
            <w:r>
              <w:rPr>
                <w:rFonts w:ascii="Arial" w:cs="Arial" w:eastAsia="Arial" w:hAnsi="Arial"/>
                <w:b w:val="false"/>
                <w:bCs w:val="false"/>
                <w:color w:val="1A2233"/>
                <w:sz w:val="18"/>
                <w:szCs w:val="18"/>
              </w:rPr>
              <w:t xml:space="preserve">Date, Amount (Type / PM User / Ownership / Unit Type / Bank / Property are read if present)</w:t>
            </w:r>
          </w:p>
        </w:tc>
        <w:tc>
          <w:tcPr>
            <w:tcW w:type="dxa" w:w="2300"/>
            <w:tcMar>
              <w:top w:type="dxa" w:w="60"/>
              <w:left w:type="dxa" w:w="100"/>
              <w:bottom w:type="dxa" w:w="60"/>
              <w:right w:type="dxa" w:w="100"/>
            </w:tcMar>
          </w:tcPr>
          <w:p>
            <w:r>
              <w:rPr>
                <w:rFonts w:ascii="Arial" w:cs="Arial" w:eastAsia="Arial" w:hAnsi="Arial"/>
                <w:b w:val="false"/>
                <w:bCs w:val="false"/>
                <w:color w:val="1A2233"/>
                <w:sz w:val="18"/>
                <w:szCs w:val="18"/>
              </w:rPr>
              <w:t xml:space="preserve">"Details" if present, else the first sheet</w:t>
            </w:r>
          </w:p>
        </w:tc>
        <w:tc>
          <w:tcPr>
            <w:tcW w:type="dxa" w:w="2160"/>
            <w:tcMar>
              <w:top w:type="dxa" w:w="60"/>
              <w:left w:type="dxa" w:w="100"/>
              <w:bottom w:type="dxa" w:w="60"/>
              <w:right w:type="dxa" w:w="100"/>
            </w:tcMar>
          </w:tcPr>
          <w:p>
            <w:r>
              <w:rPr>
                <w:rFonts w:ascii="Arial" w:cs="Arial" w:eastAsia="Arial" w:hAnsi="Arial"/>
                <w:b w:val="false"/>
                <w:bCs w:val="false"/>
                <w:color w:val="1A2233"/>
                <w:sz w:val="18"/>
                <w:szCs w:val="18"/>
              </w:rPr>
              <w:t xml:space="preserve">Type matches on “Type” or “Type of lease”</w:t>
            </w:r>
          </w:p>
        </w:tc>
      </w:tr>
      <w:tr>
        <w:tc>
          <w:tcPr>
            <w:tcW w:type="dxa" w:w="1700"/>
            <w:tcMar>
              <w:top w:type="dxa" w:w="60"/>
              <w:left w:type="dxa" w:w="100"/>
              <w:bottom w:type="dxa" w:w="60"/>
              <w:right w:type="dxa" w:w="100"/>
            </w:tcMar>
          </w:tcPr>
          <w:p>
            <w:r>
              <w:rPr>
                <w:rFonts w:ascii="Arial" w:cs="Arial" w:eastAsia="Arial" w:hAnsi="Arial"/>
                <w:b w:val="false"/>
                <w:bCs w:val="false"/>
                <w:color w:val="1A2233"/>
                <w:sz w:val="18"/>
                <w:szCs w:val="18"/>
              </w:rPr>
              <w:t xml:space="preserve">New Lease Report</w:t>
            </w:r>
          </w:p>
        </w:tc>
        <w:tc>
          <w:tcPr>
            <w:tcW w:type="dxa" w:w="3200"/>
            <w:tcMar>
              <w:top w:type="dxa" w:w="60"/>
              <w:left w:type="dxa" w:w="100"/>
              <w:bottom w:type="dxa" w:w="60"/>
              <w:right w:type="dxa" w:w="100"/>
            </w:tcMar>
          </w:tcPr>
          <w:p>
            <w:r>
              <w:rPr>
                <w:rFonts w:ascii="Arial" w:cs="Arial" w:eastAsia="Arial" w:hAnsi="Arial"/>
                <w:b w:val="false"/>
                <w:bCs w:val="false"/>
                <w:color w:val="1A2233"/>
                <w:sz w:val="18"/>
                <w:szCs w:val="18"/>
              </w:rPr>
              <w:t xml:space="preserve">Date, Amount (Description, Contract Number, Agent, Payment Method read if present)</w:t>
            </w:r>
          </w:p>
        </w:tc>
        <w:tc>
          <w:tcPr>
            <w:tcW w:type="dxa" w:w="2300"/>
            <w:tcMar>
              <w:top w:type="dxa" w:w="60"/>
              <w:left w:type="dxa" w:w="100"/>
              <w:bottom w:type="dxa" w:w="60"/>
              <w:right w:type="dxa" w:w="100"/>
            </w:tcMar>
          </w:tcPr>
          <w:p>
            <w:r>
              <w:rPr>
                <w:rFonts w:ascii="Arial" w:cs="Arial" w:eastAsia="Arial" w:hAnsi="Arial"/>
                <w:b w:val="false"/>
                <w:bCs w:val="false"/>
                <w:color w:val="1A2233"/>
                <w:sz w:val="18"/>
                <w:szCs w:val="18"/>
              </w:rPr>
              <w:t xml:space="preserve">"Details" if present, else the first sheet</w:t>
            </w:r>
          </w:p>
        </w:tc>
        <w:tc>
          <w:tcPr>
            <w:tcW w:type="dxa" w:w="2160"/>
            <w:tcMar>
              <w:top w:type="dxa" w:w="60"/>
              <w:left w:type="dxa" w:w="100"/>
              <w:bottom w:type="dxa" w:w="60"/>
              <w:right w:type="dxa" w:w="100"/>
            </w:tcMar>
          </w:tcPr>
          <w:p>
            <w:r>
              <w:rPr>
                <w:rFonts w:ascii="Arial" w:cs="Arial" w:eastAsia="Arial" w:hAnsi="Arial"/>
                <w:b w:val="false"/>
                <w:bCs w:val="false"/>
                <w:color w:val="1A2233"/>
                <w:sz w:val="18"/>
                <w:szCs w:val="18"/>
              </w:rPr>
              <w:t xml:space="preserve">No PM User column expected — this report never tracked it</w:t>
            </w:r>
          </w:p>
        </w:tc>
      </w:tr>
      <w:tr>
        <w:tc>
          <w:tcPr>
            <w:tcW w:type="dxa" w:w="1700"/>
            <w:tcMar>
              <w:top w:type="dxa" w:w="60"/>
              <w:left w:type="dxa" w:w="100"/>
              <w:bottom w:type="dxa" w:w="60"/>
              <w:right w:type="dxa" w:w="100"/>
            </w:tcMar>
          </w:tcPr>
          <w:p>
            <w:r>
              <w:rPr>
                <w:rFonts w:ascii="Arial" w:cs="Arial" w:eastAsia="Arial" w:hAnsi="Arial"/>
                <w:b w:val="false"/>
                <w:bCs w:val="false"/>
                <w:color w:val="1A2233"/>
                <w:sz w:val="18"/>
                <w:szCs w:val="18"/>
              </w:rPr>
              <w:t xml:space="preserve">Cheque Count</w:t>
            </w:r>
          </w:p>
        </w:tc>
        <w:tc>
          <w:tcPr>
            <w:tcW w:type="dxa" w:w="3200"/>
            <w:tcMar>
              <w:top w:type="dxa" w:w="60"/>
              <w:left w:type="dxa" w:w="100"/>
              <w:bottom w:type="dxa" w:w="60"/>
              <w:right w:type="dxa" w:w="100"/>
            </w:tcMar>
          </w:tcPr>
          <w:p>
            <w:r>
              <w:rPr>
                <w:rFonts w:ascii="Arial" w:cs="Arial" w:eastAsia="Arial" w:hAnsi="Arial"/>
                <w:b w:val="false"/>
                <w:bCs w:val="false"/>
                <w:color w:val="1A2233"/>
                <w:sz w:val="18"/>
                <w:szCs w:val="18"/>
              </w:rPr>
              <w:t xml:space="preserve">Date, Contract Number, Amount (Description, PM User, Lease Type read if present)</w:t>
            </w:r>
          </w:p>
        </w:tc>
        <w:tc>
          <w:tcPr>
            <w:tcW w:type="dxa" w:w="2300"/>
            <w:tcMar>
              <w:top w:type="dxa" w:w="60"/>
              <w:left w:type="dxa" w:w="100"/>
              <w:bottom w:type="dxa" w:w="60"/>
              <w:right w:type="dxa" w:w="100"/>
            </w:tcMar>
          </w:tcPr>
          <w:p>
            <w:r>
              <w:rPr>
                <w:rFonts w:ascii="Arial" w:cs="Arial" w:eastAsia="Arial" w:hAnsi="Arial"/>
                <w:b w:val="false"/>
                <w:bCs w:val="false"/>
                <w:color w:val="1A2233"/>
                <w:sz w:val="18"/>
                <w:szCs w:val="18"/>
              </w:rPr>
              <w:t xml:space="preserve">"Details" if present, else the first sheet</w:t>
            </w:r>
          </w:p>
        </w:tc>
        <w:tc>
          <w:tcPr>
            <w:tcW w:type="dxa" w:w="2160"/>
            <w:tcMar>
              <w:top w:type="dxa" w:w="60"/>
              <w:left w:type="dxa" w:w="100"/>
              <w:bottom w:type="dxa" w:w="60"/>
              <w:right w:type="dxa" w:w="100"/>
            </w:tcMar>
          </w:tcPr>
          <w:p>
            <w:r>
              <w:rPr>
                <w:rFonts w:ascii="Arial" w:cs="Arial" w:eastAsia="Arial" w:hAnsi="Arial"/>
                <w:b w:val="false"/>
                <w:bCs w:val="false"/>
                <w:color w:val="1A2233"/>
                <w:sz w:val="18"/>
                <w:szCs w:val="18"/>
              </w:rPr>
              <w:t xml:space="preserve">PM User is usually blank in this report by design</w:t>
            </w:r>
          </w:p>
        </w:tc>
      </w:tr>
      <w:tr>
        <w:tc>
          <w:tcPr>
            <w:tcW w:type="dxa" w:w="1700"/>
            <w:tcMar>
              <w:top w:type="dxa" w:w="60"/>
              <w:left w:type="dxa" w:w="100"/>
              <w:bottom w:type="dxa" w:w="60"/>
              <w:right w:type="dxa" w:w="100"/>
            </w:tcMar>
          </w:tcPr>
          <w:p>
            <w:r>
              <w:rPr>
                <w:rFonts w:ascii="Arial" w:cs="Arial" w:eastAsia="Arial" w:hAnsi="Arial"/>
                <w:b w:val="false"/>
                <w:bCs w:val="false"/>
                <w:color w:val="1A2233"/>
                <w:sz w:val="18"/>
                <w:szCs w:val="18"/>
              </w:rPr>
              <w:t xml:space="preserve">Bounced Cheques</w:t>
            </w:r>
          </w:p>
        </w:tc>
        <w:tc>
          <w:tcPr>
            <w:tcW w:type="dxa" w:w="3200"/>
            <w:tcMar>
              <w:top w:type="dxa" w:w="60"/>
              <w:left w:type="dxa" w:w="100"/>
              <w:bottom w:type="dxa" w:w="60"/>
              <w:right w:type="dxa" w:w="100"/>
            </w:tcMar>
          </w:tcPr>
          <w:p>
            <w:r>
              <w:rPr>
                <w:rFonts w:ascii="Arial" w:cs="Arial" w:eastAsia="Arial" w:hAnsi="Arial"/>
                <w:b w:val="false"/>
                <w:bCs w:val="false"/>
                <w:color w:val="1A2233"/>
                <w:sz w:val="18"/>
                <w:szCs w:val="18"/>
              </w:rPr>
              <w:t xml:space="preserve">Cheque Date, Cheque Amount (Contract Number, Status, Tenant Name, Cheque Number read if present)</w:t>
            </w:r>
          </w:p>
        </w:tc>
        <w:tc>
          <w:tcPr>
            <w:tcW w:type="dxa" w:w="2300"/>
            <w:tcMar>
              <w:top w:type="dxa" w:w="60"/>
              <w:left w:type="dxa" w:w="100"/>
              <w:bottom w:type="dxa" w:w="60"/>
              <w:right w:type="dxa" w:w="100"/>
            </w:tcMar>
          </w:tcPr>
          <w:p>
            <w:r>
              <w:rPr>
                <w:rFonts w:ascii="Arial" w:cs="Arial" w:eastAsia="Arial" w:hAnsi="Arial"/>
                <w:b w:val="false"/>
                <w:bCs w:val="false"/>
                <w:color w:val="1A2233"/>
                <w:sz w:val="18"/>
                <w:szCs w:val="18"/>
              </w:rPr>
              <w:t xml:space="preserve">"Details" if present, else the first sheet</w:t>
            </w:r>
          </w:p>
        </w:tc>
        <w:tc>
          <w:tcPr>
            <w:tcW w:type="dxa" w:w="2160"/>
            <w:tcMar>
              <w:top w:type="dxa" w:w="60"/>
              <w:left w:type="dxa" w:w="100"/>
              <w:bottom w:type="dxa" w:w="60"/>
              <w:right w:type="dxa" w:w="100"/>
            </w:tcMar>
          </w:tcPr>
          <w:p>
            <w:r>
              <w:rPr>
                <w:rFonts w:ascii="Arial" w:cs="Arial" w:eastAsia="Arial" w:hAnsi="Arial"/>
                <w:b w:val="false"/>
                <w:bCs w:val="false"/>
                <w:color w:val="1A2233"/>
                <w:sz w:val="18"/>
                <w:szCs w:val="18"/>
              </w:rPr>
              <w:t xml:space="preserve">Has a Status field instead of a lease Type field</w:t>
            </w:r>
          </w:p>
        </w:tc>
      </w:tr>
    </w:tbl>
    <w:p>
      <w:pPr>
        <w:spacing w:after="0" w:before="120"/>
      </w:pPr>
    </w:p>
    <w:p>
      <w:pPr>
        <w:pBdr>
          <w:bottom w:val="single" w:color="CCD2E0" w:sz="4" w:space="4"/>
        </w:pBdr>
        <w:spacing w:after="100" w:before="260"/>
      </w:pPr>
      <w:r>
        <w:rPr>
          <w:rFonts w:ascii="Arial" w:cs="Arial" w:eastAsia="Arial" w:hAnsi="Arial"/>
          <w:b/>
          <w:bCs/>
          <w:color w:val="1F2A44"/>
          <w:sz w:val="22"/>
          <w:szCs w:val="22"/>
        </w:rPr>
        <w:t xml:space="preserve">Two things worth checking before you upload</w:t>
      </w:r>
    </w:p>
    <w:p>
      <w:pPr>
        <w:pStyle w:val="ListParagraph"/>
        <w:numPr>
          <w:ilvl w:val="0"/>
          <w:numId w:val="3"/>
        </w:numPr>
        <w:spacing w:after="60"/>
      </w:pPr>
      <w:r>
        <w:rPr>
          <w:rFonts w:ascii="Arial" w:cs="Arial" w:eastAsia="Arial" w:hAnsi="Arial"/>
          <w:color w:val="1A2233"/>
          <w:sz w:val="20"/>
          <w:szCs w:val="20"/>
        </w:rPr>
        <w:t xml:space="preserve">Amounts should be numeric cells, not text. The dashboard now handles “1,562.50” and “AED 775.00” correctly, but a plain numeric cell is always safest and fastest.</w:t>
      </w:r>
    </w:p>
    <w:p>
      <w:pPr>
        <w:pStyle w:val="ListParagraph"/>
        <w:numPr>
          <w:ilvl w:val="0"/>
          <w:numId w:val="3"/>
        </w:numPr>
        <w:spacing w:after="60"/>
      </w:pPr>
      <w:r>
        <w:rPr>
          <w:rFonts w:ascii="Arial" w:cs="Arial" w:eastAsia="Arial" w:hAnsi="Arial"/>
          <w:color w:val="1A2233"/>
          <w:sz w:val="20"/>
          <w:szCs w:val="20"/>
        </w:rPr>
        <w:t xml:space="preserve">Dates should be real Excel date cells, not typed-in text. A text date like “01/07/2026” is genuinely ambiguous (1 July or 7 January?), a true date cell isn't.</w:t>
      </w:r>
    </w:p>
    <w:p>
      <w:pPr>
        <w:pStyle w:val="ListParagraph"/>
        <w:numPr>
          <w:ilvl w:val="0"/>
          <w:numId w:val="3"/>
        </w:numPr>
        <w:spacing w:after="60"/>
      </w:pPr>
      <w:r>
        <w:rPr>
          <w:rFonts w:ascii="Arial" w:cs="Arial" w:eastAsia="Arial" w:hAnsi="Arial"/>
          <w:color w:val="1A2233"/>
          <w:sz w:val="20"/>
          <w:szCs w:val="20"/>
        </w:rPr>
        <w:t xml:space="preserve">The sheet name doesn't matter much: the dashboard looks for a sheet literally named “Details” first, and falls back to whichever sheet is first in the workbook.</w:t>
      </w:r>
    </w:p>
    <w:p>
      <w:pPr>
        <w:pBdr>
          <w:bottom w:val="single" w:color="CCD2E0" w:sz="4" w:space="4"/>
        </w:pBdr>
        <w:spacing w:after="100" w:before="260"/>
      </w:pPr>
      <w:r>
        <w:rPr>
          <w:rFonts w:ascii="Arial" w:cs="Arial" w:eastAsia="Arial" w:hAnsi="Arial"/>
          <w:b/>
          <w:bCs/>
          <w:color w:val="1F2A44"/>
          <w:sz w:val="22"/>
          <w:szCs w:val="22"/>
        </w:rPr>
        <w:t xml:space="preserve">About the Data Quality Validator</w:t>
      </w:r>
    </w:p>
    <w:p>
      <w:pPr>
        <w:spacing w:after="120"/>
      </w:pPr>
      <w:r>
        <w:rPr>
          <w:rFonts w:ascii="Arial" w:cs="Arial" w:eastAsia="Arial" w:hAnsi="Arial"/>
          <w:b w:val="false"/>
          <w:bCs w:val="false"/>
          <w:color w:val="1A2233"/>
          <w:sz w:val="20"/>
          <w:szCs w:val="20"/>
        </w:rPr>
        <w:t xml:space="preserve">Data_Quality_Validator.html is a separate, standalone check you can run on a file before it goes anywhere near the dashboard. Upload a file and it now guesses the report type from the filename and the columns automatically, no need to set the dropdown by hand, though you still can if you want to look at a config before uploading. If the filename and the columns disagree (for example a file named “Bounce Cheque…” that doesn't actually have a Status column), it says so instead of guessing silently.</w:t>
      </w:r>
    </w:p>
    <w:p>
      <w:pPr>
        <w:spacing w:after="100"/>
      </w:pPr>
      <w:r>
        <w:rPr>
          <w:rFonts w:ascii="Arial" w:cs="Arial" w:eastAsia="Arial" w:hAnsi="Arial"/>
          <w:i/>
          <w:iCs/>
          <w:color w:val="5A6478"/>
          <w:sz w:val="18"/>
          <w:szCs w:val="18"/>
        </w:rPr>
        <w:t xml:space="preserve">One honest limitation: Request Count and Cheque Count have almost identical columns, so if a file has a generic name with no hint (like “Book4.xlsx”), the validator may ask you to confirm the report type by hand rather than guess wrong.</w:t>
      </w:r>
    </w:p>
    <w:p>
      <w:pPr>
        <w:pBdr>
          <w:bottom w:val="single" w:color="CCD2E0" w:sz="4" w:space="4"/>
        </w:pBdr>
        <w:spacing w:after="100" w:before="260"/>
      </w:pPr>
      <w:r>
        <w:rPr>
          <w:rFonts w:ascii="Arial" w:cs="Arial" w:eastAsia="Arial" w:hAnsi="Arial"/>
          <w:b/>
          <w:bCs/>
          <w:color w:val="1F2A44"/>
          <w:sz w:val="22"/>
          <w:szCs w:val="22"/>
        </w:rPr>
        <w:t xml:space="preserve">What's still a placeholder</w:t>
      </w:r>
    </w:p>
    <w:p>
      <w:pPr>
        <w:spacing w:after="120"/>
      </w:pPr>
      <w:r>
        <w:rPr>
          <w:rFonts w:ascii="Arial" w:cs="Arial" w:eastAsia="Arial" w:hAnsi="Arial"/>
          <w:b w:val="false"/>
          <w:bCs w:val="false"/>
          <w:color w:val="1A2233"/>
          <w:sz w:val="20"/>
          <w:szCs w:val="20"/>
        </w:rPr>
        <w:t xml:space="preserve">The Portfolio and Month dropdowns at the top of the Mother Dashboard list every known portfolio, but only Awqaf has real data loaded so far. Selecting another portfolio there doesn't yet pull in a different file automatically, that part is on hold until it's clear how the reports for other portfolios will actually reach the dashboard (a question for Rahul once his side is settled). Loading a new portfolio's report today still means using the “Load Excel File” button inside the relevant report tab, the same way Awqaf's was loaded.</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8"/>
        <w:sz w:val="16"/>
        <w:szCs w:val="16"/>
      </w:rPr>
      <w:t xml:space="preserve">Prepared by Jehad Shureh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A6478"/>
        <w:sz w:val="16"/>
        <w:szCs w:val="16"/>
      </w:rPr>
      <w:t xml:space="preserve">Harbor Property Management – Mother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2026-08-11T06:38:23.301Z</dcterms:created>
  <dcterms:modified xsi:type="dcterms:W3CDTF">2026-08-11T06:38:23.301Z</dcterms:modified>
</cp:coreProperties>
</file>

<file path=docProps/custom.xml><?xml version="1.0" encoding="utf-8"?>
<Properties xmlns="http://schemas.openxmlformats.org/officeDocument/2006/custom-properties" xmlns:vt="http://schemas.openxmlformats.org/officeDocument/2006/docPropsVTypes"/>
</file>