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508" w:rsidRDefault="00AA6C07" w:rsidP="00AA6C07">
      <w:pPr>
        <w:jc w:val="center"/>
        <w:rPr>
          <w:b/>
          <w:u w:val="single"/>
        </w:rPr>
      </w:pPr>
      <w:r>
        <w:rPr>
          <w:b/>
          <w:u w:val="single"/>
        </w:rPr>
        <w:t xml:space="preserve">Identifying Person of Interest in Enron </w:t>
      </w:r>
      <w:proofErr w:type="spellStart"/>
      <w:r>
        <w:rPr>
          <w:b/>
          <w:u w:val="single"/>
        </w:rPr>
        <w:t>Fruad</w:t>
      </w:r>
      <w:proofErr w:type="spellEnd"/>
      <w:r>
        <w:rPr>
          <w:b/>
          <w:u w:val="single"/>
        </w:rPr>
        <w:t xml:space="preserve"> Case</w:t>
      </w:r>
    </w:p>
    <w:p w:rsidR="00CC4508" w:rsidRPr="009B3AA6" w:rsidRDefault="00AA6C07" w:rsidP="009B3AA6">
      <w:pPr>
        <w:jc w:val="center"/>
        <w:rPr>
          <w:b/>
        </w:rPr>
      </w:pPr>
      <w:r w:rsidRPr="00AA6C07">
        <w:rPr>
          <w:b/>
        </w:rPr>
        <w:t>Jenny Hung</w:t>
      </w:r>
    </w:p>
    <w:p w:rsidR="0058466D" w:rsidRPr="007068B0" w:rsidRDefault="0058466D" w:rsidP="0058466D">
      <w:pPr>
        <w:rPr>
          <w:b/>
          <w:u w:val="single"/>
        </w:rPr>
      </w:pPr>
      <w:r w:rsidRPr="007068B0">
        <w:rPr>
          <w:b/>
          <w:u w:val="single"/>
        </w:rPr>
        <w:t>Project Goal</w:t>
      </w:r>
    </w:p>
    <w:p w:rsidR="00511B47" w:rsidRDefault="003771C7" w:rsidP="0058466D">
      <w:r>
        <w:t xml:space="preserve">We analyzed the Enron data set, which composes of </w:t>
      </w:r>
      <w:r w:rsidR="00DB2007">
        <w:t xml:space="preserve">20 </w:t>
      </w:r>
      <w:r>
        <w:t xml:space="preserve">finance-related </w:t>
      </w:r>
      <w:r w:rsidR="00DB2007">
        <w:t xml:space="preserve">and </w:t>
      </w:r>
      <w:r>
        <w:t xml:space="preserve">email-related </w:t>
      </w:r>
      <w:r w:rsidR="00DB2007">
        <w:t xml:space="preserve">variables </w:t>
      </w:r>
      <w:r w:rsidR="00762D3F">
        <w:t>for 146 Enron-associated persons.</w:t>
      </w:r>
      <w:r>
        <w:t xml:space="preserve"> </w:t>
      </w:r>
      <w:r w:rsidR="00A37451">
        <w:t xml:space="preserve">Our goal is to help identify all POIs from the available Enron data. </w:t>
      </w:r>
      <w:r w:rsidR="004D731E">
        <w:t xml:space="preserve">There are many missing values – the </w:t>
      </w:r>
      <w:r w:rsidR="00552F46" w:rsidRPr="00552F46">
        <w:t>exploration shows that the dataset has 3066 data points, of which 1708 data points are valid.</w:t>
      </w:r>
      <w:r w:rsidR="00552F46"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 w:rsidR="00C70E28">
        <w:t xml:space="preserve">The dataset is unbalanced in that there are only 18 POIs v. 128 Non-POIs. </w:t>
      </w:r>
      <w:r w:rsidR="00661D25">
        <w:t xml:space="preserve">Further, </w:t>
      </w:r>
      <w:r w:rsidR="00661D25" w:rsidRPr="009268D3">
        <w:t xml:space="preserve">The outlier identifier captured two types of outliers: 1) invalid name for a person: “TOTAL” (a summary of all persons) and “THE TRAVEL AGENCY IN THE PARK” (not a valid name); 2) invalid data points: “LOCKHART EUGENE E” (contains over 95% invalid values). </w:t>
      </w:r>
      <w:r w:rsidR="005A3DB8">
        <w:t>The outliers are removed before proceeding with the data analysis.</w:t>
      </w:r>
    </w:p>
    <w:p w:rsidR="0058466D" w:rsidRPr="007068B0" w:rsidRDefault="0058466D" w:rsidP="0058466D">
      <w:pPr>
        <w:rPr>
          <w:b/>
          <w:u w:val="single"/>
        </w:rPr>
      </w:pPr>
      <w:r w:rsidRPr="007068B0">
        <w:rPr>
          <w:b/>
          <w:u w:val="single"/>
        </w:rPr>
        <w:t>Features Used</w:t>
      </w:r>
    </w:p>
    <w:p w:rsidR="00B91614" w:rsidRDefault="00073F23" w:rsidP="00E855A5">
      <w:r>
        <w:t>New featur</w:t>
      </w:r>
      <w:r w:rsidR="00C23365">
        <w:t>e</w:t>
      </w:r>
      <w:r>
        <w:t xml:space="preserve">s were engineered from the original features </w:t>
      </w:r>
      <w:r w:rsidR="008F3BB5">
        <w:t xml:space="preserve">by </w:t>
      </w:r>
      <w:r w:rsidR="00046853">
        <w:t xml:space="preserve">first </w:t>
      </w:r>
      <w:r w:rsidR="008F3BB5">
        <w:t xml:space="preserve">constructing </w:t>
      </w:r>
      <w:r w:rsidR="00A04764">
        <w:t xml:space="preserve">the </w:t>
      </w:r>
      <w:r w:rsidR="00090216">
        <w:t>finance- and email-</w:t>
      </w:r>
      <w:r w:rsidR="00D41124">
        <w:t>ratio</w:t>
      </w:r>
      <w:r w:rsidR="00E870F4">
        <w:t>s by dividing each of them by ‘salary’ and ‘</w:t>
      </w:r>
      <w:proofErr w:type="spellStart"/>
      <w:r w:rsidR="00E870F4">
        <w:t>from_messages</w:t>
      </w:r>
      <w:proofErr w:type="spellEnd"/>
      <w:r w:rsidR="00E870F4">
        <w:t>’</w:t>
      </w:r>
      <w:r w:rsidR="00046853">
        <w:t xml:space="preserve">, then sum them up. </w:t>
      </w:r>
      <w:r w:rsidR="00D34689">
        <w:t xml:space="preserve">The new features </w:t>
      </w:r>
      <w:r w:rsidR="00932DF5">
        <w:t xml:space="preserve">(and final features list) </w:t>
      </w:r>
      <w:r w:rsidR="00D34689">
        <w:t>are therefore: ‘</w:t>
      </w:r>
      <w:proofErr w:type="spellStart"/>
      <w:r w:rsidR="00D34689">
        <w:t>finAll</w:t>
      </w:r>
      <w:proofErr w:type="spellEnd"/>
      <w:r w:rsidR="00D34689">
        <w:t>’, ‘</w:t>
      </w:r>
      <w:proofErr w:type="spellStart"/>
      <w:r w:rsidR="00D34689">
        <w:t>emailAll</w:t>
      </w:r>
      <w:proofErr w:type="spellEnd"/>
      <w:r w:rsidR="00D34689">
        <w:t>’, ‘</w:t>
      </w:r>
      <w:proofErr w:type="spellStart"/>
      <w:r w:rsidR="00F53494">
        <w:t>from_poi_ratio</w:t>
      </w:r>
      <w:proofErr w:type="spellEnd"/>
      <w:r w:rsidR="00F53494">
        <w:t>’.</w:t>
      </w:r>
      <w:r w:rsidR="006A33F9">
        <w:t xml:space="preserve"> More concretely, </w:t>
      </w:r>
      <w:r w:rsidR="00FE2C91">
        <w:t>the new feature ‘</w:t>
      </w:r>
      <w:proofErr w:type="spellStart"/>
      <w:r w:rsidR="00FE2C91">
        <w:t>finAll</w:t>
      </w:r>
      <w:proofErr w:type="spellEnd"/>
      <w:r w:rsidR="00FE2C91">
        <w:t xml:space="preserve">’ can be written </w:t>
      </w:r>
      <w:proofErr w:type="gramStart"/>
      <w:r w:rsidR="00FE2C91">
        <w:t xml:space="preserve">as </w:t>
      </w:r>
      <w:proofErr w:type="gramEnd"/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i∈</m:t>
                </m:r>
                <m:r>
                  <w:rPr>
                    <w:rFonts w:ascii="Cambria Math" w:hAnsi="Cambria Math"/>
                  </w:rPr>
                  <m:t>finance features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salary</m:t>
                </m:r>
              </m:num>
              <m:den>
                <m:r>
                  <w:rPr>
                    <w:rFonts w:ascii="Cambria Math" w:hAnsi="Cambria Math"/>
                  </w:rPr>
                  <m:t>featur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  <w:r w:rsidR="009857AC">
        <w:t xml:space="preserve">,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i∈</m:t>
                </m:r>
                <m:r>
                  <w:rPr>
                    <w:rFonts w:ascii="Cambria Math" w:hAnsi="Cambria Math"/>
                  </w:rPr>
                  <m:t>email features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featur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from_messages</m:t>
                </m:r>
              </m:den>
            </m:f>
          </m:e>
        </m:nary>
      </m:oMath>
      <w:r w:rsidR="00983108">
        <w:t xml:space="preserve">, provided that the </w:t>
      </w:r>
      <w:r w:rsidR="00C77723">
        <w:t xml:space="preserve">constituent </w:t>
      </w:r>
      <w:r w:rsidR="00983108">
        <w:t>ratios can be evaluated</w:t>
      </w:r>
      <w:r w:rsidR="000D4063">
        <w:t xml:space="preserve"> (otherwise it is set to zero). </w:t>
      </w:r>
    </w:p>
    <w:p w:rsidR="00837C72" w:rsidRDefault="00837C72" w:rsidP="00E855A5">
      <w:r>
        <w:t xml:space="preserve">Additionally, after obtaining the </w:t>
      </w:r>
      <w:r w:rsidR="00871E9C">
        <w:t>new features, careful inspection revealed that</w:t>
      </w:r>
      <w:r w:rsidR="006D27EC">
        <w:t xml:space="preserve"> </w:t>
      </w:r>
      <w:r w:rsidR="00025A61">
        <w:t xml:space="preserve">a judicious choice must be made to further process the features. </w:t>
      </w:r>
      <w:r w:rsidR="00DB2853">
        <w:t>This is because</w:t>
      </w:r>
      <w:r w:rsidR="003445E1">
        <w:t xml:space="preserve"> the </w:t>
      </w:r>
      <w:proofErr w:type="spellStart"/>
      <w:r w:rsidR="003445E1">
        <w:t>finAll</w:t>
      </w:r>
      <w:proofErr w:type="spellEnd"/>
      <w:r w:rsidR="003445E1">
        <w:t xml:space="preserve"> </w:t>
      </w:r>
      <w:proofErr w:type="gramStart"/>
      <w:r w:rsidR="003445E1">
        <w:t>feature te</w:t>
      </w:r>
      <w:r w:rsidR="00FC69C0">
        <w:t>nd</w:t>
      </w:r>
      <w:proofErr w:type="gramEnd"/>
      <w:r w:rsidR="00FC69C0">
        <w:t xml:space="preserve"> to dominate the feature set and overwhelm the </w:t>
      </w:r>
      <w:r w:rsidR="00955906">
        <w:t xml:space="preserve">other features during training. </w:t>
      </w:r>
      <w:r w:rsidR="00EA7406">
        <w:t xml:space="preserve">I have chosen to use </w:t>
      </w:r>
      <w:proofErr w:type="gramStart"/>
      <w:r w:rsidR="00EA7406">
        <w:t>Normalizer(</w:t>
      </w:r>
      <w:proofErr w:type="gramEnd"/>
      <w:r w:rsidR="00EA7406">
        <w:t xml:space="preserve">) </w:t>
      </w:r>
      <w:r w:rsidR="004F61E9">
        <w:t xml:space="preserve">with L2 norm </w:t>
      </w:r>
      <w:r w:rsidR="00EA7406">
        <w:t xml:space="preserve">to for this purpose. </w:t>
      </w:r>
    </w:p>
    <w:p w:rsidR="00FE2C91" w:rsidRDefault="000D4063" w:rsidP="00E855A5">
      <w:r>
        <w:t xml:space="preserve">The motivation for summing the finance- and email-related constituent ratios </w:t>
      </w:r>
      <w:r w:rsidR="00E61CA5">
        <w:t xml:space="preserve">is two-fold: </w:t>
      </w:r>
      <w:r w:rsidR="004810BC">
        <w:t>1.</w:t>
      </w:r>
      <w:r w:rsidR="00812667">
        <w:t xml:space="preserve"> </w:t>
      </w:r>
      <w:r w:rsidR="00852B2B">
        <w:t xml:space="preserve">Not only the </w:t>
      </w:r>
      <w:r w:rsidR="007A025B">
        <w:t>original features center around remunerations and communication intensities</w:t>
      </w:r>
      <w:r w:rsidR="00852B2B">
        <w:t xml:space="preserve">, </w:t>
      </w:r>
      <w:r w:rsidR="007A025B">
        <w:t xml:space="preserve">I conjected </w:t>
      </w:r>
      <w:r w:rsidR="008250B7">
        <w:t xml:space="preserve">they communicated much more than that - </w:t>
      </w:r>
      <w:r w:rsidR="007A025B">
        <w:t xml:space="preserve">they communicated </w:t>
      </w:r>
      <w:r w:rsidR="007A025B" w:rsidRPr="00AD694A">
        <w:rPr>
          <w:b/>
        </w:rPr>
        <w:t>the spread of one’s remunerations around one’s salary</w:t>
      </w:r>
      <w:r w:rsidR="007A025B">
        <w:t xml:space="preserve"> in the finance-related case, and in the email-relate case, </w:t>
      </w:r>
      <w:r w:rsidR="007A025B" w:rsidRPr="00AD694A">
        <w:rPr>
          <w:b/>
        </w:rPr>
        <w:t>how one’s communication pattern around one’s number of emails received</w:t>
      </w:r>
      <w:r w:rsidR="007A025B">
        <w:t xml:space="preserve">. </w:t>
      </w:r>
      <w:r w:rsidR="00262CDA">
        <w:t xml:space="preserve">Hence we constructed the </w:t>
      </w:r>
      <w:r w:rsidR="00096DDE">
        <w:t>finance- and email-related ratios</w:t>
      </w:r>
      <w:r w:rsidR="00930071">
        <w:t xml:space="preserve"> (note that such a transformation is not achievable by PCA)</w:t>
      </w:r>
      <w:r w:rsidR="00096DDE">
        <w:t xml:space="preserve">. 2. </w:t>
      </w:r>
      <w:r w:rsidR="000841E6">
        <w:t xml:space="preserve">I believe the original dimensions were too high for a relatively small number of data points. </w:t>
      </w:r>
      <w:r w:rsidR="00C94259">
        <w:t xml:space="preserve">Some further consolidation is required </w:t>
      </w:r>
      <w:r w:rsidR="001F3088">
        <w:t xml:space="preserve">considering the </w:t>
      </w:r>
      <w:r w:rsidR="003B37FC">
        <w:t xml:space="preserve">number of valid data points we have is required. Hence </w:t>
      </w:r>
      <w:r w:rsidR="009867B7">
        <w:t xml:space="preserve">we sum the </w:t>
      </w:r>
      <w:r w:rsidR="003B37FC">
        <w:t>fin</w:t>
      </w:r>
      <w:r w:rsidR="00E3435A">
        <w:t>ance- and email-related ratios.</w:t>
      </w:r>
    </w:p>
    <w:p w:rsidR="008E1250" w:rsidRDefault="0030015D" w:rsidP="00F81331">
      <w:r>
        <w:t xml:space="preserve">To </w:t>
      </w:r>
      <w:r w:rsidR="005169B5">
        <w:t xml:space="preserve">present the effect of the new, constructed features in the learning algorithm, </w:t>
      </w:r>
      <w:r w:rsidR="00074ABC">
        <w:t xml:space="preserve">I present the intermediate metrics in Table One. </w:t>
      </w:r>
      <w:r w:rsidR="000912E3">
        <w:t xml:space="preserve">This table compares the precision, recall and </w:t>
      </w:r>
      <m:oMath>
        <m:r>
          <w:rPr>
            <w:rFonts w:ascii="Cambria Math" w:hAnsi="Cambria Math"/>
          </w:rPr>
          <m:t>f1</m:t>
        </m:r>
      </m:oMath>
      <w:r w:rsidR="000912E3">
        <w:t xml:space="preserve"> score obtained by first running the same algorithm with </w:t>
      </w:r>
      <w:r w:rsidR="00425A7E">
        <w:t>the original fea</w:t>
      </w:r>
      <w:r w:rsidR="001B380B">
        <w:t>tures.</w:t>
      </w:r>
    </w:p>
    <w:p w:rsidR="00F81331" w:rsidRDefault="00F81331" w:rsidP="00F81331">
      <w:r>
        <w:t xml:space="preserve">Table 1: </w:t>
      </w:r>
      <w:r w:rsidR="00E03769">
        <w:t>Comparison of Original Features and Constructed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81331" w:rsidTr="001F5186">
        <w:tc>
          <w:tcPr>
            <w:tcW w:w="2394" w:type="dxa"/>
          </w:tcPr>
          <w:p w:rsidR="00F81331" w:rsidRDefault="00F81331" w:rsidP="001F5186"/>
        </w:tc>
        <w:tc>
          <w:tcPr>
            <w:tcW w:w="2394" w:type="dxa"/>
          </w:tcPr>
          <w:p w:rsidR="00F81331" w:rsidRDefault="00F81331" w:rsidP="001F5186">
            <w:r>
              <w:t>Precision</w:t>
            </w:r>
          </w:p>
        </w:tc>
        <w:tc>
          <w:tcPr>
            <w:tcW w:w="2394" w:type="dxa"/>
          </w:tcPr>
          <w:p w:rsidR="00F81331" w:rsidRDefault="00F81331" w:rsidP="001F5186">
            <w:r>
              <w:t>Recall</w:t>
            </w:r>
          </w:p>
        </w:tc>
        <w:tc>
          <w:tcPr>
            <w:tcW w:w="2394" w:type="dxa"/>
          </w:tcPr>
          <w:p w:rsidR="00F81331" w:rsidRDefault="00F81331" w:rsidP="001F5186">
            <w:r>
              <w:t>F1</w:t>
            </w:r>
          </w:p>
        </w:tc>
      </w:tr>
      <w:tr w:rsidR="00F81331" w:rsidTr="001F5186">
        <w:tc>
          <w:tcPr>
            <w:tcW w:w="2394" w:type="dxa"/>
          </w:tcPr>
          <w:p w:rsidR="00F81331" w:rsidRDefault="00E279E7" w:rsidP="001F5186">
            <w:r>
              <w:t>Original Features</w:t>
            </w:r>
          </w:p>
        </w:tc>
        <w:tc>
          <w:tcPr>
            <w:tcW w:w="2394" w:type="dxa"/>
          </w:tcPr>
          <w:p w:rsidR="00F81331" w:rsidRDefault="00551A3E" w:rsidP="001F5186">
            <w:r w:rsidRPr="00551A3E">
              <w:t>0.12823</w:t>
            </w:r>
          </w:p>
        </w:tc>
        <w:tc>
          <w:tcPr>
            <w:tcW w:w="2394" w:type="dxa"/>
          </w:tcPr>
          <w:p w:rsidR="00F81331" w:rsidRDefault="00551A3E" w:rsidP="001F5186">
            <w:r w:rsidRPr="00551A3E">
              <w:t>0.55550</w:t>
            </w:r>
          </w:p>
        </w:tc>
        <w:tc>
          <w:tcPr>
            <w:tcW w:w="2394" w:type="dxa"/>
          </w:tcPr>
          <w:p w:rsidR="00F81331" w:rsidRDefault="00551A3E" w:rsidP="001F5186">
            <w:r w:rsidRPr="00551A3E">
              <w:t>0.20836</w:t>
            </w:r>
            <w:r w:rsidRPr="00551A3E">
              <w:tab/>
            </w:r>
          </w:p>
        </w:tc>
      </w:tr>
      <w:tr w:rsidR="00F81331" w:rsidTr="001F5186">
        <w:tc>
          <w:tcPr>
            <w:tcW w:w="2394" w:type="dxa"/>
          </w:tcPr>
          <w:p w:rsidR="00F81331" w:rsidRDefault="00E279E7" w:rsidP="001F5186">
            <w:r>
              <w:lastRenderedPageBreak/>
              <w:t>New Features</w:t>
            </w:r>
            <w:r w:rsidR="007971AB">
              <w:t xml:space="preserve"> (with Decision Tree</w:t>
            </w:r>
            <w:r w:rsidR="003C1423">
              <w:t>)</w:t>
            </w:r>
          </w:p>
        </w:tc>
        <w:tc>
          <w:tcPr>
            <w:tcW w:w="2394" w:type="dxa"/>
          </w:tcPr>
          <w:p w:rsidR="00F81331" w:rsidRDefault="00F81331" w:rsidP="001F5186">
            <w:r>
              <w:t xml:space="preserve">0. </w:t>
            </w:r>
            <w:r w:rsidRPr="00B53A07">
              <w:t>73376</w:t>
            </w:r>
          </w:p>
        </w:tc>
        <w:tc>
          <w:tcPr>
            <w:tcW w:w="2394" w:type="dxa"/>
          </w:tcPr>
          <w:p w:rsidR="00F81331" w:rsidRDefault="00F81331" w:rsidP="001F5186">
            <w:r w:rsidRPr="000D0F38">
              <w:t>0.23150</w:t>
            </w:r>
          </w:p>
        </w:tc>
        <w:tc>
          <w:tcPr>
            <w:tcW w:w="2394" w:type="dxa"/>
          </w:tcPr>
          <w:p w:rsidR="00F81331" w:rsidRDefault="00F81331" w:rsidP="001F5186">
            <w:r w:rsidRPr="000D0F38">
              <w:t>0.35196</w:t>
            </w:r>
          </w:p>
        </w:tc>
      </w:tr>
    </w:tbl>
    <w:p w:rsidR="00596030" w:rsidRDefault="00596030" w:rsidP="0058466D">
      <w:pPr>
        <w:rPr>
          <w:b/>
          <w:u w:val="single"/>
        </w:rPr>
      </w:pPr>
    </w:p>
    <w:p w:rsidR="0058466D" w:rsidRPr="007068B0" w:rsidRDefault="0058466D" w:rsidP="0058466D">
      <w:pPr>
        <w:rPr>
          <w:b/>
          <w:u w:val="single"/>
        </w:rPr>
      </w:pPr>
      <w:r w:rsidRPr="007068B0">
        <w:rPr>
          <w:b/>
          <w:u w:val="single"/>
        </w:rPr>
        <w:t>Models/Algorithms Used</w:t>
      </w:r>
    </w:p>
    <w:p w:rsidR="00AB325A" w:rsidRDefault="00AB133B" w:rsidP="003F00DB">
      <w:r>
        <w:t xml:space="preserve">Several models </w:t>
      </w:r>
      <w:r w:rsidR="00596739">
        <w:t xml:space="preserve">were fitted: </w:t>
      </w:r>
      <w:r w:rsidR="00A54BBD">
        <w:t xml:space="preserve">a model with </w:t>
      </w:r>
      <w:r w:rsidR="00596739">
        <w:t xml:space="preserve">decision tree classifier, with </w:t>
      </w:r>
      <w:r w:rsidR="00E456E7">
        <w:t xml:space="preserve">support vector machine, </w:t>
      </w:r>
      <w:proofErr w:type="spellStart"/>
      <w:r w:rsidR="00E456E7">
        <w:t>AdaBoost</w:t>
      </w:r>
      <w:proofErr w:type="spellEnd"/>
      <w:r w:rsidR="00E456E7">
        <w:t xml:space="preserve"> with Decision Tree classifier, </w:t>
      </w:r>
      <w:proofErr w:type="spellStart"/>
      <w:r w:rsidR="00513ECC">
        <w:t>KBest</w:t>
      </w:r>
      <w:proofErr w:type="spellEnd"/>
      <w:r w:rsidR="00513ECC">
        <w:t xml:space="preserve"> with Decision Tree, and </w:t>
      </w:r>
      <w:proofErr w:type="spellStart"/>
      <w:r w:rsidR="00513ECC">
        <w:t>SelectPercentile</w:t>
      </w:r>
      <w:proofErr w:type="spellEnd"/>
      <w:r w:rsidR="00513ECC">
        <w:t xml:space="preserve"> with </w:t>
      </w:r>
      <w:proofErr w:type="spellStart"/>
      <w:r w:rsidR="00513ECC">
        <w:t>AdaBoost</w:t>
      </w:r>
      <w:proofErr w:type="spellEnd"/>
      <w:r w:rsidR="00513ECC">
        <w:t xml:space="preserve"> and Decision Tree.</w:t>
      </w:r>
      <w:r w:rsidR="00341DB2">
        <w:t xml:space="preserve"> Only the model with decision tree classifier returned satisfactory re</w:t>
      </w:r>
      <w:r w:rsidR="00783D03">
        <w:t>sults</w:t>
      </w:r>
      <w:r w:rsidR="003F00DB">
        <w:t>.</w:t>
      </w:r>
      <w:r w:rsidR="005E1091">
        <w:t xml:space="preserve"> </w:t>
      </w:r>
      <w:r w:rsidR="00214B27">
        <w:t>Please see Evaluation Metrics for model summary.</w:t>
      </w:r>
    </w:p>
    <w:p w:rsidR="00AB325A" w:rsidRPr="007068B0" w:rsidRDefault="00AB325A" w:rsidP="0058466D">
      <w:pPr>
        <w:rPr>
          <w:b/>
          <w:u w:val="single"/>
        </w:rPr>
      </w:pPr>
      <w:r w:rsidRPr="007068B0">
        <w:rPr>
          <w:b/>
          <w:u w:val="single"/>
        </w:rPr>
        <w:t>Hyper-Parameter Tuning</w:t>
      </w:r>
    </w:p>
    <w:p w:rsidR="00222164" w:rsidRDefault="00F86F0E" w:rsidP="0058466D">
      <w:r>
        <w:t>Many of the</w:t>
      </w:r>
      <w:r w:rsidR="00575637">
        <w:t xml:space="preserve"> algorithms I have tried </w:t>
      </w:r>
      <w:r w:rsidR="004816E0">
        <w:t xml:space="preserve">need to be tuned by parameters. If an algorithm that requires tuning was used without proper tuning, we could get a result that is far worse than not using this algorithm at all. </w:t>
      </w:r>
      <w:r w:rsidR="00205181">
        <w:t xml:space="preserve">To tune and determine the final parameter values, </w:t>
      </w:r>
      <w:r w:rsidR="00A136AF">
        <w:t xml:space="preserve">I have used </w:t>
      </w:r>
      <w:r w:rsidR="00EB7EA8">
        <w:t xml:space="preserve">a max depth of 2 (for decision tree) and </w:t>
      </w:r>
      <w:r w:rsidR="00A136AF">
        <w:t>a list of values</w:t>
      </w:r>
      <w:r w:rsidR="00222164">
        <w:t xml:space="preserve"> for </w:t>
      </w:r>
      <m:oMath>
        <m:r>
          <w:rPr>
            <w:rFonts w:ascii="Cambria Math" w:hAnsi="Cambria Math"/>
          </w:rPr>
          <m:t xml:space="preserve">C </m:t>
        </m:r>
      </m:oMath>
      <w:r w:rsidR="00222164">
        <w:t xml:space="preserve">and </w:t>
      </w:r>
      <m:oMath>
        <m:r>
          <w:rPr>
            <w:rFonts w:ascii="Cambria Math" w:hAnsi="Cambria Math"/>
          </w:rPr>
          <m:t>γ</m:t>
        </m:r>
      </m:oMath>
      <w:r w:rsidR="00222164">
        <w:t xml:space="preserve"> (for SVM), and adopted cross validation to pick the best values that maximizes the </w:t>
      </w:r>
      <m:oMath>
        <m:r>
          <w:rPr>
            <w:rFonts w:ascii="Cambria Math" w:hAnsi="Cambria Math"/>
          </w:rPr>
          <m:t xml:space="preserve">f1 </m:t>
        </m:r>
      </m:oMath>
      <w:r w:rsidR="00222164">
        <w:t xml:space="preserve">score. </w:t>
      </w:r>
      <w:proofErr w:type="spellStart"/>
      <w:r w:rsidR="00207C7B">
        <w:t>GridSearchCV</w:t>
      </w:r>
      <w:proofErr w:type="spellEnd"/>
      <w:r w:rsidR="00207C7B">
        <w:t xml:space="preserve"> was used to facilitate the tu</w:t>
      </w:r>
      <w:r w:rsidR="00AD2842">
        <w:t>ning and parameter selection in all cases.</w:t>
      </w:r>
    </w:p>
    <w:p w:rsidR="00AB325A" w:rsidRPr="007068B0" w:rsidRDefault="003A1AEA" w:rsidP="0058466D">
      <w:pPr>
        <w:rPr>
          <w:b/>
          <w:u w:val="single"/>
        </w:rPr>
      </w:pPr>
      <w:r w:rsidRPr="007068B0">
        <w:rPr>
          <w:b/>
          <w:u w:val="single"/>
        </w:rPr>
        <w:t>Validation</w:t>
      </w:r>
    </w:p>
    <w:p w:rsidR="003A1AEA" w:rsidRDefault="00A628C0" w:rsidP="0058466D">
      <w:r>
        <w:t xml:space="preserve">Validation </w:t>
      </w:r>
      <w:r w:rsidR="001A617E">
        <w:t xml:space="preserve">refers to separating the data into </w:t>
      </w:r>
      <w:r w:rsidR="00700395">
        <w:t xml:space="preserve">training and test sets, where the test sets are used for testing of model performances only. </w:t>
      </w:r>
      <w:r w:rsidR="0028413F">
        <w:t>A simple-minded mistake could happen where one trains the model on all the available data (especially when the quantity of data is limited). A good approach, apart from the separation of training and test sets, is cross-validation, which we use in this project.</w:t>
      </w:r>
    </w:p>
    <w:p w:rsidR="003A1AEA" w:rsidRPr="007068B0" w:rsidRDefault="00722342" w:rsidP="0058466D">
      <w:pPr>
        <w:rPr>
          <w:b/>
          <w:u w:val="single"/>
        </w:rPr>
      </w:pPr>
      <w:r w:rsidRPr="007068B0">
        <w:rPr>
          <w:b/>
          <w:u w:val="single"/>
        </w:rPr>
        <w:t>Evaluation Metrics</w:t>
      </w:r>
    </w:p>
    <w:p w:rsidR="0058466D" w:rsidRDefault="00EB6EE8" w:rsidP="0058466D">
      <w:r>
        <w:t xml:space="preserve">My </w:t>
      </w:r>
      <w:r w:rsidR="00045273">
        <w:t xml:space="preserve">final </w:t>
      </w:r>
      <w:r>
        <w:t xml:space="preserve">model </w:t>
      </w:r>
      <w:r w:rsidR="00045273">
        <w:t xml:space="preserve">using Decision Tree algorithm </w:t>
      </w:r>
      <w:r>
        <w:t xml:space="preserve">produces </w:t>
      </w:r>
      <w:r w:rsidR="00A228B8">
        <w:t xml:space="preserve">reasonable results </w:t>
      </w:r>
      <w:r>
        <w:t xml:space="preserve">(see Table </w:t>
      </w:r>
      <w:r w:rsidR="00B95A4A">
        <w:t xml:space="preserve">Two </w:t>
      </w:r>
      <w:r>
        <w:t xml:space="preserve">below). </w:t>
      </w:r>
      <w:r w:rsidR="00452BF7">
        <w:t xml:space="preserve">With a recall of </w:t>
      </w:r>
      <w:r w:rsidR="005F5891">
        <w:t>0.433</w:t>
      </w:r>
      <w:r w:rsidR="00452BF7">
        <w:t>, and precision of 0.</w:t>
      </w:r>
      <w:r w:rsidR="000370DF">
        <w:t>497</w:t>
      </w:r>
      <w:r w:rsidR="007E28D4">
        <w:t>,</w:t>
      </w:r>
      <w:r w:rsidR="00F93272">
        <w:t xml:space="preserve"> </w:t>
      </w:r>
      <w:proofErr w:type="gramStart"/>
      <w:r w:rsidR="00F93272">
        <w:t>It</w:t>
      </w:r>
      <w:proofErr w:type="gramEnd"/>
      <w:r w:rsidR="00F93272">
        <w:t xml:space="preserve"> </w:t>
      </w:r>
      <w:r w:rsidR="00452BF7">
        <w:t xml:space="preserve">means that </w:t>
      </w:r>
      <w:r w:rsidR="00A3180C">
        <w:t>there is a POI in the data set, my algorithm</w:t>
      </w:r>
      <w:r w:rsidR="00CF5B15">
        <w:t xml:space="preserve"> will pick it out</w:t>
      </w:r>
      <w:r w:rsidR="007E170A">
        <w:t xml:space="preserve"> half the time</w:t>
      </w:r>
      <w:r w:rsidR="00CF5B15">
        <w:t xml:space="preserve">. It also means that a person is truly </w:t>
      </w:r>
      <w:proofErr w:type="gramStart"/>
      <w:r w:rsidR="00CF5B15">
        <w:t>a POI</w:t>
      </w:r>
      <w:proofErr w:type="gramEnd"/>
      <w:r w:rsidR="00CF5B15">
        <w:t xml:space="preserve"> </w:t>
      </w:r>
      <w:r w:rsidR="00783D43">
        <w:t xml:space="preserve">approximately half the time </w:t>
      </w:r>
      <w:r w:rsidR="00CF5B15">
        <w:t>given that he or she has been identified as a POI</w:t>
      </w:r>
      <w:r w:rsidR="00E741E0">
        <w:t xml:space="preserve"> by my algorithm</w:t>
      </w:r>
      <w:r w:rsidR="00CF5B15">
        <w:t xml:space="preserve">. </w:t>
      </w:r>
      <w:r w:rsidR="007217F8">
        <w:t xml:space="preserve">Comparable metrics for all other experimented models are also reported. </w:t>
      </w:r>
    </w:p>
    <w:p w:rsidR="00272DCD" w:rsidRDefault="001503C0" w:rsidP="0058466D">
      <w:r>
        <w:t>Table Two</w:t>
      </w:r>
      <w:r w:rsidR="00272DCD">
        <w:t>: Comparison of Evaluation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A21D3" w:rsidTr="005A21D3">
        <w:tc>
          <w:tcPr>
            <w:tcW w:w="2394" w:type="dxa"/>
          </w:tcPr>
          <w:p w:rsidR="005A21D3" w:rsidRDefault="005A21D3" w:rsidP="0058466D"/>
        </w:tc>
        <w:tc>
          <w:tcPr>
            <w:tcW w:w="2394" w:type="dxa"/>
          </w:tcPr>
          <w:p w:rsidR="005A21D3" w:rsidRDefault="005A21D3" w:rsidP="0058466D">
            <w:r>
              <w:t>Precision</w:t>
            </w:r>
          </w:p>
        </w:tc>
        <w:tc>
          <w:tcPr>
            <w:tcW w:w="2394" w:type="dxa"/>
          </w:tcPr>
          <w:p w:rsidR="005A21D3" w:rsidRDefault="005A21D3" w:rsidP="0058466D">
            <w:r>
              <w:t>Recall</w:t>
            </w:r>
          </w:p>
        </w:tc>
        <w:tc>
          <w:tcPr>
            <w:tcW w:w="2394" w:type="dxa"/>
          </w:tcPr>
          <w:p w:rsidR="005A21D3" w:rsidRDefault="005A21D3" w:rsidP="0058466D">
            <w:r>
              <w:t>F1</w:t>
            </w:r>
          </w:p>
        </w:tc>
      </w:tr>
      <w:tr w:rsidR="005A21D3" w:rsidTr="005A21D3">
        <w:tc>
          <w:tcPr>
            <w:tcW w:w="2394" w:type="dxa"/>
          </w:tcPr>
          <w:p w:rsidR="005A21D3" w:rsidRDefault="005A21D3" w:rsidP="0058466D">
            <w:r>
              <w:t>Decision Tree</w:t>
            </w:r>
          </w:p>
        </w:tc>
        <w:tc>
          <w:tcPr>
            <w:tcW w:w="2394" w:type="dxa"/>
          </w:tcPr>
          <w:p w:rsidR="005A21D3" w:rsidRDefault="002A385A" w:rsidP="0058466D">
            <w:r w:rsidRPr="002A385A">
              <w:t>0.49799</w:t>
            </w:r>
          </w:p>
        </w:tc>
        <w:tc>
          <w:tcPr>
            <w:tcW w:w="2394" w:type="dxa"/>
          </w:tcPr>
          <w:p w:rsidR="005A21D3" w:rsidRDefault="002A385A" w:rsidP="0058466D">
            <w:r w:rsidRPr="002A385A">
              <w:t>0.43300</w:t>
            </w:r>
          </w:p>
        </w:tc>
        <w:tc>
          <w:tcPr>
            <w:tcW w:w="2394" w:type="dxa"/>
          </w:tcPr>
          <w:p w:rsidR="005A21D3" w:rsidRDefault="002A385A" w:rsidP="0058466D">
            <w:r w:rsidRPr="002A385A">
              <w:t>0.46323</w:t>
            </w:r>
          </w:p>
        </w:tc>
      </w:tr>
      <w:tr w:rsidR="005A21D3" w:rsidTr="005A21D3">
        <w:tc>
          <w:tcPr>
            <w:tcW w:w="2394" w:type="dxa"/>
          </w:tcPr>
          <w:p w:rsidR="005A21D3" w:rsidRDefault="005A21D3" w:rsidP="0058466D">
            <w:r>
              <w:t>Support Vector Machine</w:t>
            </w:r>
          </w:p>
        </w:tc>
        <w:tc>
          <w:tcPr>
            <w:tcW w:w="2394" w:type="dxa"/>
          </w:tcPr>
          <w:p w:rsidR="005A21D3" w:rsidRDefault="00B53A07" w:rsidP="0058466D">
            <w:r>
              <w:t xml:space="preserve">0. </w:t>
            </w:r>
            <w:r w:rsidRPr="00B53A07">
              <w:t>73376</w:t>
            </w:r>
          </w:p>
        </w:tc>
        <w:tc>
          <w:tcPr>
            <w:tcW w:w="2394" w:type="dxa"/>
          </w:tcPr>
          <w:p w:rsidR="005A21D3" w:rsidRDefault="000D0F38" w:rsidP="0058466D">
            <w:r w:rsidRPr="000D0F38">
              <w:t>0.23150</w:t>
            </w:r>
          </w:p>
        </w:tc>
        <w:tc>
          <w:tcPr>
            <w:tcW w:w="2394" w:type="dxa"/>
          </w:tcPr>
          <w:p w:rsidR="005A21D3" w:rsidRDefault="000D0F38" w:rsidP="0058466D">
            <w:r w:rsidRPr="000D0F38">
              <w:t>0.35196</w:t>
            </w:r>
          </w:p>
        </w:tc>
      </w:tr>
      <w:tr w:rsidR="00FB1A67" w:rsidTr="005A21D3">
        <w:tc>
          <w:tcPr>
            <w:tcW w:w="2394" w:type="dxa"/>
          </w:tcPr>
          <w:p w:rsidR="00FB1A67" w:rsidRDefault="00702A9E" w:rsidP="0058466D">
            <w:proofErr w:type="spellStart"/>
            <w:r>
              <w:t>AdaBoost</w:t>
            </w:r>
            <w:proofErr w:type="spellEnd"/>
            <w:r>
              <w:t xml:space="preserve"> with </w:t>
            </w:r>
            <w:proofErr w:type="spellStart"/>
            <w:r>
              <w:t>DecisionTree</w:t>
            </w:r>
            <w:proofErr w:type="spellEnd"/>
          </w:p>
        </w:tc>
        <w:tc>
          <w:tcPr>
            <w:tcW w:w="2394" w:type="dxa"/>
          </w:tcPr>
          <w:p w:rsidR="00FB1A67" w:rsidRDefault="00283972" w:rsidP="0058466D">
            <w:r w:rsidRPr="00283972">
              <w:t>0.41328</w:t>
            </w:r>
          </w:p>
        </w:tc>
        <w:tc>
          <w:tcPr>
            <w:tcW w:w="2394" w:type="dxa"/>
          </w:tcPr>
          <w:p w:rsidR="00FB1A67" w:rsidRPr="000D0F38" w:rsidRDefault="00283972" w:rsidP="0058466D">
            <w:r w:rsidRPr="00283972">
              <w:t>0.34550</w:t>
            </w:r>
          </w:p>
        </w:tc>
        <w:tc>
          <w:tcPr>
            <w:tcW w:w="2394" w:type="dxa"/>
          </w:tcPr>
          <w:p w:rsidR="00FB1A67" w:rsidRPr="000D0F38" w:rsidRDefault="00283972" w:rsidP="0058466D">
            <w:r w:rsidRPr="00283972">
              <w:t>0.37636</w:t>
            </w:r>
          </w:p>
        </w:tc>
      </w:tr>
      <w:tr w:rsidR="0042556C" w:rsidTr="005A21D3">
        <w:tc>
          <w:tcPr>
            <w:tcW w:w="2394" w:type="dxa"/>
          </w:tcPr>
          <w:p w:rsidR="0042556C" w:rsidRDefault="008E1395" w:rsidP="0058466D">
            <w:proofErr w:type="spellStart"/>
            <w:r>
              <w:t>KBest</w:t>
            </w:r>
            <w:proofErr w:type="spellEnd"/>
            <w:r w:rsidR="00DE4AD0">
              <w:t xml:space="preserve"> (2)</w:t>
            </w:r>
            <w:r w:rsidR="004E6119">
              <w:t xml:space="preserve"> with </w:t>
            </w:r>
            <w:proofErr w:type="spellStart"/>
            <w:r w:rsidR="004E6119">
              <w:t>AdaBoost</w:t>
            </w:r>
            <w:proofErr w:type="spellEnd"/>
            <w:r w:rsidR="004E6119">
              <w:t>(</w:t>
            </w:r>
            <w:proofErr w:type="spellStart"/>
            <w:r w:rsidR="004E6119">
              <w:t>DecisionTree</w:t>
            </w:r>
            <w:proofErr w:type="spellEnd"/>
            <w:r w:rsidR="004E6119">
              <w:t>)</w:t>
            </w:r>
          </w:p>
        </w:tc>
        <w:tc>
          <w:tcPr>
            <w:tcW w:w="2394" w:type="dxa"/>
          </w:tcPr>
          <w:p w:rsidR="0042556C" w:rsidRDefault="00E61EF0" w:rsidP="0058466D">
            <w:r w:rsidRPr="00E61EF0">
              <w:t>0.23982</w:t>
            </w:r>
          </w:p>
        </w:tc>
        <w:tc>
          <w:tcPr>
            <w:tcW w:w="2394" w:type="dxa"/>
          </w:tcPr>
          <w:p w:rsidR="0042556C" w:rsidRPr="000D0F38" w:rsidRDefault="00E61EF0" w:rsidP="0058466D">
            <w:r w:rsidRPr="00E61EF0">
              <w:t>0.19150</w:t>
            </w:r>
          </w:p>
        </w:tc>
        <w:tc>
          <w:tcPr>
            <w:tcW w:w="2394" w:type="dxa"/>
          </w:tcPr>
          <w:p w:rsidR="0042556C" w:rsidRPr="000D0F38" w:rsidRDefault="00E61EF0" w:rsidP="0058466D">
            <w:r w:rsidRPr="00E61EF0">
              <w:t>0.21296</w:t>
            </w:r>
          </w:p>
        </w:tc>
      </w:tr>
      <w:tr w:rsidR="00C37A74" w:rsidTr="005A21D3">
        <w:tc>
          <w:tcPr>
            <w:tcW w:w="2394" w:type="dxa"/>
          </w:tcPr>
          <w:p w:rsidR="00C37A74" w:rsidRDefault="00C37A74" w:rsidP="0058466D">
            <w:proofErr w:type="spellStart"/>
            <w:r>
              <w:t>SelectPercentile</w:t>
            </w:r>
            <w:proofErr w:type="spellEnd"/>
            <w:r>
              <w:t xml:space="preserve"> (90)</w:t>
            </w:r>
            <w:r w:rsidR="000138B3">
              <w:t xml:space="preserve"> </w:t>
            </w:r>
            <w:r w:rsidR="000138B3">
              <w:lastRenderedPageBreak/>
              <w:t xml:space="preserve">with </w:t>
            </w:r>
            <w:proofErr w:type="spellStart"/>
            <w:r w:rsidR="000138B3">
              <w:t>DecisionTree</w:t>
            </w:r>
            <w:proofErr w:type="spellEnd"/>
          </w:p>
        </w:tc>
        <w:tc>
          <w:tcPr>
            <w:tcW w:w="2394" w:type="dxa"/>
          </w:tcPr>
          <w:p w:rsidR="00C37A74" w:rsidRDefault="00C731CF" w:rsidP="0058466D">
            <w:r w:rsidRPr="00C731CF">
              <w:lastRenderedPageBreak/>
              <w:t>0.29155</w:t>
            </w:r>
          </w:p>
        </w:tc>
        <w:tc>
          <w:tcPr>
            <w:tcW w:w="2394" w:type="dxa"/>
          </w:tcPr>
          <w:p w:rsidR="00C37A74" w:rsidRPr="000D0F38" w:rsidRDefault="00C731CF" w:rsidP="0058466D">
            <w:r w:rsidRPr="00C731CF">
              <w:t>0.35350</w:t>
            </w:r>
            <w:bookmarkStart w:id="0" w:name="_GoBack"/>
            <w:bookmarkEnd w:id="0"/>
          </w:p>
        </w:tc>
        <w:tc>
          <w:tcPr>
            <w:tcW w:w="2394" w:type="dxa"/>
          </w:tcPr>
          <w:p w:rsidR="00C37A74" w:rsidRPr="000D0F38" w:rsidRDefault="00C731CF" w:rsidP="0058466D">
            <w:r w:rsidRPr="00C731CF">
              <w:t>0.31955</w:t>
            </w:r>
          </w:p>
        </w:tc>
      </w:tr>
    </w:tbl>
    <w:p w:rsidR="0052079F" w:rsidRDefault="0052079F" w:rsidP="0058466D"/>
    <w:sectPr w:rsidR="00520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14B54"/>
    <w:multiLevelType w:val="hybridMultilevel"/>
    <w:tmpl w:val="57CCB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66D"/>
    <w:rsid w:val="000053D7"/>
    <w:rsid w:val="00010CEF"/>
    <w:rsid w:val="0001144E"/>
    <w:rsid w:val="000138B3"/>
    <w:rsid w:val="00016264"/>
    <w:rsid w:val="00021CDB"/>
    <w:rsid w:val="00021FC5"/>
    <w:rsid w:val="00025A61"/>
    <w:rsid w:val="0002779D"/>
    <w:rsid w:val="000343FA"/>
    <w:rsid w:val="000370DF"/>
    <w:rsid w:val="00037F50"/>
    <w:rsid w:val="00045273"/>
    <w:rsid w:val="000460B4"/>
    <w:rsid w:val="00046853"/>
    <w:rsid w:val="00064134"/>
    <w:rsid w:val="000660F3"/>
    <w:rsid w:val="00073F23"/>
    <w:rsid w:val="000744E7"/>
    <w:rsid w:val="00074ABC"/>
    <w:rsid w:val="00080372"/>
    <w:rsid w:val="000841E6"/>
    <w:rsid w:val="00090216"/>
    <w:rsid w:val="000912E3"/>
    <w:rsid w:val="00095E1F"/>
    <w:rsid w:val="00096DDE"/>
    <w:rsid w:val="00097FBF"/>
    <w:rsid w:val="000C55F8"/>
    <w:rsid w:val="000D0F38"/>
    <w:rsid w:val="000D4063"/>
    <w:rsid w:val="000D7570"/>
    <w:rsid w:val="000F01F5"/>
    <w:rsid w:val="000F6914"/>
    <w:rsid w:val="001008A8"/>
    <w:rsid w:val="00105308"/>
    <w:rsid w:val="00106006"/>
    <w:rsid w:val="001101F5"/>
    <w:rsid w:val="00130345"/>
    <w:rsid w:val="00131D09"/>
    <w:rsid w:val="00134125"/>
    <w:rsid w:val="00143D26"/>
    <w:rsid w:val="00146FFE"/>
    <w:rsid w:val="001503C0"/>
    <w:rsid w:val="0016239F"/>
    <w:rsid w:val="0016250A"/>
    <w:rsid w:val="00164AEA"/>
    <w:rsid w:val="00171FB1"/>
    <w:rsid w:val="00173906"/>
    <w:rsid w:val="00175819"/>
    <w:rsid w:val="00181181"/>
    <w:rsid w:val="00183B9C"/>
    <w:rsid w:val="00192A04"/>
    <w:rsid w:val="00193DA3"/>
    <w:rsid w:val="00195C0B"/>
    <w:rsid w:val="001A154C"/>
    <w:rsid w:val="001A4C5B"/>
    <w:rsid w:val="001A57C5"/>
    <w:rsid w:val="001A617E"/>
    <w:rsid w:val="001A799E"/>
    <w:rsid w:val="001B0A90"/>
    <w:rsid w:val="001B380B"/>
    <w:rsid w:val="001B3FDF"/>
    <w:rsid w:val="001C4C0A"/>
    <w:rsid w:val="001D1004"/>
    <w:rsid w:val="001E1B55"/>
    <w:rsid w:val="001E39E2"/>
    <w:rsid w:val="001F0827"/>
    <w:rsid w:val="001F3088"/>
    <w:rsid w:val="001F3B57"/>
    <w:rsid w:val="001F5953"/>
    <w:rsid w:val="00205181"/>
    <w:rsid w:val="00207C7B"/>
    <w:rsid w:val="00214B27"/>
    <w:rsid w:val="00215763"/>
    <w:rsid w:val="002207E4"/>
    <w:rsid w:val="00222164"/>
    <w:rsid w:val="00231CEC"/>
    <w:rsid w:val="00242702"/>
    <w:rsid w:val="00242C49"/>
    <w:rsid w:val="00246DD3"/>
    <w:rsid w:val="00255571"/>
    <w:rsid w:val="002613A7"/>
    <w:rsid w:val="00262CDA"/>
    <w:rsid w:val="00267F66"/>
    <w:rsid w:val="0027006A"/>
    <w:rsid w:val="00272DCD"/>
    <w:rsid w:val="0028211B"/>
    <w:rsid w:val="00283972"/>
    <w:rsid w:val="0028413F"/>
    <w:rsid w:val="00292493"/>
    <w:rsid w:val="002A2F06"/>
    <w:rsid w:val="002A385A"/>
    <w:rsid w:val="002A6BD8"/>
    <w:rsid w:val="002A791E"/>
    <w:rsid w:val="002C30C3"/>
    <w:rsid w:val="002C3DBA"/>
    <w:rsid w:val="002D265B"/>
    <w:rsid w:val="002D53BC"/>
    <w:rsid w:val="002E3576"/>
    <w:rsid w:val="002E4660"/>
    <w:rsid w:val="002E74FC"/>
    <w:rsid w:val="002F6D7F"/>
    <w:rsid w:val="0030015D"/>
    <w:rsid w:val="003059AA"/>
    <w:rsid w:val="00310CE0"/>
    <w:rsid w:val="00333DEE"/>
    <w:rsid w:val="00335D75"/>
    <w:rsid w:val="00337432"/>
    <w:rsid w:val="00340C18"/>
    <w:rsid w:val="00341DB2"/>
    <w:rsid w:val="003445E1"/>
    <w:rsid w:val="0035176A"/>
    <w:rsid w:val="00361D79"/>
    <w:rsid w:val="00366CAC"/>
    <w:rsid w:val="00375839"/>
    <w:rsid w:val="003764FC"/>
    <w:rsid w:val="003771C7"/>
    <w:rsid w:val="003842F5"/>
    <w:rsid w:val="003A1AEA"/>
    <w:rsid w:val="003A6A99"/>
    <w:rsid w:val="003B37FC"/>
    <w:rsid w:val="003C1423"/>
    <w:rsid w:val="003C3B4F"/>
    <w:rsid w:val="003C682B"/>
    <w:rsid w:val="003C78BC"/>
    <w:rsid w:val="003D1B76"/>
    <w:rsid w:val="003D60B6"/>
    <w:rsid w:val="003F00DB"/>
    <w:rsid w:val="003F3638"/>
    <w:rsid w:val="0041529B"/>
    <w:rsid w:val="0042556C"/>
    <w:rsid w:val="00425A7E"/>
    <w:rsid w:val="0042645A"/>
    <w:rsid w:val="00440323"/>
    <w:rsid w:val="00443FBF"/>
    <w:rsid w:val="00445C7C"/>
    <w:rsid w:val="00452BF7"/>
    <w:rsid w:val="00465ACB"/>
    <w:rsid w:val="0046721D"/>
    <w:rsid w:val="004810BC"/>
    <w:rsid w:val="004816E0"/>
    <w:rsid w:val="0048449C"/>
    <w:rsid w:val="004846F4"/>
    <w:rsid w:val="004A0B75"/>
    <w:rsid w:val="004B03FC"/>
    <w:rsid w:val="004B39B7"/>
    <w:rsid w:val="004D089A"/>
    <w:rsid w:val="004D3CD4"/>
    <w:rsid w:val="004D731E"/>
    <w:rsid w:val="004D795D"/>
    <w:rsid w:val="004E6119"/>
    <w:rsid w:val="004F028D"/>
    <w:rsid w:val="004F0CE5"/>
    <w:rsid w:val="004F2324"/>
    <w:rsid w:val="004F49D9"/>
    <w:rsid w:val="004F4DA2"/>
    <w:rsid w:val="004F61E9"/>
    <w:rsid w:val="00511B47"/>
    <w:rsid w:val="00513ECC"/>
    <w:rsid w:val="005169B5"/>
    <w:rsid w:val="00516C46"/>
    <w:rsid w:val="0052079F"/>
    <w:rsid w:val="00520CF5"/>
    <w:rsid w:val="00531307"/>
    <w:rsid w:val="00531935"/>
    <w:rsid w:val="00544ED4"/>
    <w:rsid w:val="00546A3D"/>
    <w:rsid w:val="00551A3E"/>
    <w:rsid w:val="00552F46"/>
    <w:rsid w:val="005617AB"/>
    <w:rsid w:val="005670F1"/>
    <w:rsid w:val="00575637"/>
    <w:rsid w:val="00582D73"/>
    <w:rsid w:val="0058466D"/>
    <w:rsid w:val="00591CB3"/>
    <w:rsid w:val="00594137"/>
    <w:rsid w:val="00596030"/>
    <w:rsid w:val="00596739"/>
    <w:rsid w:val="005A21D3"/>
    <w:rsid w:val="005A3DB8"/>
    <w:rsid w:val="005A5C08"/>
    <w:rsid w:val="005A64F0"/>
    <w:rsid w:val="005A7030"/>
    <w:rsid w:val="005B5986"/>
    <w:rsid w:val="005C0DFE"/>
    <w:rsid w:val="005C3853"/>
    <w:rsid w:val="005D0920"/>
    <w:rsid w:val="005D0CFC"/>
    <w:rsid w:val="005D7474"/>
    <w:rsid w:val="005E1091"/>
    <w:rsid w:val="005F4A53"/>
    <w:rsid w:val="005F5891"/>
    <w:rsid w:val="005F6618"/>
    <w:rsid w:val="00602017"/>
    <w:rsid w:val="00624C5F"/>
    <w:rsid w:val="00635E33"/>
    <w:rsid w:val="00637333"/>
    <w:rsid w:val="00641E28"/>
    <w:rsid w:val="00653D27"/>
    <w:rsid w:val="00655590"/>
    <w:rsid w:val="00656885"/>
    <w:rsid w:val="00661D25"/>
    <w:rsid w:val="00667564"/>
    <w:rsid w:val="006738A0"/>
    <w:rsid w:val="00677E13"/>
    <w:rsid w:val="0068575A"/>
    <w:rsid w:val="00692F54"/>
    <w:rsid w:val="006957C5"/>
    <w:rsid w:val="006A22D8"/>
    <w:rsid w:val="006A33F9"/>
    <w:rsid w:val="006C6A65"/>
    <w:rsid w:val="006C7F35"/>
    <w:rsid w:val="006D27EC"/>
    <w:rsid w:val="006D3137"/>
    <w:rsid w:val="006E0DAF"/>
    <w:rsid w:val="006F0708"/>
    <w:rsid w:val="006F75DA"/>
    <w:rsid w:val="00700395"/>
    <w:rsid w:val="00702A9E"/>
    <w:rsid w:val="007068B0"/>
    <w:rsid w:val="0071328C"/>
    <w:rsid w:val="007217F8"/>
    <w:rsid w:val="00722342"/>
    <w:rsid w:val="00723076"/>
    <w:rsid w:val="00724F8F"/>
    <w:rsid w:val="007275B1"/>
    <w:rsid w:val="0072798C"/>
    <w:rsid w:val="00735B44"/>
    <w:rsid w:val="007459E3"/>
    <w:rsid w:val="00752F1E"/>
    <w:rsid w:val="00753C3C"/>
    <w:rsid w:val="00761551"/>
    <w:rsid w:val="00762D3F"/>
    <w:rsid w:val="00764F16"/>
    <w:rsid w:val="00772B3E"/>
    <w:rsid w:val="00782930"/>
    <w:rsid w:val="00783D03"/>
    <w:rsid w:val="00783D43"/>
    <w:rsid w:val="00786E6B"/>
    <w:rsid w:val="007971AB"/>
    <w:rsid w:val="007A025B"/>
    <w:rsid w:val="007A54A1"/>
    <w:rsid w:val="007B1932"/>
    <w:rsid w:val="007B2604"/>
    <w:rsid w:val="007B2918"/>
    <w:rsid w:val="007C0CEC"/>
    <w:rsid w:val="007C7A85"/>
    <w:rsid w:val="007D10B2"/>
    <w:rsid w:val="007E111E"/>
    <w:rsid w:val="007E170A"/>
    <w:rsid w:val="007E28D4"/>
    <w:rsid w:val="008106BC"/>
    <w:rsid w:val="00812667"/>
    <w:rsid w:val="008250B7"/>
    <w:rsid w:val="0083441A"/>
    <w:rsid w:val="00837C72"/>
    <w:rsid w:val="00844EFC"/>
    <w:rsid w:val="00852B2B"/>
    <w:rsid w:val="0085739F"/>
    <w:rsid w:val="0086209D"/>
    <w:rsid w:val="00866638"/>
    <w:rsid w:val="00866E17"/>
    <w:rsid w:val="00870D52"/>
    <w:rsid w:val="00871E9C"/>
    <w:rsid w:val="00873570"/>
    <w:rsid w:val="00876AEA"/>
    <w:rsid w:val="0088552E"/>
    <w:rsid w:val="00885B4A"/>
    <w:rsid w:val="00892317"/>
    <w:rsid w:val="00894854"/>
    <w:rsid w:val="00897537"/>
    <w:rsid w:val="008A1769"/>
    <w:rsid w:val="008A51EC"/>
    <w:rsid w:val="008C0793"/>
    <w:rsid w:val="008C6D9C"/>
    <w:rsid w:val="008E0E2F"/>
    <w:rsid w:val="008E1250"/>
    <w:rsid w:val="008E1395"/>
    <w:rsid w:val="008E2406"/>
    <w:rsid w:val="008F3BB5"/>
    <w:rsid w:val="00903724"/>
    <w:rsid w:val="009141BF"/>
    <w:rsid w:val="00923436"/>
    <w:rsid w:val="0092396B"/>
    <w:rsid w:val="009268D3"/>
    <w:rsid w:val="00930071"/>
    <w:rsid w:val="00932127"/>
    <w:rsid w:val="00932DF5"/>
    <w:rsid w:val="00934ADD"/>
    <w:rsid w:val="00935A95"/>
    <w:rsid w:val="00941D5B"/>
    <w:rsid w:val="009472FE"/>
    <w:rsid w:val="00955906"/>
    <w:rsid w:val="009644EB"/>
    <w:rsid w:val="00974D08"/>
    <w:rsid w:val="00976307"/>
    <w:rsid w:val="009815B0"/>
    <w:rsid w:val="00983108"/>
    <w:rsid w:val="009840B5"/>
    <w:rsid w:val="0098493B"/>
    <w:rsid w:val="009857AC"/>
    <w:rsid w:val="009867B7"/>
    <w:rsid w:val="009B0CC6"/>
    <w:rsid w:val="009B3AA6"/>
    <w:rsid w:val="009B3EC7"/>
    <w:rsid w:val="009E4E2A"/>
    <w:rsid w:val="009E5CF8"/>
    <w:rsid w:val="009F5B0B"/>
    <w:rsid w:val="009F7466"/>
    <w:rsid w:val="00A04764"/>
    <w:rsid w:val="00A136AF"/>
    <w:rsid w:val="00A13F93"/>
    <w:rsid w:val="00A1584A"/>
    <w:rsid w:val="00A16830"/>
    <w:rsid w:val="00A2134A"/>
    <w:rsid w:val="00A228B8"/>
    <w:rsid w:val="00A311A3"/>
    <w:rsid w:val="00A3180C"/>
    <w:rsid w:val="00A34284"/>
    <w:rsid w:val="00A342A3"/>
    <w:rsid w:val="00A37451"/>
    <w:rsid w:val="00A45188"/>
    <w:rsid w:val="00A53BAB"/>
    <w:rsid w:val="00A54BBD"/>
    <w:rsid w:val="00A628C0"/>
    <w:rsid w:val="00A734BF"/>
    <w:rsid w:val="00A771F5"/>
    <w:rsid w:val="00A82CE9"/>
    <w:rsid w:val="00AA0372"/>
    <w:rsid w:val="00AA0E6E"/>
    <w:rsid w:val="00AA3D1A"/>
    <w:rsid w:val="00AA6317"/>
    <w:rsid w:val="00AA6C07"/>
    <w:rsid w:val="00AB133B"/>
    <w:rsid w:val="00AB325A"/>
    <w:rsid w:val="00AB55A8"/>
    <w:rsid w:val="00AC1FF4"/>
    <w:rsid w:val="00AC248C"/>
    <w:rsid w:val="00AD25C7"/>
    <w:rsid w:val="00AD2842"/>
    <w:rsid w:val="00AD694A"/>
    <w:rsid w:val="00AD770E"/>
    <w:rsid w:val="00AE3432"/>
    <w:rsid w:val="00AE39F8"/>
    <w:rsid w:val="00AF02B4"/>
    <w:rsid w:val="00AF530E"/>
    <w:rsid w:val="00AF6532"/>
    <w:rsid w:val="00AF790D"/>
    <w:rsid w:val="00B031A7"/>
    <w:rsid w:val="00B1465B"/>
    <w:rsid w:val="00B31E0F"/>
    <w:rsid w:val="00B34607"/>
    <w:rsid w:val="00B53A07"/>
    <w:rsid w:val="00B53F74"/>
    <w:rsid w:val="00B550EF"/>
    <w:rsid w:val="00B64A41"/>
    <w:rsid w:val="00B713C6"/>
    <w:rsid w:val="00B739C1"/>
    <w:rsid w:val="00B91614"/>
    <w:rsid w:val="00B95A4A"/>
    <w:rsid w:val="00BA103B"/>
    <w:rsid w:val="00BA2BBD"/>
    <w:rsid w:val="00BA581C"/>
    <w:rsid w:val="00BA5E57"/>
    <w:rsid w:val="00BB0ED3"/>
    <w:rsid w:val="00BB6AA0"/>
    <w:rsid w:val="00BC1FE8"/>
    <w:rsid w:val="00BE226B"/>
    <w:rsid w:val="00BE6847"/>
    <w:rsid w:val="00C118D9"/>
    <w:rsid w:val="00C14785"/>
    <w:rsid w:val="00C23365"/>
    <w:rsid w:val="00C279EE"/>
    <w:rsid w:val="00C30887"/>
    <w:rsid w:val="00C3212E"/>
    <w:rsid w:val="00C37A74"/>
    <w:rsid w:val="00C40B6E"/>
    <w:rsid w:val="00C54070"/>
    <w:rsid w:val="00C57933"/>
    <w:rsid w:val="00C60BE3"/>
    <w:rsid w:val="00C635FB"/>
    <w:rsid w:val="00C70E28"/>
    <w:rsid w:val="00C731CF"/>
    <w:rsid w:val="00C757E8"/>
    <w:rsid w:val="00C75A54"/>
    <w:rsid w:val="00C77723"/>
    <w:rsid w:val="00C85116"/>
    <w:rsid w:val="00C9274D"/>
    <w:rsid w:val="00C94259"/>
    <w:rsid w:val="00C9508A"/>
    <w:rsid w:val="00C95099"/>
    <w:rsid w:val="00CA6C7B"/>
    <w:rsid w:val="00CB0635"/>
    <w:rsid w:val="00CB10C4"/>
    <w:rsid w:val="00CB527D"/>
    <w:rsid w:val="00CB640F"/>
    <w:rsid w:val="00CC2529"/>
    <w:rsid w:val="00CC4508"/>
    <w:rsid w:val="00CD3119"/>
    <w:rsid w:val="00CD525F"/>
    <w:rsid w:val="00CD715D"/>
    <w:rsid w:val="00CD720A"/>
    <w:rsid w:val="00CE1F82"/>
    <w:rsid w:val="00CE49FE"/>
    <w:rsid w:val="00CE6007"/>
    <w:rsid w:val="00CE6BB3"/>
    <w:rsid w:val="00CF5B15"/>
    <w:rsid w:val="00CF73ED"/>
    <w:rsid w:val="00D023C7"/>
    <w:rsid w:val="00D02674"/>
    <w:rsid w:val="00D0504E"/>
    <w:rsid w:val="00D12118"/>
    <w:rsid w:val="00D122BC"/>
    <w:rsid w:val="00D301EE"/>
    <w:rsid w:val="00D34689"/>
    <w:rsid w:val="00D41124"/>
    <w:rsid w:val="00D435DC"/>
    <w:rsid w:val="00D50873"/>
    <w:rsid w:val="00D50AF7"/>
    <w:rsid w:val="00D52667"/>
    <w:rsid w:val="00D752E7"/>
    <w:rsid w:val="00D80F82"/>
    <w:rsid w:val="00D971B1"/>
    <w:rsid w:val="00DB0AA7"/>
    <w:rsid w:val="00DB2007"/>
    <w:rsid w:val="00DB2853"/>
    <w:rsid w:val="00DB2D5C"/>
    <w:rsid w:val="00DC0B05"/>
    <w:rsid w:val="00DC386D"/>
    <w:rsid w:val="00DC6CF0"/>
    <w:rsid w:val="00DD1377"/>
    <w:rsid w:val="00DE2D57"/>
    <w:rsid w:val="00DE4AD0"/>
    <w:rsid w:val="00E03769"/>
    <w:rsid w:val="00E10B60"/>
    <w:rsid w:val="00E13438"/>
    <w:rsid w:val="00E20C63"/>
    <w:rsid w:val="00E25AA8"/>
    <w:rsid w:val="00E26909"/>
    <w:rsid w:val="00E279E7"/>
    <w:rsid w:val="00E3435A"/>
    <w:rsid w:val="00E40096"/>
    <w:rsid w:val="00E43F6E"/>
    <w:rsid w:val="00E456E7"/>
    <w:rsid w:val="00E61CA5"/>
    <w:rsid w:val="00E61EF0"/>
    <w:rsid w:val="00E741E0"/>
    <w:rsid w:val="00E81E0E"/>
    <w:rsid w:val="00E855A5"/>
    <w:rsid w:val="00E870F4"/>
    <w:rsid w:val="00EA7406"/>
    <w:rsid w:val="00EB2049"/>
    <w:rsid w:val="00EB29E3"/>
    <w:rsid w:val="00EB33CB"/>
    <w:rsid w:val="00EB6EE8"/>
    <w:rsid w:val="00EB718C"/>
    <w:rsid w:val="00EB7EA8"/>
    <w:rsid w:val="00ED69D5"/>
    <w:rsid w:val="00EE332B"/>
    <w:rsid w:val="00EE3645"/>
    <w:rsid w:val="00EE4F45"/>
    <w:rsid w:val="00EE7830"/>
    <w:rsid w:val="00EF7B24"/>
    <w:rsid w:val="00F15662"/>
    <w:rsid w:val="00F1627F"/>
    <w:rsid w:val="00F21158"/>
    <w:rsid w:val="00F2141D"/>
    <w:rsid w:val="00F2502C"/>
    <w:rsid w:val="00F4187B"/>
    <w:rsid w:val="00F44C53"/>
    <w:rsid w:val="00F50E93"/>
    <w:rsid w:val="00F53494"/>
    <w:rsid w:val="00F55E51"/>
    <w:rsid w:val="00F7705F"/>
    <w:rsid w:val="00F81331"/>
    <w:rsid w:val="00F86F0E"/>
    <w:rsid w:val="00F93004"/>
    <w:rsid w:val="00F93272"/>
    <w:rsid w:val="00F93A04"/>
    <w:rsid w:val="00FB1A67"/>
    <w:rsid w:val="00FB1FB8"/>
    <w:rsid w:val="00FC0610"/>
    <w:rsid w:val="00FC69C0"/>
    <w:rsid w:val="00FC7AD8"/>
    <w:rsid w:val="00FE2C91"/>
    <w:rsid w:val="00FE6B2F"/>
    <w:rsid w:val="00FF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6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21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2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52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6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21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1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2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52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Hung</dc:creator>
  <cp:lastModifiedBy>Jenny Hung</cp:lastModifiedBy>
  <cp:revision>275</cp:revision>
  <cp:lastPrinted>2017-04-11T08:30:00Z</cp:lastPrinted>
  <dcterms:created xsi:type="dcterms:W3CDTF">2017-04-09T22:51:00Z</dcterms:created>
  <dcterms:modified xsi:type="dcterms:W3CDTF">2017-04-11T08:30:00Z</dcterms:modified>
</cp:coreProperties>
</file>