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Unveiling the role of Ni doping in the electrochemical performance improvement of the LiMn2O4 cathodes</w:t>
      </w:r>
    </w:p>
    <w:p>
      <w:r>
        <w:t>Applied Surface Science, 2023, doi:10.1016/j.apsusc.2023.157142</w:t>
      </w:r>
    </w:p>
    <w:p>
      <w:pPr>
        <w:pStyle w:val="Heading2"/>
      </w:pPr>
      <w:r>
        <w:t>Data: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Sample</w:t>
            </w:r>
          </w:p>
        </w:tc>
        <w:tc>
          <w:tcPr>
            <w:tcW w:type="dxa" w:w="1440"/>
          </w:tcPr>
          <w:p>
            <w:r>
              <w:t>Initial Discharge Capacity (mAh/g)</w:t>
            </w:r>
          </w:p>
        </w:tc>
        <w:tc>
          <w:tcPr>
            <w:tcW w:type="dxa" w:w="1440"/>
          </w:tcPr>
          <w:p>
            <w:r>
              <w:t>Capacity Retention after 1000 cycles (%)</w:t>
            </w:r>
          </w:p>
        </w:tc>
        <w:tc>
          <w:tcPr>
            <w:tcW w:type="dxa" w:w="1440"/>
          </w:tcPr>
          <w:p>
            <w:r>
              <w:t>Rate Capability at 15 C (mAh/g)</w:t>
            </w:r>
          </w:p>
        </w:tc>
        <w:tc>
          <w:tcPr>
            <w:tcW w:type="dxa" w:w="1440"/>
          </w:tcPr>
          <w:p>
            <w:r>
              <w:t>Li Diffusion Coefficient (cm²/s)</w:t>
            </w:r>
          </w:p>
        </w:tc>
        <w:tc>
          <w:tcPr>
            <w:tcW w:type="dxa" w:w="1440"/>
          </w:tcPr>
          <w:p>
            <w:r>
              <w:t>Reference</w:t>
            </w:r>
          </w:p>
        </w:tc>
      </w:tr>
      <w:tr>
        <w:tc>
          <w:tcPr>
            <w:tcW w:type="dxa" w:w="1440"/>
          </w:tcPr>
          <w:p>
            <w:r>
              <w:t>LiMn2O4</w:t>
            </w:r>
          </w:p>
        </w:tc>
        <w:tc>
          <w:tcPr>
            <w:tcW w:type="dxa" w:w="1440"/>
          </w:tcPr>
          <w:p>
            <w:r>
              <w:t>43.65</w:t>
            </w:r>
          </w:p>
        </w:tc>
        <w:tc>
          <w:tcPr>
            <w:tcW w:type="dxa" w:w="1440"/>
          </w:tcPr>
          <w:p>
            <w:r>
              <w:t>48.11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4.89 × 10⁻¹⁵</w:t>
            </w:r>
          </w:p>
        </w:tc>
        <w:tc>
          <w:tcPr>
            <w:tcW w:type="dxa" w:w="1440"/>
          </w:tcPr>
          <w:p>
            <w:r>
              <w:t>Xu et al., 2023</w:t>
            </w:r>
          </w:p>
        </w:tc>
      </w:tr>
      <w:tr>
        <w:tc>
          <w:tcPr>
            <w:tcW w:type="dxa" w:w="1440"/>
          </w:tcPr>
          <w:p>
            <w:r>
              <w:t>LiNi0.02Mn1.98O4</w:t>
            </w:r>
          </w:p>
        </w:tc>
        <w:tc>
          <w:tcPr>
            <w:tcW w:type="dxa" w:w="1440"/>
          </w:tcPr>
          <w:p>
            <w:r>
              <w:t>73.27</w:t>
            </w:r>
          </w:p>
        </w:tc>
        <w:tc>
          <w:tcPr>
            <w:tcW w:type="dxa" w:w="1440"/>
          </w:tcPr>
          <w:p>
            <w:r>
              <w:t>74.44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Xu et al., 2023</w:t>
            </w:r>
          </w:p>
        </w:tc>
      </w:tr>
      <w:tr>
        <w:tc>
          <w:tcPr>
            <w:tcW w:type="dxa" w:w="1440"/>
          </w:tcPr>
          <w:p>
            <w:r>
              <w:t>LiNi0.05Mn1.95O4</w:t>
            </w:r>
          </w:p>
        </w:tc>
        <w:tc>
          <w:tcPr>
            <w:tcW w:type="dxa" w:w="1440"/>
          </w:tcPr>
          <w:p>
            <w:r>
              <w:t>82.07</w:t>
            </w:r>
          </w:p>
        </w:tc>
        <w:tc>
          <w:tcPr>
            <w:tcW w:type="dxa" w:w="1440"/>
          </w:tcPr>
          <w:p>
            <w:r>
              <w:t>88.92</w:t>
            </w:r>
          </w:p>
        </w:tc>
        <w:tc>
          <w:tcPr>
            <w:tcW w:type="dxa" w:w="1440"/>
          </w:tcPr>
          <w:p>
            <w:r>
              <w:t>58.27</w:t>
            </w:r>
          </w:p>
        </w:tc>
        <w:tc>
          <w:tcPr>
            <w:tcW w:type="dxa" w:w="1440"/>
          </w:tcPr>
          <w:p>
            <w:r>
              <w:t>2.26 × 10⁻¹⁴</w:t>
            </w:r>
          </w:p>
        </w:tc>
        <w:tc>
          <w:tcPr>
            <w:tcW w:type="dxa" w:w="1440"/>
          </w:tcPr>
          <w:p>
            <w:r>
              <w:t>Xu et al., 2023</w:t>
            </w:r>
          </w:p>
        </w:tc>
      </w:tr>
      <w:tr>
        <w:tc>
          <w:tcPr>
            <w:tcW w:type="dxa" w:w="1440"/>
          </w:tcPr>
          <w:p>
            <w:r>
              <w:t>LiNi0.1Mn1.9O4</w:t>
            </w:r>
          </w:p>
        </w:tc>
        <w:tc>
          <w:tcPr>
            <w:tcW w:type="dxa" w:w="1440"/>
          </w:tcPr>
          <w:p>
            <w:r>
              <w:t>68.91</w:t>
            </w:r>
          </w:p>
        </w:tc>
        <w:tc>
          <w:tcPr>
            <w:tcW w:type="dxa" w:w="1440"/>
          </w:tcPr>
          <w:p>
            <w:r>
              <w:t>88.59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Xu et al., 2023</w:t>
            </w:r>
          </w:p>
        </w:tc>
      </w:tr>
      <w:tr>
        <w:tc>
          <w:tcPr>
            <w:tcW w:type="dxa" w:w="1440"/>
          </w:tcPr>
          <w:p>
            <w:r>
              <w:t>LiMn2O4 (cited)</w:t>
            </w:r>
          </w:p>
        </w:tc>
        <w:tc>
          <w:tcPr>
            <w:tcW w:type="dxa" w:w="1440"/>
          </w:tcPr>
          <w:p>
            <w:r>
              <w:t>50-80</w:t>
            </w:r>
          </w:p>
        </w:tc>
        <w:tc>
          <w:tcPr>
            <w:tcW w:type="dxa" w:w="1440"/>
          </w:tcPr>
          <w:p>
            <w:r>
              <w:t>60-70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Zhang et al., 2023</w:t>
            </w:r>
          </w:p>
        </w:tc>
      </w:tr>
    </w:tbl>
    <w:p>
      <w:pPr>
        <w:pStyle w:val="Heading2"/>
      </w:pPr>
      <w:r>
        <w:t>Insight:</w:t>
      </w:r>
    </w:p>
    <w:p>
      <w:r>
        <w:t>Enhanced Stability: Ni doping significantly enhances the cycling stability of LiMn2O4 cathodes, with the LiNi0.05Mn1.95O4 sample showing an 88.92% capacity retention after 1000 cycles compared to 48.11% for undoped LiMn2O4.</w:t>
      </w:r>
    </w:p>
    <w:p>
      <w:r>
        <w:t>Improved Rate Capability: The LiNi0.05Mn1.95O4 sample exhibits superior rate capability, delivering 58.27 mAh/g at 15 C, indicating better performance under high-rate conditions.</w:t>
      </w:r>
    </w:p>
    <w:p>
      <w:r>
        <w:t>Increased Li Diffusion: The Li diffusion coefficient of LiNi0.05Mn1.95O4 is significantly higher (2.26 × 10⁻¹⁴ cm²/s) compared to undoped LiMn2O4 (4.89 × 10⁻¹⁵ cm²/s), suggesting that Ni doping facilitates faster Li ion transport.</w:t>
      </w:r>
    </w:p>
    <w:p>
      <w:pPr>
        <w:pStyle w:val="Heading2"/>
      </w:pPr>
      <w:r>
        <w:t>Best sample:</w:t>
      </w:r>
    </w:p>
    <w:p>
      <w:r>
        <w:t>LiNi0.05Mn1.95O4</w:t>
      </w:r>
    </w:p>
    <w:p>
      <w:pPr>
        <w:pStyle w:val="Heading2"/>
      </w:pPr>
      <w:r>
        <w:t>Reason:</w:t>
      </w:r>
    </w:p>
    <w:p>
      <w:r>
        <w:t>The LiNi0.05Mn1.95O4 sample is selected as the best due to its highest capacity retention (88.92%) after 1000 cycles, superior rate capability (58.27 mAh/g at 15 C), and enhanced Li diffusion coefficient (2.26 × 10⁻¹⁴ cm²/s), which collectively indicate excellent long-term stability, high performance under high-rate conditions, and efficient Li ion transport.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