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3EE5A" w14:textId="77777777" w:rsidR="00F11411" w:rsidRPr="00F62425" w:rsidRDefault="00F11411" w:rsidP="00F11411">
      <w:pPr>
        <w:pStyle w:val="Textoindependiente"/>
        <w:spacing w:line="360" w:lineRule="auto"/>
        <w:ind w:left="242" w:right="52"/>
        <w:jc w:val="center"/>
        <w:rPr>
          <w:b/>
          <w:sz w:val="28"/>
          <w:szCs w:val="28"/>
          <w:lang w:val="es-PE"/>
        </w:rPr>
      </w:pPr>
      <w:r w:rsidRPr="00F62425">
        <w:rPr>
          <w:b/>
          <w:sz w:val="28"/>
          <w:szCs w:val="28"/>
          <w:lang w:val="es-PE"/>
        </w:rPr>
        <w:t>FACULTAD DE CIENCIAS ADMINISTRATIVAS Y CONTABLES</w:t>
      </w:r>
    </w:p>
    <w:p w14:paraId="5C8BE0FD" w14:textId="42D418F9" w:rsidR="00F11411" w:rsidRPr="00F62425" w:rsidRDefault="00F11411" w:rsidP="00F11411">
      <w:pPr>
        <w:pStyle w:val="Textoindependiente"/>
        <w:spacing w:line="360" w:lineRule="auto"/>
        <w:ind w:left="242" w:right="52"/>
        <w:jc w:val="center"/>
        <w:rPr>
          <w:b/>
          <w:sz w:val="20"/>
          <w:szCs w:val="20"/>
          <w:lang w:val="es-PE"/>
        </w:rPr>
      </w:pPr>
      <w:r>
        <w:rPr>
          <w:b/>
          <w:sz w:val="20"/>
          <w:szCs w:val="20"/>
          <w:lang w:val="es-PE"/>
        </w:rPr>
        <w:t xml:space="preserve">                    </w:t>
      </w:r>
      <w:r w:rsidRPr="00F62425">
        <w:rPr>
          <w:b/>
          <w:sz w:val="20"/>
          <w:szCs w:val="20"/>
          <w:lang w:val="es-PE"/>
        </w:rPr>
        <w:t xml:space="preserve">ESCUELA PROFESIONAL DE </w:t>
      </w:r>
      <w:r w:rsidR="005E7771">
        <w:rPr>
          <w:b/>
          <w:sz w:val="20"/>
          <w:szCs w:val="20"/>
          <w:lang w:val="es-PE"/>
        </w:rPr>
        <w:t xml:space="preserve">ADMINISTRACIÓN Y SISTEMAS - </w:t>
      </w:r>
      <w:r>
        <w:rPr>
          <w:b/>
          <w:sz w:val="20"/>
          <w:szCs w:val="20"/>
          <w:lang w:val="es-PE"/>
        </w:rPr>
        <w:t>CONTABILIDAD Y FINANZAS</w:t>
      </w:r>
    </w:p>
    <w:p w14:paraId="15E73598" w14:textId="5DCEE01F" w:rsidR="00F11411" w:rsidRPr="00D87438" w:rsidRDefault="00F11411" w:rsidP="005E7771">
      <w:pPr>
        <w:pStyle w:val="Ttulo"/>
        <w:jc w:val="center"/>
        <w:rPr>
          <w:rFonts w:ascii="Times New Roman" w:hAnsi="Times New Roman"/>
          <w:color w:val="ED7D31" w:themeColor="accent2"/>
          <w:sz w:val="28"/>
          <w:szCs w:val="28"/>
          <w:lang w:eastAsia="es-PE"/>
        </w:rPr>
      </w:pPr>
      <w:r>
        <w:rPr>
          <w:rFonts w:ascii="Times New Roman" w:hAnsi="Times New Roman"/>
          <w:color w:val="ED7D31" w:themeColor="accent2"/>
          <w:sz w:val="28"/>
          <w:szCs w:val="28"/>
          <w:lang w:eastAsia="es-PE"/>
        </w:rPr>
        <w:t xml:space="preserve">RUBRICA PARA </w:t>
      </w:r>
      <w:r w:rsidRPr="00D87438">
        <w:rPr>
          <w:rFonts w:ascii="Times New Roman" w:hAnsi="Times New Roman"/>
          <w:color w:val="ED7D31" w:themeColor="accent2"/>
          <w:sz w:val="28"/>
          <w:szCs w:val="28"/>
          <w:lang w:eastAsia="es-PE"/>
        </w:rPr>
        <w:t>EVALUACIÓN</w:t>
      </w:r>
      <w:r>
        <w:rPr>
          <w:rFonts w:ascii="Times New Roman" w:hAnsi="Times New Roman"/>
          <w:color w:val="ED7D31" w:themeColor="accent2"/>
          <w:sz w:val="28"/>
          <w:szCs w:val="28"/>
          <w:lang w:eastAsia="es-PE"/>
        </w:rPr>
        <w:t xml:space="preserve"> DE TRABAJO</w:t>
      </w:r>
    </w:p>
    <w:p w14:paraId="2CECD506" w14:textId="77777777" w:rsidR="00F11411" w:rsidRDefault="00F11411" w:rsidP="00F11411">
      <w:pPr>
        <w:pStyle w:val="Ttulo"/>
        <w:ind w:left="426"/>
        <w:jc w:val="both"/>
        <w:rPr>
          <w:rFonts w:ascii="Times New Roman" w:hAnsi="Times New Roman"/>
          <w:color w:val="595959"/>
          <w:sz w:val="24"/>
          <w:lang w:eastAsia="es-PE"/>
        </w:rPr>
      </w:pPr>
    </w:p>
    <w:p w14:paraId="14B51914" w14:textId="77777777" w:rsidR="00F11411" w:rsidRDefault="00F11411" w:rsidP="00F11411">
      <w:pPr>
        <w:pStyle w:val="Ttulo"/>
        <w:ind w:left="426"/>
        <w:jc w:val="both"/>
        <w:rPr>
          <w:rFonts w:ascii="Times New Roman" w:hAnsi="Times New Roman"/>
          <w:b/>
        </w:rPr>
      </w:pPr>
      <w:r>
        <w:rPr>
          <w:rFonts w:ascii="Times New Roman" w:hAnsi="Times New Roman"/>
          <w:color w:val="595959"/>
          <w:sz w:val="24"/>
          <w:lang w:eastAsia="es-PE"/>
        </w:rPr>
        <w:t xml:space="preserve">                                    Apellidos y Nombres………………………………………………………………..Código:………………………..</w:t>
      </w:r>
    </w:p>
    <w:p w14:paraId="028FDC33" w14:textId="77777777" w:rsidR="00F11411" w:rsidRDefault="00F11411" w:rsidP="00F11411">
      <w:pPr>
        <w:pStyle w:val="Prrafodelista"/>
        <w:ind w:left="924"/>
        <w:jc w:val="both"/>
        <w:rPr>
          <w:b/>
        </w:rPr>
      </w:pPr>
    </w:p>
    <w:tbl>
      <w:tblPr>
        <w:tblStyle w:val="Tablaconcuadrcula"/>
        <w:tblW w:w="0" w:type="auto"/>
        <w:tblInd w:w="924" w:type="dxa"/>
        <w:tblLook w:val="04A0" w:firstRow="1" w:lastRow="0" w:firstColumn="1" w:lastColumn="0" w:noHBand="0" w:noVBand="1"/>
      </w:tblPr>
      <w:tblGrid>
        <w:gridCol w:w="2089"/>
        <w:gridCol w:w="2549"/>
        <w:gridCol w:w="2364"/>
        <w:gridCol w:w="2747"/>
        <w:gridCol w:w="2753"/>
      </w:tblGrid>
      <w:tr w:rsidR="00C04CCA" w:rsidRPr="00810E5A" w14:paraId="21830238" w14:textId="77777777" w:rsidTr="005E7771">
        <w:tc>
          <w:tcPr>
            <w:tcW w:w="2089" w:type="dxa"/>
          </w:tcPr>
          <w:p w14:paraId="63FF5263" w14:textId="77777777" w:rsidR="00C04CCA" w:rsidRPr="00810E5A" w:rsidRDefault="00C04CCA" w:rsidP="00C04CCA">
            <w:pPr>
              <w:pStyle w:val="Prrafodelista"/>
              <w:ind w:left="99"/>
              <w:jc w:val="center"/>
              <w:rPr>
                <w:b/>
              </w:rPr>
            </w:pPr>
            <w:r w:rsidRPr="00810E5A">
              <w:rPr>
                <w:b/>
              </w:rPr>
              <w:t>CRITERIO</w:t>
            </w:r>
          </w:p>
        </w:tc>
        <w:tc>
          <w:tcPr>
            <w:tcW w:w="2549" w:type="dxa"/>
          </w:tcPr>
          <w:p w14:paraId="55089335" w14:textId="75CBF391" w:rsidR="00C04CCA" w:rsidRPr="00C04CCA" w:rsidRDefault="00C04CCA" w:rsidP="00C04CCA">
            <w:pPr>
              <w:pStyle w:val="Prrafodelista"/>
              <w:ind w:left="99"/>
              <w:jc w:val="center"/>
              <w:rPr>
                <w:b/>
                <w:bCs/>
              </w:rPr>
            </w:pPr>
            <w:r w:rsidRPr="00C04CCA">
              <w:rPr>
                <w:rFonts w:ascii="Arial" w:hAnsi="Arial" w:cs="Arial"/>
                <w:b/>
                <w:bCs/>
                <w:sz w:val="20"/>
                <w:szCs w:val="20"/>
              </w:rPr>
              <w:t>Sobresaliente (5 puntos)</w:t>
            </w:r>
          </w:p>
        </w:tc>
        <w:tc>
          <w:tcPr>
            <w:tcW w:w="2364" w:type="dxa"/>
          </w:tcPr>
          <w:p w14:paraId="450430AB" w14:textId="779B2CF7" w:rsidR="00C04CCA" w:rsidRPr="00C04CCA" w:rsidRDefault="00C04CCA" w:rsidP="00C04CCA">
            <w:pPr>
              <w:pStyle w:val="Prrafodelista"/>
              <w:ind w:left="99"/>
              <w:jc w:val="center"/>
              <w:rPr>
                <w:b/>
                <w:bCs/>
              </w:rPr>
            </w:pPr>
            <w:r w:rsidRPr="00C04CCA">
              <w:rPr>
                <w:rFonts w:ascii="Arial" w:hAnsi="Arial" w:cs="Arial"/>
                <w:b/>
                <w:bCs/>
                <w:sz w:val="20"/>
                <w:szCs w:val="20"/>
              </w:rPr>
              <w:t>Bueno (4 puntos)</w:t>
            </w:r>
          </w:p>
        </w:tc>
        <w:tc>
          <w:tcPr>
            <w:tcW w:w="2747" w:type="dxa"/>
          </w:tcPr>
          <w:p w14:paraId="4CCBF6D9" w14:textId="3697D4B5" w:rsidR="00C04CCA" w:rsidRPr="00C04CCA" w:rsidRDefault="00C04CCA" w:rsidP="00C04CCA">
            <w:pPr>
              <w:pStyle w:val="Prrafodelista"/>
              <w:ind w:left="99"/>
              <w:jc w:val="center"/>
              <w:rPr>
                <w:b/>
                <w:bCs/>
              </w:rPr>
            </w:pPr>
            <w:r w:rsidRPr="00C04CCA">
              <w:rPr>
                <w:rFonts w:ascii="Arial" w:hAnsi="Arial" w:cs="Arial"/>
                <w:b/>
                <w:bCs/>
                <w:sz w:val="20"/>
                <w:szCs w:val="20"/>
              </w:rPr>
              <w:t>Regular (2-3 puntos)</w:t>
            </w:r>
          </w:p>
        </w:tc>
        <w:tc>
          <w:tcPr>
            <w:tcW w:w="2753" w:type="dxa"/>
          </w:tcPr>
          <w:p w14:paraId="47C9BDCB" w14:textId="0433D19E" w:rsidR="00C04CCA" w:rsidRPr="00C04CCA" w:rsidRDefault="00C04CCA" w:rsidP="00C04CCA">
            <w:pPr>
              <w:pStyle w:val="Prrafodelista"/>
              <w:ind w:left="99"/>
              <w:jc w:val="center"/>
              <w:rPr>
                <w:b/>
                <w:bCs/>
              </w:rPr>
            </w:pPr>
            <w:r w:rsidRPr="00C04CCA">
              <w:rPr>
                <w:rFonts w:ascii="Arial" w:hAnsi="Arial" w:cs="Arial"/>
                <w:b/>
                <w:bCs/>
                <w:sz w:val="20"/>
                <w:szCs w:val="20"/>
              </w:rPr>
              <w:t>Deficiente (0-1 puntos)</w:t>
            </w:r>
          </w:p>
        </w:tc>
      </w:tr>
      <w:tr w:rsidR="005E7771" w:rsidRPr="00810E5A" w14:paraId="129B287B" w14:textId="77777777" w:rsidTr="005E7771">
        <w:tc>
          <w:tcPr>
            <w:tcW w:w="2089" w:type="dxa"/>
          </w:tcPr>
          <w:p w14:paraId="55DD29A7" w14:textId="5297CB61" w:rsidR="005E7771" w:rsidRPr="00810E5A" w:rsidRDefault="005E7771" w:rsidP="005E7771">
            <w:pPr>
              <w:pStyle w:val="Prrafodelista"/>
              <w:ind w:left="99"/>
              <w:jc w:val="both"/>
              <w:rPr>
                <w:b/>
              </w:rPr>
            </w:pPr>
            <w:r>
              <w:rPr>
                <w:rFonts w:ascii="Arial" w:hAnsi="Arial" w:cs="Arial"/>
                <w:sz w:val="20"/>
                <w:szCs w:val="20"/>
              </w:rPr>
              <w:t>1. Comprensión del Marco Constitucional (Lectura Base)</w:t>
            </w:r>
          </w:p>
        </w:tc>
        <w:tc>
          <w:tcPr>
            <w:tcW w:w="2549" w:type="dxa"/>
          </w:tcPr>
          <w:p w14:paraId="6365775C" w14:textId="0E5FE639" w:rsidR="005E7771" w:rsidRPr="00810E5A" w:rsidRDefault="005E7771" w:rsidP="005E7771">
            <w:pPr>
              <w:pStyle w:val="Prrafodelista"/>
              <w:ind w:left="99"/>
              <w:jc w:val="both"/>
              <w:rPr>
                <w:b/>
              </w:rPr>
            </w:pPr>
            <w:r>
              <w:rPr>
                <w:rFonts w:ascii="Arial" w:hAnsi="Arial" w:cs="Arial"/>
                <w:sz w:val="20"/>
                <w:szCs w:val="20"/>
              </w:rPr>
              <w:t>Identifica con precisión que la Const. de 1979 consagra explícitamente la estabilidad de entrada y salida (absoluta). A su vez, explica correctamente que la Const. de 1993 solo otorga "adecuada protección contra el despido arbitrario" (estabilidad de salida relativa).</w:t>
            </w:r>
          </w:p>
        </w:tc>
        <w:tc>
          <w:tcPr>
            <w:tcW w:w="2364" w:type="dxa"/>
          </w:tcPr>
          <w:p w14:paraId="46A0DD5D" w14:textId="6478F308" w:rsidR="005E7771" w:rsidRPr="00810E5A" w:rsidRDefault="005E7771" w:rsidP="005E7771">
            <w:pPr>
              <w:pStyle w:val="Prrafodelista"/>
              <w:ind w:left="99"/>
              <w:jc w:val="both"/>
              <w:rPr>
                <w:b/>
              </w:rPr>
            </w:pPr>
            <w:r>
              <w:rPr>
                <w:rFonts w:ascii="Arial" w:hAnsi="Arial" w:cs="Arial"/>
                <w:sz w:val="20"/>
                <w:szCs w:val="20"/>
              </w:rPr>
              <w:t>Identifica las diferencias básicas entre ambas constituciones (1979 como absoluta y 1993 como relativa), pero omite detalles sobre las clases de estabilidad (entrada/salida).</w:t>
            </w:r>
          </w:p>
        </w:tc>
        <w:tc>
          <w:tcPr>
            <w:tcW w:w="2747" w:type="dxa"/>
          </w:tcPr>
          <w:p w14:paraId="24590391" w14:textId="01BFAFC9" w:rsidR="005E7771" w:rsidRPr="00810E5A" w:rsidRDefault="005E7771" w:rsidP="005E7771">
            <w:pPr>
              <w:pStyle w:val="Prrafodelista"/>
              <w:ind w:left="99"/>
              <w:jc w:val="both"/>
              <w:rPr>
                <w:b/>
              </w:rPr>
            </w:pPr>
            <w:r>
              <w:rPr>
                <w:rFonts w:ascii="Arial" w:hAnsi="Arial" w:cs="Arial"/>
                <w:sz w:val="20"/>
                <w:szCs w:val="20"/>
              </w:rPr>
              <w:t>Menciona vagamente las constituciones sin emplear los términos jurídicos correctos sobre los tipos de estabilidad laboral desarrollados en la lectura.</w:t>
            </w:r>
          </w:p>
        </w:tc>
        <w:tc>
          <w:tcPr>
            <w:tcW w:w="2753" w:type="dxa"/>
          </w:tcPr>
          <w:p w14:paraId="05EA8FCC" w14:textId="49820B54" w:rsidR="005E7771" w:rsidRPr="00810E5A" w:rsidRDefault="005E7771" w:rsidP="005E7771">
            <w:pPr>
              <w:pStyle w:val="Prrafodelista"/>
              <w:ind w:left="99"/>
              <w:jc w:val="both"/>
              <w:rPr>
                <w:b/>
              </w:rPr>
            </w:pPr>
            <w:r>
              <w:rPr>
                <w:rFonts w:ascii="Arial" w:hAnsi="Arial" w:cs="Arial"/>
                <w:sz w:val="20"/>
                <w:szCs w:val="20"/>
              </w:rPr>
              <w:t>No demuestra haber comprendido la diferencia normativa de ambas constituciones respecto a la estabilidad laboral.</w:t>
            </w:r>
          </w:p>
        </w:tc>
      </w:tr>
      <w:tr w:rsidR="005E7771" w:rsidRPr="00810E5A" w14:paraId="7988EC39" w14:textId="77777777" w:rsidTr="005E7771">
        <w:tc>
          <w:tcPr>
            <w:tcW w:w="2089" w:type="dxa"/>
          </w:tcPr>
          <w:p w14:paraId="1341CA28" w14:textId="65A51535" w:rsidR="005E7771" w:rsidRPr="00810E5A" w:rsidRDefault="005E7771" w:rsidP="005E7771">
            <w:pPr>
              <w:pStyle w:val="Prrafodelista"/>
              <w:ind w:left="99"/>
              <w:jc w:val="both"/>
              <w:rPr>
                <w:b/>
              </w:rPr>
            </w:pPr>
            <w:r>
              <w:rPr>
                <w:rFonts w:ascii="Arial" w:hAnsi="Arial" w:cs="Arial"/>
                <w:sz w:val="20"/>
                <w:szCs w:val="20"/>
              </w:rPr>
              <w:t>2. Análisis Jurisprudencial y Evolución Normativa</w:t>
            </w:r>
          </w:p>
        </w:tc>
        <w:tc>
          <w:tcPr>
            <w:tcW w:w="2549" w:type="dxa"/>
          </w:tcPr>
          <w:p w14:paraId="5DF52AEF" w14:textId="284BA691" w:rsidR="005E7771" w:rsidRPr="00810E5A" w:rsidRDefault="005E7771" w:rsidP="005E7771">
            <w:pPr>
              <w:pStyle w:val="Prrafodelista"/>
              <w:ind w:left="99"/>
              <w:jc w:val="both"/>
              <w:rPr>
                <w:b/>
              </w:rPr>
            </w:pPr>
            <w:r>
              <w:rPr>
                <w:rFonts w:ascii="Arial" w:hAnsi="Arial" w:cs="Arial"/>
                <w:sz w:val="20"/>
                <w:szCs w:val="20"/>
              </w:rPr>
              <w:t xml:space="preserve">Integra brillantemente la premisa principal del autor: que gracias a las sentencias del Tribunal Constitucional (STC </w:t>
            </w:r>
            <w:proofErr w:type="spellStart"/>
            <w:r>
              <w:rPr>
                <w:rFonts w:ascii="Arial" w:hAnsi="Arial" w:cs="Arial"/>
                <w:sz w:val="20"/>
                <w:szCs w:val="20"/>
              </w:rPr>
              <w:t>N°</w:t>
            </w:r>
            <w:proofErr w:type="spellEnd"/>
            <w:r>
              <w:rPr>
                <w:rFonts w:ascii="Arial" w:hAnsi="Arial" w:cs="Arial"/>
                <w:sz w:val="20"/>
                <w:szCs w:val="20"/>
              </w:rPr>
              <w:t xml:space="preserve"> 1124-2001-AA/TC y 976-2001-PA/TC), hoy en día los trabajadores bajo la Const. de 1993 gozan de facto de estabilidad absoluta mediante la reposición.</w:t>
            </w:r>
          </w:p>
        </w:tc>
        <w:tc>
          <w:tcPr>
            <w:tcW w:w="2364" w:type="dxa"/>
          </w:tcPr>
          <w:p w14:paraId="217CFAD4" w14:textId="6FBB5233" w:rsidR="005E7771" w:rsidRPr="00810E5A" w:rsidRDefault="005E7771" w:rsidP="005E7771">
            <w:pPr>
              <w:pStyle w:val="Prrafodelista"/>
              <w:ind w:left="99"/>
              <w:jc w:val="both"/>
              <w:rPr>
                <w:b/>
              </w:rPr>
            </w:pPr>
            <w:r>
              <w:rPr>
                <w:rFonts w:ascii="Arial" w:hAnsi="Arial" w:cs="Arial"/>
                <w:sz w:val="20"/>
                <w:szCs w:val="20"/>
              </w:rPr>
              <w:t>Menciona que la jurisprudencia actual permite la reposición bajo la Constitución de 1993 , pero no profundiza en cómo esto iguala o supera la protección de la Constitución de 1979.</w:t>
            </w:r>
          </w:p>
        </w:tc>
        <w:tc>
          <w:tcPr>
            <w:tcW w:w="2747" w:type="dxa"/>
          </w:tcPr>
          <w:p w14:paraId="2A760DB0" w14:textId="34841A5B" w:rsidR="005E7771" w:rsidRPr="00810E5A" w:rsidRDefault="005E7771" w:rsidP="005E7771">
            <w:pPr>
              <w:pStyle w:val="Prrafodelista"/>
              <w:ind w:left="99"/>
              <w:jc w:val="both"/>
              <w:rPr>
                <w:b/>
              </w:rPr>
            </w:pPr>
            <w:r>
              <w:rPr>
                <w:rFonts w:ascii="Arial" w:hAnsi="Arial" w:cs="Arial"/>
                <w:sz w:val="20"/>
                <w:szCs w:val="20"/>
              </w:rPr>
              <w:t>Hace una mención superficial a que "ahora también hay protección", sin referirse al rol del Tribunal Constitucional ni a la reposición.</w:t>
            </w:r>
          </w:p>
        </w:tc>
        <w:tc>
          <w:tcPr>
            <w:tcW w:w="2753" w:type="dxa"/>
          </w:tcPr>
          <w:p w14:paraId="0DF7E13F" w14:textId="096341A9" w:rsidR="005E7771" w:rsidRPr="00810E5A" w:rsidRDefault="005E7771" w:rsidP="005E7771">
            <w:pPr>
              <w:pStyle w:val="Prrafodelista"/>
              <w:ind w:left="99"/>
              <w:jc w:val="both"/>
              <w:rPr>
                <w:b/>
              </w:rPr>
            </w:pPr>
            <w:r>
              <w:rPr>
                <w:rFonts w:ascii="Arial" w:hAnsi="Arial" w:cs="Arial"/>
                <w:sz w:val="20"/>
                <w:szCs w:val="20"/>
              </w:rPr>
              <w:t>Ignora por completo el rol de la jurisprudencia y se limita a una lectura literal y desfasada del texto de 1993.</w:t>
            </w:r>
          </w:p>
        </w:tc>
      </w:tr>
      <w:tr w:rsidR="005E7771" w:rsidRPr="00810E5A" w14:paraId="3F4EE0C1" w14:textId="77777777" w:rsidTr="005E7771">
        <w:tc>
          <w:tcPr>
            <w:tcW w:w="2089" w:type="dxa"/>
          </w:tcPr>
          <w:p w14:paraId="3BF4221D" w14:textId="6748280E" w:rsidR="005E7771" w:rsidRPr="00810E5A" w:rsidRDefault="005E7771" w:rsidP="005E7771">
            <w:pPr>
              <w:pStyle w:val="Prrafodelista"/>
              <w:ind w:left="99"/>
              <w:jc w:val="both"/>
              <w:rPr>
                <w:b/>
              </w:rPr>
            </w:pPr>
            <w:r>
              <w:rPr>
                <w:rFonts w:ascii="Arial" w:hAnsi="Arial" w:cs="Arial"/>
                <w:sz w:val="20"/>
                <w:szCs w:val="20"/>
              </w:rPr>
              <w:lastRenderedPageBreak/>
              <w:t>3. Fundamentación y Posición Crítica</w:t>
            </w:r>
          </w:p>
        </w:tc>
        <w:tc>
          <w:tcPr>
            <w:tcW w:w="2549" w:type="dxa"/>
          </w:tcPr>
          <w:p w14:paraId="1FCD97B1" w14:textId="44C171AC" w:rsidR="005E7771" w:rsidRPr="00810E5A" w:rsidRDefault="005E7771" w:rsidP="005E7771">
            <w:pPr>
              <w:pStyle w:val="Prrafodelista"/>
              <w:ind w:left="99"/>
              <w:jc w:val="both"/>
              <w:rPr>
                <w:b/>
              </w:rPr>
            </w:pPr>
            <w:r>
              <w:rPr>
                <w:rFonts w:ascii="Arial" w:hAnsi="Arial" w:cs="Arial"/>
                <w:sz w:val="20"/>
                <w:szCs w:val="20"/>
              </w:rPr>
              <w:t>Construye una postura sólida y argumentada sobre cuál constitución es "mejor", usando la lectura para sustentar que la comparación literal es poco relevante hoy en día debido a la evolución jurisprudencial y los estándares internacionales.</w:t>
            </w:r>
          </w:p>
        </w:tc>
        <w:tc>
          <w:tcPr>
            <w:tcW w:w="2364" w:type="dxa"/>
          </w:tcPr>
          <w:p w14:paraId="2D411D05" w14:textId="4DAC0C48" w:rsidR="005E7771" w:rsidRPr="00810E5A" w:rsidRDefault="005E7771" w:rsidP="005E7771">
            <w:pPr>
              <w:pStyle w:val="Prrafodelista"/>
              <w:ind w:left="99"/>
              <w:jc w:val="both"/>
              <w:rPr>
                <w:b/>
              </w:rPr>
            </w:pPr>
            <w:r>
              <w:rPr>
                <w:rFonts w:ascii="Arial" w:hAnsi="Arial" w:cs="Arial"/>
                <w:sz w:val="20"/>
                <w:szCs w:val="20"/>
              </w:rPr>
              <w:t>Toma una postura clara eligiendo una de las constituciones y la defiende con argumentos de la lectura, aunque su nivel de reflexión crítica sobre la "irrelevancia" del debate literal es menor.</w:t>
            </w:r>
          </w:p>
        </w:tc>
        <w:tc>
          <w:tcPr>
            <w:tcW w:w="2747" w:type="dxa"/>
          </w:tcPr>
          <w:p w14:paraId="2FFF4818" w14:textId="5C6012CD" w:rsidR="005E7771" w:rsidRPr="00810E5A" w:rsidRDefault="005E7771" w:rsidP="005E7771">
            <w:pPr>
              <w:pStyle w:val="Prrafodelista"/>
              <w:ind w:left="99"/>
              <w:jc w:val="both"/>
              <w:rPr>
                <w:b/>
              </w:rPr>
            </w:pPr>
            <w:r>
              <w:rPr>
                <w:rFonts w:ascii="Arial" w:hAnsi="Arial" w:cs="Arial"/>
                <w:sz w:val="20"/>
                <w:szCs w:val="20"/>
              </w:rPr>
              <w:t>Presenta una postura ambigua o escasamente argumentada. Repite fragmentos de la lectura sin articular una opinión propia bien defendida.</w:t>
            </w:r>
          </w:p>
        </w:tc>
        <w:tc>
          <w:tcPr>
            <w:tcW w:w="2753" w:type="dxa"/>
          </w:tcPr>
          <w:p w14:paraId="6F7D91CA" w14:textId="567EA1A5" w:rsidR="005E7771" w:rsidRPr="00810E5A" w:rsidRDefault="005E7771" w:rsidP="005E7771">
            <w:pPr>
              <w:pStyle w:val="Prrafodelista"/>
              <w:ind w:left="99"/>
              <w:jc w:val="both"/>
              <w:rPr>
                <w:b/>
              </w:rPr>
            </w:pPr>
            <w:r>
              <w:rPr>
                <w:rFonts w:ascii="Arial" w:hAnsi="Arial" w:cs="Arial"/>
                <w:sz w:val="20"/>
                <w:szCs w:val="20"/>
              </w:rPr>
              <w:t>No responde a la pregunta de cuál es "mejor", o lo hace sin ningún fundamento lógico ni jurídico respaldado en el texto.</w:t>
            </w:r>
          </w:p>
        </w:tc>
      </w:tr>
      <w:tr w:rsidR="005E7771" w:rsidRPr="00810E5A" w14:paraId="3B3E40A8" w14:textId="77777777" w:rsidTr="005E7771">
        <w:tc>
          <w:tcPr>
            <w:tcW w:w="2089" w:type="dxa"/>
          </w:tcPr>
          <w:p w14:paraId="613B42B2" w14:textId="56358304" w:rsidR="005E7771" w:rsidRDefault="005E7771" w:rsidP="005E7771">
            <w:pPr>
              <w:pStyle w:val="Prrafodelista"/>
              <w:ind w:left="99"/>
              <w:jc w:val="both"/>
              <w:rPr>
                <w:b/>
              </w:rPr>
            </w:pPr>
            <w:r>
              <w:rPr>
                <w:rFonts w:ascii="Arial" w:hAnsi="Arial" w:cs="Arial"/>
                <w:sz w:val="20"/>
                <w:szCs w:val="20"/>
              </w:rPr>
              <w:t>4. Inclusión y Pertinencia del Recurso Extra</w:t>
            </w:r>
          </w:p>
        </w:tc>
        <w:tc>
          <w:tcPr>
            <w:tcW w:w="2549" w:type="dxa"/>
          </w:tcPr>
          <w:p w14:paraId="397A9628" w14:textId="0F1057B8" w:rsidR="005E7771" w:rsidRPr="00810E5A" w:rsidRDefault="005E7771" w:rsidP="005E7771">
            <w:pPr>
              <w:pStyle w:val="Prrafodelista"/>
              <w:ind w:left="99"/>
              <w:jc w:val="both"/>
              <w:rPr>
                <w:color w:val="000000"/>
                <w:shd w:val="clear" w:color="auto" w:fill="FFFFFF"/>
              </w:rPr>
            </w:pPr>
            <w:r>
              <w:rPr>
                <w:rFonts w:ascii="Arial" w:hAnsi="Arial" w:cs="Arial"/>
                <w:sz w:val="20"/>
                <w:szCs w:val="20"/>
              </w:rPr>
              <w:t>Aporta un recurso extra altamente pertinente y explica brevemente cómo este recurso complementa o refuerza su fundamentación jurídica.</w:t>
            </w:r>
          </w:p>
        </w:tc>
        <w:tc>
          <w:tcPr>
            <w:tcW w:w="2364" w:type="dxa"/>
          </w:tcPr>
          <w:p w14:paraId="2EDF6129" w14:textId="0101F135" w:rsidR="005E7771" w:rsidRPr="00810E5A" w:rsidRDefault="005E7771" w:rsidP="005E7771">
            <w:pPr>
              <w:pStyle w:val="Prrafodelista"/>
              <w:ind w:left="99"/>
              <w:jc w:val="both"/>
              <w:rPr>
                <w:color w:val="000000"/>
                <w:shd w:val="clear" w:color="auto" w:fill="FFFFFF"/>
              </w:rPr>
            </w:pPr>
            <w:r>
              <w:rPr>
                <w:rFonts w:ascii="Arial" w:hAnsi="Arial" w:cs="Arial"/>
                <w:sz w:val="20"/>
                <w:szCs w:val="20"/>
              </w:rPr>
              <w:t>Incluye un recurso extra válido y relacionado al tema, pero su conexión con la fundamentación principal es débil o solo se menciona de pasada.</w:t>
            </w:r>
          </w:p>
        </w:tc>
        <w:tc>
          <w:tcPr>
            <w:tcW w:w="2747" w:type="dxa"/>
          </w:tcPr>
          <w:p w14:paraId="4A9F398F" w14:textId="428F3D0B" w:rsidR="005E7771" w:rsidRPr="00810E5A" w:rsidRDefault="005E7771" w:rsidP="005E7771">
            <w:pPr>
              <w:pStyle w:val="Prrafodelista"/>
              <w:ind w:left="99"/>
              <w:jc w:val="both"/>
              <w:rPr>
                <w:color w:val="000000"/>
                <w:shd w:val="clear" w:color="auto" w:fill="FFFFFF"/>
              </w:rPr>
            </w:pPr>
            <w:r>
              <w:rPr>
                <w:rFonts w:ascii="Arial" w:hAnsi="Arial" w:cs="Arial"/>
                <w:sz w:val="20"/>
                <w:szCs w:val="20"/>
              </w:rPr>
              <w:t>Agrega un recurso extra genérico que aporta poco valor al debate jurídico.</w:t>
            </w:r>
          </w:p>
        </w:tc>
        <w:tc>
          <w:tcPr>
            <w:tcW w:w="2753" w:type="dxa"/>
          </w:tcPr>
          <w:p w14:paraId="597010B8" w14:textId="12059EEB" w:rsidR="005E7771" w:rsidRPr="00810E5A" w:rsidRDefault="005E7771" w:rsidP="005E7771">
            <w:pPr>
              <w:pStyle w:val="Prrafodelista"/>
              <w:ind w:left="99"/>
              <w:jc w:val="both"/>
              <w:rPr>
                <w:color w:val="000000"/>
                <w:shd w:val="clear" w:color="auto" w:fill="FFFFFF"/>
              </w:rPr>
            </w:pPr>
            <w:r>
              <w:rPr>
                <w:rFonts w:ascii="Arial" w:hAnsi="Arial" w:cs="Arial"/>
                <w:sz w:val="20"/>
                <w:szCs w:val="20"/>
              </w:rPr>
              <w:t>No incluye ningún recurso extra, incumpliendo directamente una de las instrucciones de la consigna.</w:t>
            </w:r>
          </w:p>
        </w:tc>
      </w:tr>
      <w:tr w:rsidR="00F11411" w:rsidRPr="00810E5A" w14:paraId="1733022A" w14:textId="77777777" w:rsidTr="00C04CCA">
        <w:tc>
          <w:tcPr>
            <w:tcW w:w="2089" w:type="dxa"/>
          </w:tcPr>
          <w:p w14:paraId="50111505" w14:textId="77777777" w:rsidR="00F11411" w:rsidRPr="00810E5A" w:rsidRDefault="00F11411" w:rsidP="00702411">
            <w:pPr>
              <w:pStyle w:val="Prrafodelista"/>
              <w:jc w:val="both"/>
              <w:rPr>
                <w:b/>
              </w:rPr>
            </w:pPr>
            <w:r>
              <w:rPr>
                <w:b/>
              </w:rPr>
              <w:t xml:space="preserve">Puntaje </w:t>
            </w:r>
          </w:p>
        </w:tc>
        <w:tc>
          <w:tcPr>
            <w:tcW w:w="10413" w:type="dxa"/>
            <w:gridSpan w:val="4"/>
          </w:tcPr>
          <w:p w14:paraId="3A60308A" w14:textId="77777777" w:rsidR="00F11411" w:rsidRPr="00810E5A" w:rsidRDefault="00F11411" w:rsidP="00702411">
            <w:pPr>
              <w:pStyle w:val="Prrafodelista"/>
              <w:jc w:val="both"/>
              <w:rPr>
                <w:b/>
              </w:rPr>
            </w:pPr>
          </w:p>
        </w:tc>
      </w:tr>
    </w:tbl>
    <w:p w14:paraId="1AE6CB8B" w14:textId="7CCD9239" w:rsidR="00F11411" w:rsidRDefault="00F11411" w:rsidP="00F11411">
      <w:pPr>
        <w:pStyle w:val="Prrafodelista"/>
        <w:ind w:left="924"/>
        <w:jc w:val="both"/>
        <w:rPr>
          <w:b/>
        </w:rPr>
      </w:pPr>
      <w:r>
        <w:rPr>
          <w:b/>
        </w:rPr>
        <w:t xml:space="preserve">  </w:t>
      </w:r>
    </w:p>
    <w:p w14:paraId="756F9E59" w14:textId="561AB018" w:rsidR="00907E03" w:rsidRDefault="00907E03" w:rsidP="00F11411">
      <w:pPr>
        <w:pStyle w:val="Prrafodelista"/>
        <w:ind w:left="924"/>
        <w:jc w:val="both"/>
        <w:rPr>
          <w:b/>
        </w:rPr>
      </w:pPr>
    </w:p>
    <w:p w14:paraId="58E27AFC" w14:textId="0394EF77" w:rsidR="00907E03" w:rsidRDefault="00907E03" w:rsidP="00F11411">
      <w:pPr>
        <w:pStyle w:val="Prrafodelista"/>
        <w:ind w:left="924"/>
        <w:jc w:val="both"/>
        <w:rPr>
          <w:b/>
        </w:rPr>
      </w:pPr>
    </w:p>
    <w:p w14:paraId="03B35A83" w14:textId="12A40280" w:rsidR="00907E03" w:rsidRDefault="00907E03" w:rsidP="00F11411">
      <w:pPr>
        <w:pStyle w:val="Prrafodelista"/>
        <w:ind w:left="924"/>
        <w:jc w:val="both"/>
        <w:rPr>
          <w:b/>
        </w:rPr>
      </w:pPr>
    </w:p>
    <w:p w14:paraId="390090BD" w14:textId="65BD6AE4" w:rsidR="00907E03" w:rsidRDefault="00907E03" w:rsidP="00F11411">
      <w:pPr>
        <w:pStyle w:val="Prrafodelista"/>
        <w:ind w:left="924"/>
        <w:jc w:val="both"/>
        <w:rPr>
          <w:b/>
        </w:rPr>
      </w:pPr>
    </w:p>
    <w:p w14:paraId="2EBA8A91" w14:textId="45629911" w:rsidR="00907E03" w:rsidRDefault="00907E03" w:rsidP="00F11411">
      <w:pPr>
        <w:pStyle w:val="Prrafodelista"/>
        <w:ind w:left="924"/>
        <w:jc w:val="both"/>
        <w:rPr>
          <w:b/>
        </w:rPr>
      </w:pPr>
    </w:p>
    <w:p w14:paraId="72970A73" w14:textId="2778BF7C" w:rsidR="00907E03" w:rsidRDefault="00907E03" w:rsidP="00F11411">
      <w:pPr>
        <w:pStyle w:val="Prrafodelista"/>
        <w:ind w:left="924"/>
        <w:jc w:val="both"/>
        <w:rPr>
          <w:b/>
        </w:rPr>
      </w:pPr>
    </w:p>
    <w:p w14:paraId="5E56CC7D" w14:textId="42EFCC73" w:rsidR="00907E03" w:rsidRDefault="00907E03" w:rsidP="00F11411">
      <w:pPr>
        <w:pStyle w:val="Prrafodelista"/>
        <w:ind w:left="924"/>
        <w:jc w:val="both"/>
        <w:rPr>
          <w:b/>
        </w:rPr>
      </w:pPr>
    </w:p>
    <w:p w14:paraId="048326FB" w14:textId="367B1E6F" w:rsidR="00907E03" w:rsidRDefault="00907E03" w:rsidP="00F11411">
      <w:pPr>
        <w:pStyle w:val="Prrafodelista"/>
        <w:ind w:left="924"/>
        <w:jc w:val="both"/>
        <w:rPr>
          <w:b/>
        </w:rPr>
      </w:pPr>
    </w:p>
    <w:p w14:paraId="2C4B6B75" w14:textId="646626E4" w:rsidR="00907E03" w:rsidRDefault="00907E03" w:rsidP="00F11411">
      <w:pPr>
        <w:pStyle w:val="Prrafodelista"/>
        <w:ind w:left="924"/>
        <w:jc w:val="both"/>
        <w:rPr>
          <w:b/>
        </w:rPr>
      </w:pPr>
    </w:p>
    <w:p w14:paraId="3DEEEC4B" w14:textId="11EBCF91" w:rsidR="00907E03" w:rsidRDefault="00907E03" w:rsidP="00F11411">
      <w:pPr>
        <w:pStyle w:val="Prrafodelista"/>
        <w:ind w:left="924"/>
        <w:jc w:val="both"/>
        <w:rPr>
          <w:b/>
        </w:rPr>
      </w:pPr>
    </w:p>
    <w:p w14:paraId="1E86AABF" w14:textId="2F51164A" w:rsidR="00907E03" w:rsidRDefault="00907E03" w:rsidP="00F11411">
      <w:pPr>
        <w:pStyle w:val="Prrafodelista"/>
        <w:ind w:left="924"/>
        <w:jc w:val="both"/>
        <w:rPr>
          <w:b/>
        </w:rPr>
      </w:pPr>
    </w:p>
    <w:p w14:paraId="54D0D180" w14:textId="6A01F350" w:rsidR="00907E03" w:rsidRDefault="00907E03" w:rsidP="00F11411">
      <w:pPr>
        <w:pStyle w:val="Prrafodelista"/>
        <w:ind w:left="924"/>
        <w:jc w:val="both"/>
        <w:rPr>
          <w:b/>
        </w:rPr>
      </w:pPr>
    </w:p>
    <w:p w14:paraId="67E03FC4" w14:textId="20FB3E23" w:rsidR="00907E03" w:rsidRDefault="00907E03" w:rsidP="00F11411">
      <w:pPr>
        <w:pStyle w:val="Prrafodelista"/>
        <w:ind w:left="924"/>
        <w:jc w:val="both"/>
        <w:rPr>
          <w:b/>
        </w:rPr>
      </w:pPr>
    </w:p>
    <w:p w14:paraId="1A7D9E06" w14:textId="5F672976" w:rsidR="00907E03" w:rsidRDefault="00907E03" w:rsidP="00907E03">
      <w:pPr>
        <w:jc w:val="both"/>
        <w:rPr>
          <w:b/>
          <w:bCs/>
          <w:sz w:val="28"/>
          <w:szCs w:val="32"/>
        </w:rPr>
      </w:pPr>
      <w:r>
        <w:rPr>
          <w:b/>
          <w:bCs/>
          <w:sz w:val="28"/>
          <w:szCs w:val="32"/>
        </w:rPr>
        <w:t>¿</w:t>
      </w:r>
      <w:r w:rsidRPr="00907E03">
        <w:rPr>
          <w:b/>
          <w:bCs/>
          <w:sz w:val="28"/>
          <w:szCs w:val="32"/>
        </w:rPr>
        <w:t>Diferencia de la estabilidad laboral del 1979 y la del 93 más un recurso extra</w:t>
      </w:r>
      <w:r>
        <w:rPr>
          <w:b/>
          <w:bCs/>
          <w:sz w:val="28"/>
          <w:szCs w:val="32"/>
        </w:rPr>
        <w:t>?</w:t>
      </w:r>
    </w:p>
    <w:p w14:paraId="4B464378" w14:textId="77777777" w:rsidR="00907E03" w:rsidRDefault="00907E03" w:rsidP="00907E03">
      <w:r>
        <w:t xml:space="preserve">​La principal diferencia entre ambas cartas magnas reside en cómo se redactó la protección del trabajador:  </w:t>
      </w:r>
    </w:p>
    <w:p w14:paraId="61974049" w14:textId="77777777" w:rsidR="00907E03" w:rsidRDefault="00907E03" w:rsidP="00907E03">
      <w:r>
        <w:t xml:space="preserve">​Constitución de 1979: Era mucho más explícita y garantista en su texto. Reconocía directamente la estabilidad absoluta, lo que significaba que el trabajador tenía derecho a permanecer en su puesto a menos que existiera una causa justa comprobada para su salida.  </w:t>
      </w:r>
    </w:p>
    <w:p w14:paraId="028A2DBB" w14:textId="77777777" w:rsidR="00907E03" w:rsidRDefault="00907E03" w:rsidP="00907E03">
      <w:r>
        <w:t xml:space="preserve">​Constitución de 1993: Introdujo una redacción más abierta y menos específica. El artículo 27 menciona una "adecuada protección" contra el despido, lo que inicialmente se interpretó como una transición hacia una estabilidad relativa, priorizando el pago de indemnizaciones sobre la recuperación del empleo.  </w:t>
      </w:r>
    </w:p>
    <w:p w14:paraId="0A09000E" w14:textId="2B1CE69B" w:rsidR="00907E03" w:rsidRDefault="00907E03" w:rsidP="00907E03">
      <w:r>
        <w:t>​</w:t>
      </w:r>
    </w:p>
    <w:p w14:paraId="1653D782" w14:textId="77777777" w:rsidR="00907E03" w:rsidRDefault="00907E03" w:rsidP="00907E03">
      <w:r>
        <w:t xml:space="preserve">​Un error común es pensar que hoy el trabajador está desprotegido por lo que dice la Constitución de 1993. Gracias a la intervención del Tribunal Constitucional, la realidad es distinta:  </w:t>
      </w:r>
    </w:p>
    <w:p w14:paraId="297F4619" w14:textId="77777777" w:rsidR="00907E03" w:rsidRDefault="00907E03" w:rsidP="00907E03">
      <w:r>
        <w:t xml:space="preserve">​Sentencias Históricas: Mediante fallos como el </w:t>
      </w:r>
      <w:proofErr w:type="spellStart"/>
      <w:r>
        <w:t>Exp</w:t>
      </w:r>
      <w:proofErr w:type="spellEnd"/>
      <w:r>
        <w:t xml:space="preserve">. </w:t>
      </w:r>
      <w:proofErr w:type="spellStart"/>
      <w:r>
        <w:t>N°</w:t>
      </w:r>
      <w:proofErr w:type="spellEnd"/>
      <w:r>
        <w:t xml:space="preserve"> 976-2001-PA/TC, el Tribunal determinó que la "protección adecuada" no se limita a un pago de dinero.  </w:t>
      </w:r>
    </w:p>
    <w:p w14:paraId="12B0FA4C" w14:textId="77777777" w:rsidR="00907E03" w:rsidRDefault="00907E03" w:rsidP="00907E03">
      <w:r>
        <w:t xml:space="preserve">​Situación Actual: Hoy en día, si un despido es arbitrario o injustificado, el trabajador puede exigir judicialmente su reposición. Esto significa que, en la práctica, gozamos de una estabilidad absoluta "de facto" similar a la que ofrecía la Constitución anterior.  </w:t>
      </w:r>
    </w:p>
    <w:p w14:paraId="2A7F0333" w14:textId="0EC77F62" w:rsidR="00907E03" w:rsidRDefault="00907E03" w:rsidP="00907E03">
      <w:r>
        <w:t>​</w:t>
      </w:r>
    </w:p>
    <w:p w14:paraId="65AA8598" w14:textId="77777777" w:rsidR="00907E03" w:rsidRDefault="00907E03" w:rsidP="00907E03">
      <w:r>
        <w:t xml:space="preserve">​Desde mi perspectiva, entrar en un debate sobre cuál texto es superior resulta, en términos prácticos, poco relevante.  </w:t>
      </w:r>
    </w:p>
    <w:p w14:paraId="59D3F40B" w14:textId="77777777" w:rsidR="00907E03" w:rsidRDefault="00907E03" w:rsidP="00907E03">
      <w:r>
        <w:t xml:space="preserve">​Si bien la Constitución de 1979 era más clara, la de 1993 ha demostrado ser lo suficientemente flexible para que los jueces y tratados internacionales aseguren que nadie sea despedido sin motivo. La protección real no depende solo de una frase en la Constitución, sino de cómo el Tribunal Constitucional interpreta esos derechos para que el trabajador no quede en desventaja frente al empleador.  </w:t>
      </w:r>
    </w:p>
    <w:p w14:paraId="334627A8" w14:textId="2C02FD72" w:rsidR="00907E03" w:rsidRDefault="00907E03" w:rsidP="00907E03">
      <w:r>
        <w:t>​</w:t>
      </w:r>
    </w:p>
    <w:p w14:paraId="09C1B843" w14:textId="77777777" w:rsidR="00907E03" w:rsidRDefault="00907E03" w:rsidP="00907E03"/>
    <w:p w14:paraId="256C33D2" w14:textId="77777777" w:rsidR="00907E03" w:rsidRDefault="00907E03" w:rsidP="00907E03">
      <w:r>
        <w:t xml:space="preserve">​Para complementar este análisis, debemos considerar el Principio de Continuidad Laboral. Este es el "corazón" de la estabilidad en el empleo.  </w:t>
      </w:r>
    </w:p>
    <w:p w14:paraId="430CC652" w14:textId="77777777" w:rsidR="00907E03" w:rsidRDefault="00907E03" w:rsidP="00907E03">
      <w:r>
        <w:t xml:space="preserve">​Este principio sostiene que, dado que el trabajador depende de su salario para vivir, el contrato de trabajo debe durar lo máximo posible. En el Perú, este criterio obliga a las autoridades a ver el despido como la última opción, protegiendo la fuente de ingresos del ciudadano independientemente del modelo constitucional vigente.  </w:t>
      </w:r>
    </w:p>
    <w:p w14:paraId="06265B16" w14:textId="410CE4C3" w:rsidR="00283CB2" w:rsidRDefault="00907E03" w:rsidP="00907E03">
      <w:r>
        <w:t>​Nota: He omitido tablas y párrafos extensos para que la información sea más fácil de digerir, tal como lo prefieres para tus trabajos académicos.</w:t>
      </w:r>
    </w:p>
    <w:p w14:paraId="26B0EC13" w14:textId="77777777" w:rsidR="00907E03" w:rsidRPr="00F11411" w:rsidRDefault="00907E03" w:rsidP="00907E03"/>
    <w:sectPr w:rsidR="00907E03" w:rsidRPr="00F11411" w:rsidSect="00F11411">
      <w:headerReference w:type="default" r:id="rId7"/>
      <w:pgSz w:w="16838" w:h="11906" w:orient="landscape"/>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67437" w14:textId="77777777" w:rsidR="003C799D" w:rsidRDefault="003C799D" w:rsidP="00F11411">
      <w:r>
        <w:separator/>
      </w:r>
    </w:p>
  </w:endnote>
  <w:endnote w:type="continuationSeparator" w:id="0">
    <w:p w14:paraId="760162DC" w14:textId="77777777" w:rsidR="003C799D" w:rsidRDefault="003C799D" w:rsidP="00F11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D8BB9" w14:textId="77777777" w:rsidR="003C799D" w:rsidRDefault="003C799D" w:rsidP="00F11411">
      <w:r>
        <w:separator/>
      </w:r>
    </w:p>
  </w:footnote>
  <w:footnote w:type="continuationSeparator" w:id="0">
    <w:p w14:paraId="0BA82912" w14:textId="77777777" w:rsidR="003C799D" w:rsidRDefault="003C799D" w:rsidP="00F11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638BC" w14:textId="5D613122" w:rsidR="00F11411" w:rsidRDefault="00F11411">
    <w:pPr>
      <w:pStyle w:val="Encabezado"/>
    </w:pPr>
    <w:r>
      <w:rPr>
        <w:noProof/>
      </w:rPr>
      <w:drawing>
        <wp:anchor distT="0" distB="0" distL="114300" distR="114300" simplePos="0" relativeHeight="251659264" behindDoc="1" locked="0" layoutInCell="1" allowOverlap="1" wp14:anchorId="74A6D225" wp14:editId="09C4638A">
          <wp:simplePos x="0" y="0"/>
          <wp:positionH relativeFrom="page">
            <wp:posOffset>238125</wp:posOffset>
          </wp:positionH>
          <wp:positionV relativeFrom="paragraph">
            <wp:posOffset>-524510</wp:posOffset>
          </wp:positionV>
          <wp:extent cx="7539990" cy="10203180"/>
          <wp:effectExtent l="0" t="0" r="3810" b="7620"/>
          <wp:wrapNone/>
          <wp:docPr id="1606540167" name="Imagen 1606540167" descr="C:\Users\Yanela\Downloads\HOJA MEMBRETADA VICERECTORADO ACADÉMICO_Mesa de trabajo 1 copi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nela\Downloads\HOJA MEMBRETADA VICERECTORADO ACADÉMICO_Mesa de trabajo 1 copia 2.jpg"/>
                  <pic:cNvPicPr>
                    <a:picLocks noChangeAspect="1" noChangeArrowheads="1"/>
                  </pic:cNvPicPr>
                </pic:nvPicPr>
                <pic:blipFill rotWithShape="1">
                  <a:blip r:embed="rId1">
                    <a:extLst>
                      <a:ext uri="{28A0092B-C50C-407E-A947-70E740481C1C}">
                        <a14:useLocalDpi xmlns:a14="http://schemas.microsoft.com/office/drawing/2010/main" val="0"/>
                      </a:ext>
                    </a:extLst>
                  </a:blip>
                  <a:srcRect b="4288"/>
                  <a:stretch/>
                </pic:blipFill>
                <pic:spPr bwMode="auto">
                  <a:xfrm>
                    <a:off x="0" y="0"/>
                    <a:ext cx="7539990" cy="10203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D2DD5"/>
    <w:multiLevelType w:val="hybridMultilevel"/>
    <w:tmpl w:val="A828A418"/>
    <w:lvl w:ilvl="0" w:tplc="2D486DE0">
      <w:start w:val="1"/>
      <w:numFmt w:val="decimal"/>
      <w:lvlText w:val="%1."/>
      <w:lvlJc w:val="left"/>
      <w:pPr>
        <w:ind w:left="720" w:hanging="360"/>
      </w:pPr>
      <w:rPr>
        <w:rFonts w:hint="default"/>
        <w:b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2A6287A"/>
    <w:multiLevelType w:val="hybridMultilevel"/>
    <w:tmpl w:val="FA36900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11"/>
    <w:rsid w:val="000059B9"/>
    <w:rsid w:val="00283CB2"/>
    <w:rsid w:val="003C799D"/>
    <w:rsid w:val="005E7771"/>
    <w:rsid w:val="00907E03"/>
    <w:rsid w:val="00C04CCA"/>
    <w:rsid w:val="00D01AED"/>
    <w:rsid w:val="00E47CB5"/>
    <w:rsid w:val="00F114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4CD8"/>
  <w15:chartTrackingRefBased/>
  <w15:docId w15:val="{BE4D9818-EB8D-4F07-A857-D04083D0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411"/>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F114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F114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F114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F114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F11411"/>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F1141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F1141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F1141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F11411"/>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14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114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14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14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14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14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14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14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1411"/>
    <w:rPr>
      <w:rFonts w:eastAsiaTheme="majorEastAsia" w:cstheme="majorBidi"/>
      <w:color w:val="272727" w:themeColor="text1" w:themeTint="D8"/>
    </w:rPr>
  </w:style>
  <w:style w:type="paragraph" w:styleId="Ttulo">
    <w:name w:val="Title"/>
    <w:aliases w:val=" Car1,Car,Car1, Car11,Puesto,Puesto1,Título11, Car111"/>
    <w:basedOn w:val="Normal"/>
    <w:next w:val="Normal"/>
    <w:link w:val="TtuloCar"/>
    <w:qFormat/>
    <w:rsid w:val="00F11411"/>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aliases w:val=" Car1 Car,Car Car,Car1 Car, Car11 Car,Puesto Car,Puesto1 Car,Título11 Car, Car111 Car"/>
    <w:basedOn w:val="Fuentedeprrafopredeter"/>
    <w:link w:val="Ttulo"/>
    <w:rsid w:val="00F114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14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F114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1411"/>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F11411"/>
    <w:rPr>
      <w:i/>
      <w:iCs/>
      <w:color w:val="404040" w:themeColor="text1" w:themeTint="BF"/>
    </w:rPr>
  </w:style>
  <w:style w:type="paragraph" w:styleId="Prrafodelista">
    <w:name w:val="List Paragraph"/>
    <w:aliases w:val="Fundamentacion,Párrafo 1,List Paragraph,parrafo normal"/>
    <w:basedOn w:val="Normal"/>
    <w:link w:val="PrrafodelistaCar"/>
    <w:uiPriority w:val="34"/>
    <w:qFormat/>
    <w:rsid w:val="00F11411"/>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F11411"/>
    <w:rPr>
      <w:i/>
      <w:iCs/>
      <w:color w:val="2F5496" w:themeColor="accent1" w:themeShade="BF"/>
    </w:rPr>
  </w:style>
  <w:style w:type="paragraph" w:styleId="Citadestacada">
    <w:name w:val="Intense Quote"/>
    <w:basedOn w:val="Normal"/>
    <w:next w:val="Normal"/>
    <w:link w:val="CitadestacadaCar"/>
    <w:uiPriority w:val="30"/>
    <w:qFormat/>
    <w:rsid w:val="00F114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F11411"/>
    <w:rPr>
      <w:i/>
      <w:iCs/>
      <w:color w:val="2F5496" w:themeColor="accent1" w:themeShade="BF"/>
    </w:rPr>
  </w:style>
  <w:style w:type="character" w:styleId="Referenciaintensa">
    <w:name w:val="Intense Reference"/>
    <w:basedOn w:val="Fuentedeprrafopredeter"/>
    <w:uiPriority w:val="32"/>
    <w:qFormat/>
    <w:rsid w:val="00F11411"/>
    <w:rPr>
      <w:b/>
      <w:bCs/>
      <w:smallCaps/>
      <w:color w:val="2F5496" w:themeColor="accent1" w:themeShade="BF"/>
      <w:spacing w:val="5"/>
    </w:rPr>
  </w:style>
  <w:style w:type="table" w:styleId="Tablaconcuadrcula">
    <w:name w:val="Table Grid"/>
    <w:basedOn w:val="Tablanormal"/>
    <w:uiPriority w:val="39"/>
    <w:rsid w:val="00F11411"/>
    <w:pPr>
      <w:spacing w:after="0" w:line="240" w:lineRule="auto"/>
    </w:pPr>
    <w:rPr>
      <w:rFonts w:ascii="Calibri" w:eastAsia="Calibri" w:hAnsi="Calibri" w:cs="Times New Roman"/>
      <w:kern w:val="0"/>
      <w:sz w:val="20"/>
      <w:szCs w:val="20"/>
      <w:lang w:eastAsia="es-P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independiente">
    <w:name w:val="Body Text"/>
    <w:basedOn w:val="Normal"/>
    <w:link w:val="TextoindependienteCar"/>
    <w:uiPriority w:val="1"/>
    <w:qFormat/>
    <w:rsid w:val="00F11411"/>
    <w:pPr>
      <w:autoSpaceDE w:val="0"/>
      <w:autoSpaceDN w:val="0"/>
      <w:adjustRightInd w:val="0"/>
      <w:jc w:val="both"/>
    </w:pPr>
  </w:style>
  <w:style w:type="character" w:customStyle="1" w:styleId="TextoindependienteCar">
    <w:name w:val="Texto independiente Car"/>
    <w:basedOn w:val="Fuentedeprrafopredeter"/>
    <w:link w:val="Textoindependiente"/>
    <w:uiPriority w:val="1"/>
    <w:rsid w:val="00F11411"/>
    <w:rPr>
      <w:rFonts w:ascii="Times New Roman" w:eastAsia="Times New Roman" w:hAnsi="Times New Roman" w:cs="Times New Roman"/>
      <w:kern w:val="0"/>
      <w:sz w:val="24"/>
      <w:szCs w:val="24"/>
      <w:lang w:val="es-ES" w:eastAsia="es-ES"/>
      <w14:ligatures w14:val="none"/>
    </w:rPr>
  </w:style>
  <w:style w:type="character" w:customStyle="1" w:styleId="PrrafodelistaCar">
    <w:name w:val="Párrafo de lista Car"/>
    <w:aliases w:val="Fundamentacion Car,Párrafo 1 Car,List Paragraph Car,parrafo normal Car"/>
    <w:link w:val="Prrafodelista"/>
    <w:uiPriority w:val="34"/>
    <w:qFormat/>
    <w:rsid w:val="00F11411"/>
  </w:style>
  <w:style w:type="paragraph" w:styleId="Encabezado">
    <w:name w:val="header"/>
    <w:basedOn w:val="Normal"/>
    <w:link w:val="EncabezadoCar"/>
    <w:uiPriority w:val="99"/>
    <w:unhideWhenUsed/>
    <w:rsid w:val="00F11411"/>
    <w:pPr>
      <w:tabs>
        <w:tab w:val="center" w:pos="4252"/>
        <w:tab w:val="right" w:pos="8504"/>
      </w:tabs>
    </w:pPr>
  </w:style>
  <w:style w:type="character" w:customStyle="1" w:styleId="EncabezadoCar">
    <w:name w:val="Encabezado Car"/>
    <w:basedOn w:val="Fuentedeprrafopredeter"/>
    <w:link w:val="Encabezado"/>
    <w:uiPriority w:val="99"/>
    <w:rsid w:val="00F11411"/>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F11411"/>
    <w:pPr>
      <w:tabs>
        <w:tab w:val="center" w:pos="4252"/>
        <w:tab w:val="right" w:pos="8504"/>
      </w:tabs>
    </w:pPr>
  </w:style>
  <w:style w:type="character" w:customStyle="1" w:styleId="PiedepginaCar">
    <w:name w:val="Pie de página Car"/>
    <w:basedOn w:val="Fuentedeprrafopredeter"/>
    <w:link w:val="Piedepgina"/>
    <w:uiPriority w:val="99"/>
    <w:rsid w:val="00F11411"/>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874</Words>
  <Characters>4810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ALIAGA</dc:creator>
  <cp:keywords/>
  <dc:description/>
  <cp:lastModifiedBy>luffyjeick</cp:lastModifiedBy>
  <cp:revision>2</cp:revision>
  <dcterms:created xsi:type="dcterms:W3CDTF">2026-04-10T00:59:00Z</dcterms:created>
  <dcterms:modified xsi:type="dcterms:W3CDTF">2026-04-14T11:32:00Z</dcterms:modified>
</cp:coreProperties>
</file>