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</w:t>
        <w:br w:type="textWrapping"/>
      </w:r>
      <w:r w:rsidDel="00000000" w:rsidR="00000000" w:rsidRPr="00000000">
        <w:rPr>
          <w:rtl w:val="0"/>
        </w:rPr>
        <w:t xml:space="preserve"> The mission of the East Tennessee chapter is to make business analysis accessible to all by fostering a collaborative environment where members can develop practical skills, build strong professional connections, and contribute to a dynamic community of practitioners.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</w:t>
        <w:br w:type="textWrapping"/>
      </w:r>
      <w:r w:rsidDel="00000000" w:rsidR="00000000" w:rsidRPr="00000000">
        <w:rPr>
          <w:rtl w:val="0"/>
        </w:rPr>
        <w:t xml:space="preserve"> The vision of the East Tennessee chapter is to be the trusted hub for business analysis excellence—empowering professionals to connect, grow, and lead change within their careers and communities.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vhzxzdzyj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 by Role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President (Jordan Eisenback)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Launch and monitor quarterly member‑feedback surveys to assess engagement and program impact.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Facilitate quarterly board reviews of strategic‑plan implementation and adjust priorities.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shared documentation and operational processes are accessible and up‑to‑date.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 a year‑end strategic summary for members and stakeholders.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Represent the chapter in key external outreach and partnership conversations.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 Marketing (Warren Green)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 and distribute a monthly newsletter and social‑media content schedule to boost membership engagement.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inspiring content that broadens access and representation beyond the “Business Analyst” title.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Collaborate on curated study paths for certification prep.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Standardize marketing operations and workflows.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 Professional Development (Sheri Smith)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Partner on quarterly member surveys to gauge program impact.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Launch a leadership‑development program for senior‑level members.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Establish analysis‑mentorship partnerships with local institutions (UT, 865 Academies).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 Events (Olivia Marcum)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 four inclusive, role‑diverse chapter events (one per quarter).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post‑event feedback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Establish baselines for event attendance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 Operations (Heather McGlinchy)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Standardize and document key board processes in Google Drive.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Audit and update Drive file structures for clarity and archival.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and launch a digital board‑orientation kit and “How We Work” guide.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VP Sponsorship (Deedee Chism)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 and board‑review a 2025 sponsorship prospectus with tiered packages and event tie‑ins.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at least one new cash or in‑kind sponsors by Q4.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Treasurer (Jessica Lear)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Publish the 2025 Financial Plan aligned to the Business and Strategic Plans.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quarterly financial updates covering budget variances, revenue, and cash flow.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compliance with all IIBA and local nonprofit tax/reporting requirements by year‑end.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