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b/>
          <w:color w:val="0062E3"/>
          <w:sz w:val="22"/>
        </w:rPr>
        <w:t>DIRECCIÓN TIC</w:t>
        <w:br/>
        <w:t>DEPARTAMENTO DE DESARROLLO E INFRAESTRUCTURA TECNOLÓGICA</w:t>
      </w:r>
    </w:p>
    <w:p>
      <w:pPr>
        <w:spacing w:before="480" w:after="160"/>
        <w:jc w:val="center"/>
      </w:pPr>
      <w:r>
        <w:rPr>
          <w:rFonts w:ascii="Calibri" w:hAnsi="Calibri"/>
          <w:b/>
          <w:color w:val="001F3F"/>
          <w:sz w:val="76"/>
        </w:rPr>
        <w:t>Carnet Digital</w:t>
      </w:r>
    </w:p>
    <w:p>
      <w:pPr>
        <w:spacing w:after="480"/>
        <w:jc w:val="center"/>
      </w:pPr>
      <w:r>
        <w:rPr>
          <w:color w:val="475569"/>
          <w:sz w:val="32"/>
        </w:rPr>
        <w:t>Manual técnico de arquitectura backend y referencia de API REST</w:t>
      </w:r>
    </w:p>
    <w:p>
      <w:pPr>
        <w:spacing w:after="720"/>
        <w:jc w:val="center"/>
      </w:pPr>
      <w:r>
        <w:rPr>
          <w:i/>
          <w:color w:val="64748B"/>
          <w:sz w:val="21"/>
        </w:rPr>
        <w:t>Servicios backend Node.js, arquitectura multi-tenant, persistencia MySQL y pasarela Mercado Pago</w:t>
      </w:r>
    </w:p>
    <w:p>
      <w:pPr>
        <w:pStyle w:val="Heading2"/>
      </w:pPr>
      <w:r>
        <w:t>Control de versiones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152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864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872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Autor / Elaboró</w:t>
            </w:r>
          </w:p>
        </w:tc>
        <w:tc>
          <w:tcPr>
            <w:tcW w:type="dxa" w:w="1728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Revisó</w:t>
            </w:r>
          </w:p>
        </w:tc>
        <w:tc>
          <w:tcPr>
            <w:tcW w:type="dxa" w:w="2304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Modificación</w:t>
            </w:r>
          </w:p>
        </w:tc>
        <w:tc>
          <w:tcPr>
            <w:tcW w:type="dxa" w:w="1440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Aprobación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28/09/2026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2.5.0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Ing. Especialista TIC</w:t>
              <w:br/>
              <w:t>Arquitectura Backend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Dirección de Planeación y TIC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Consolidación integral de la arquitectura del backend de Carnet Digital bajo la Guía de Estilo de Microsoft.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Dirección TIC /</w:t>
              <w:br/>
              <w:t>Rectoría</w:t>
            </w:r>
          </w:p>
        </w:tc>
      </w:tr>
    </w:tbl>
    <w:p>
      <w:pPr>
        <w:spacing w:after="3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1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001F3F"/>
                <w:sz w:val="18"/>
              </w:rPr>
              <w:t>Elaboró / Modificó:</w:t>
            </w:r>
          </w:p>
        </w:tc>
        <w:tc>
          <w:tcPr>
            <w:tcW w:type="dxa" w:w="311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001F3F"/>
                <w:sz w:val="18"/>
              </w:rPr>
              <w:t>Revisó:</w:t>
            </w:r>
          </w:p>
        </w:tc>
        <w:tc>
          <w:tcPr>
            <w:tcW w:type="dxa" w:w="311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001F3F"/>
                <w:sz w:val="18"/>
              </w:rPr>
              <w:t>Aprobó:</w:t>
            </w:r>
          </w:p>
        </w:tc>
      </w:tr>
      <w:tr>
        <w:tc>
          <w:tcPr>
            <w:tcW w:type="dxa" w:w="311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7"/>
              </w:rPr>
              <w:t>Ing. Especialista TIC</w:t>
              <w:br/>
              <w:t>Arquitectura de Software &amp; Backend</w:t>
              <w:br/>
              <w:t>Dirección TIC</w:t>
              <w:br/>
              <w:t>Fecha: 28 de septiembre de 2026</w:t>
            </w:r>
          </w:p>
        </w:tc>
        <w:tc>
          <w:tcPr>
            <w:tcW w:type="dxa" w:w="311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7"/>
              </w:rPr>
              <w:t>Directora de Planeación y TIC</w:t>
              <w:br/>
              <w:t>Dirección de Planeación (E)</w:t>
              <w:br/>
              <w:t>Institución / Organización</w:t>
              <w:br/>
              <w:t>Fecha: 28 de septiembre de 2026</w:t>
            </w:r>
          </w:p>
        </w:tc>
        <w:tc>
          <w:tcPr>
            <w:tcW w:type="dxa" w:w="311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7"/>
              </w:rPr>
              <w:t>Dirección General / Rectoría</w:t>
              <w:br/>
              <w:t>Dirección Ejecutiva Institucional</w:t>
              <w:br/>
              <w:t>Institución / Organización</w:t>
              <w:br/>
              <w:t>Fecha: 28 de septiembre de 2026</w:t>
            </w:r>
          </w:p>
        </w:tc>
      </w:tr>
    </w:tbl>
    <w:p>
      <w:r>
        <w:br w:type="page"/>
      </w:r>
    </w:p>
    <w:p>
      <w:pPr>
        <w:pStyle w:val="Heading1"/>
      </w:pPr>
      <w:r>
        <w:t>Introducción</w:t>
      </w:r>
    </w:p>
    <w:p>
      <w:r>
        <w:t>El núcleo de servicios backend de Carnet Digital proporciona la lógica de negocio, persistencia relacional, mecanismos criptográficos y orquestación transaccional de toda la plataforma de credencialización. El sistema implementa una arquitectura en capas desacopladas (Rutas, Controladores, Servicios, Modelos y Tareas en Segundo Plano), asegurando la separación estricta de responsabilidades, alta mantenibilidad y cumplimiento de las mejores prácticas de la industria.</w:t>
      </w:r>
    </w:p>
    <w:p>
      <w:r>
        <w:t>Construido sobre Node.js con el framework Express 5 y el ORM Sequelize para MySQL, el backend opera bajo un modelo multi-inquilino (multi-tenant) seguro. Este modelo garantiza el aislamiento de datos entre empresas cliente mediante particionamiento lógico, al tiempo que unifica la administración de tarifas comerciales, suscripciones y auditoría a través de una consola SuperAdmin.</w:t>
      </w:r>
    </w:p>
    <w:p>
      <w:pPr>
        <w:pStyle w:val="Heading2"/>
      </w:pPr>
      <w:r>
        <w:t>Contenido del manual de backend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Capítulo</w:t>
            </w:r>
          </w:p>
        </w:tc>
        <w:tc>
          <w:tcPr>
            <w:tcW w:type="dxa" w:w="5472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Materia técnica</w:t>
            </w:r>
          </w:p>
        </w:tc>
        <w:tc>
          <w:tcPr>
            <w:tcW w:type="dxa" w:w="2448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Público objetivo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Capítulo 1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Información general y catálogo tecnológico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Líderes de arquitectura e ingenieros backend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Capítulo 2</w:t>
            </w:r>
          </w:p>
        </w:tc>
        <w:tc>
          <w:tcPr>
            <w:tcW w:type="dxa" w:w="54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Variables de entorno (.env) y configuración de conexiones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DevOps, administradores de sistemas y SRE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Capítulo 3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Ciclo de vida del servidor y pipeline de peticiones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Desarrolladores backend y especialistas en seguridad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Capítulo 4</w:t>
            </w:r>
          </w:p>
        </w:tc>
        <w:tc>
          <w:tcPr>
            <w:tcW w:type="dxa" w:w="54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Contexto asíncrono y auditoría automática (AsyncLocalStorage)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Ingenieros de observabilidad y QA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Capítulo 5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Modelo de datos relacional y asociaciones Sequelize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Administradores de bases de datos (DBA)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Capítulo 6</w:t>
            </w:r>
          </w:p>
        </w:tc>
        <w:tc>
          <w:tcPr>
            <w:tcW w:type="dxa" w:w="54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Seguridad, autenticación JWT y control de acceso (RBAC)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Especialistas en ciberseguridad y auditoría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Capítulo 7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Motor de validación de límites de plan (planLimits.js)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Desarrolladores y analistas de negocio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Capítulo 8</w:t>
            </w:r>
          </w:p>
        </w:tc>
        <w:tc>
          <w:tcPr>
            <w:tcW w:type="dxa" w:w="54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Catálogo maestro de endpoints (API Reference completa)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Desarrolladores frontend, móviles y de integraciones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Capítulo 9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Tareas asíncronas y jobs en segundo plano (Cron Jobs)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Ingenieros de operaciones y soporte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Capítulo 10</w:t>
            </w:r>
          </w:p>
        </w:tc>
        <w:tc>
          <w:tcPr>
            <w:tcW w:type="dxa" w:w="54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Matriz de diagnóstico y códigos de respuesta HTTP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Mesa de ayuda y desarrolladores de integraciones</w:t>
            </w:r>
          </w:p>
        </w:tc>
      </w:tr>
    </w:tbl>
    <w:p>
      <w:r>
        <w:br w:type="page"/>
      </w:r>
    </w:p>
    <w:p>
      <w:pPr>
        <w:pStyle w:val="Heading1"/>
      </w:pPr>
      <w:r>
        <w:t>Capítulo 1. Información general y catálogo tecnológico</w:t>
      </w:r>
    </w:p>
    <w:p>
      <w:r>
        <w:t>El backend de Carnet Digital aprovecha el ecosistema asíncrono no bloqueante de Node.js, diseñado para procesar altos volúmenes de consultas de emisión y validación de códigos QR con latencias ultra-bajas.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Capa del backend</w:t>
            </w:r>
          </w:p>
        </w:tc>
        <w:tc>
          <w:tcPr>
            <w:tcW w:type="dxa" w:w="2592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Librería y versión</w:t>
            </w:r>
          </w:p>
        </w:tc>
        <w:tc>
          <w:tcPr>
            <w:tcW w:type="dxa" w:w="4608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Rol y responsabilidad técnica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Entorno de ejecución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Node.js (v18+ LTS / v20+)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Motor de ejecución asíncrono basado en el motor V8.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Framework web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Express v5.x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Enrutamiento HTTP de alta velocidad, gestión de middleware y manejo de promesas nativo.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ORM y persistencia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Sequelize v6.x / mysql2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Mapeo objeto-relacional, transacciones ACID, migraciones y esquemas relacionales.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Autenticación y criptografía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jsonwebtoken v9.x / bcryptjs v3.x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Emisión y verificación de tokens JWT y hashing seguro de contraseñas (salt rounds = 10).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Validación de esquemas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Joi v18.x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Validación estricta de carga útil (payloads), tipos de datos y sanitización de entradas.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Gestión de archivos multipart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Multer v2.x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Recepción y almacenamiento en disco de fotos de colaboradores y logotipos institucionales.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Pasarela de pagos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Mercado Pago SDK v2.x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Generación de preferencias de pago, suscripciones recurrentes y procesamiento de webhooks.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Seguridad perimetral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Helmet, CORS, Express-Rate-Limit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Blindaje contra XSS, Clickjacking, MIME-sniffing y mitigación de ataques de denegación de servicio.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Compresión de datos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Compression v1.x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Compresión Gzip / Deflate automática de respuestas JSON.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Caché en memoria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node-cache v5.x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Caché de consultas de alta frecuencia para parámetros globales y credenciales públicas.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Auditoría y trazabilidad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Winston v3.x / Morgan v1.x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Registro estructurado en formato JSON con rotación diaria y correlación por Request-ID.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Tareas en segundo plano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node-cron v4.x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Automatización de revisiones diarias para vencimiento de suscripciones y transiciones de estado.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01F3F"/>
                <w:sz w:val="19"/>
              </w:rPr>
              <w:t xml:space="preserve">Nota técnica: </w:t>
            </w:r>
            <w:r>
              <w:rPr>
                <w:color w:val="334155"/>
                <w:sz w:val="19"/>
              </w:rPr>
              <w:t>La versión 5 de Express adoptada resuelve de forma nativa las promesas en controladores asíncronos sin requerir bloques try/catch repetitivos ni envoltorios auxiliares.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Capítulo 2. Variables de entorno y configuración de conexiones</w:t>
      </w:r>
    </w:p>
    <w:p>
      <w:r>
        <w:t>El comportamiento del servidor se parametriza en el archivo `.env`. A continuación se detallan las variables obligatorias y recomendadas: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Variable de entorno</w:t>
            </w:r>
          </w:p>
        </w:tc>
        <w:tc>
          <w:tcPr>
            <w:tcW w:type="dxa" w:w="1296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2592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Valor predeterminado / Ejemplo</w:t>
            </w:r>
          </w:p>
        </w:tc>
        <w:tc>
          <w:tcPr>
            <w:tcW w:type="dxa" w:w="2880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Propósito en la arquitectura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PORT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Number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4000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Puerto TCP en el que escucha el servidor HTTP (Fallback: 3010).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NODE_ENV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String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development / production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Modo de ejecución. En producción silencia trazas internas y optimiza cachés.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DB_HOST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String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localhost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Dirección IP o nombre de host del motor MySQL.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DB_USER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String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root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Nombre de usuario con privilegios de lectura/escritura en la base de datos.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DB_PASSWORD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String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********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Contraseña de acceso a la base de datos MySQL.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DB_NAME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String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CoreCredencial / carnet_digital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Nombre del esquema de base de datos relacional.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DB_DIALECT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String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mysql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Dialecto Sequelize configurado para el motor MySQL.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DB_TIMEZONE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String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-05:00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Zona horaria aplicada en la conexión SQL (Bogotá / Lima / Quito).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APP_TIMEZONE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String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America/Bogota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Fija process.env.TZ para cálculos uniformes de fechas en Node.js.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JWT_SECRET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String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Clave hexadecimal 32+ chars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Semilla criptográfica para firma y validación de tokens JWT.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JWT_EXPIRES_IN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String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1h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Vigencia del token de sesión emitido.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ADMIN_DEFAULT_EMAIL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String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Admin@admin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Correo electrónico del SuperAdmin sembrado automáticamente en el primer arranque.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FREE_PLAN_MAX_USERS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Integer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10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Cuota predeterminada de colaboradores en el plan inicial gratuito.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FREE_PLAN_MAX_TEMPLATES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Integer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2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Cuota predeterminada de plantillas autorizadas en el plan gratis.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FREE_PLAN_MAX_CARNETS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Integer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5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Límite de carnets emitidos en el plan gratuito inicial.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MERCADOPAGO_TEST_PUBLIC_KEY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String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APP_USR-...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Clave pública del SDK de Mercado Pago en modo Sandbox.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MERCADOPAGO_TEST_ACCESS_TOKEN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String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APP_USR-...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Token de acceso a la API REST de Mercado Pago en Sandbox.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MERCADOPAGO_PROD_ACCESS_TOKEN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String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APP_USR-...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Token de acceso en producción para cobros en línea.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BACKEND_URL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String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http://localhost:4000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URL base pública del backend para conformar la URL de webhook.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MERCADOPAGO_BACK_URL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String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http://localhost:5173/payment-success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URL de redirección al frontend tras finalizar el pago.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2F2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DC262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01F3F"/>
                <w:sz w:val="19"/>
              </w:rPr>
              <w:t xml:space="preserve">Acción crítica: </w:t>
            </w:r>
            <w:r>
              <w:rPr>
                <w:color w:val="334155"/>
                <w:sz w:val="19"/>
              </w:rPr>
              <w:t>Nunca incluyas secretos de producción (JWT_SECRET o MERCADOPAGO_PROD_ACCESS_TOKEN) en repositorios públicos de control de versiones.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Capítulo 3. Ciclo de vida del servidor y pipeline de peticiones</w:t>
      </w:r>
    </w:p>
    <w:p>
      <w:r>
        <w:t>Cada petición HTTP entrante atraviesa un pipeline ordenado de middlewares que garantizan seguridad, descompresión, aislamiento de contexto y captura uniforme de errores:</w:t>
      </w:r>
    </w:p>
    <w:p>
      <w:r>
        <w:t>1. Contexto asíncrono y correlación:</w:t>
        <w:br/>
        <w:t xml:space="preserve">   El middleware inicializa `AsyncLocalStorage` y genera un identificador único `x-request-id` (UUIDv4) para trazabilidad completa.</w:t>
        <w:br/>
        <w:br/>
        <w:t>2. Encabezados de seguridad perimetral (Helmet):</w:t>
        <w:br/>
        <w:t xml:space="preserve">   Elimina la cabecera `X-Powered-By: Express` e inyecta políticas de protección contra ataques comunes.</w:t>
        <w:br/>
        <w:br/>
        <w:t>3. Control de acceso de origen cruzado (CORS):</w:t>
        <w:br/>
        <w:t xml:space="preserve">   Valida que los dominios de origen autorizados puedan consultar la API REST, habilitando métodos seguros (GET, POST, PUT, DELETE, OPTIONS).</w:t>
        <w:br/>
        <w:br/>
        <w:t>4. Limitador de tasa de peticiones (Rate Limiter):</w:t>
        <w:br/>
        <w:t xml:space="preserve">   Previene ataques de fuerza bruta limitando peticiones por dirección IP en endpoints sensibles de autenticación.</w:t>
        <w:br/>
        <w:br/>
        <w:t>5. Descompresión y parseo de cuerpo (JSON Parser):</w:t>
        <w:br/>
        <w:t xml:space="preserve">   Procesa cargas útiles en formato JSON con límite de tamaño de 10 MB.</w:t>
        <w:br/>
        <w:br/>
        <w:t>6. Enrutamiento modular:</w:t>
        <w:br/>
        <w:t xml:space="preserve">   El enrutador principal distribuye la petición hacia el controlador correspondiente.</w:t>
        <w:br/>
        <w:br/>
        <w:t>7. Middleware global de captura de excepciones:</w:t>
        <w:br/>
        <w:t xml:space="preserve">   Si ocurre un error no controlado, formatea una respuesta estándar HTTP 500 registrando la traza en los archivos de log.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6A34A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01F3F"/>
                <w:sz w:val="19"/>
              </w:rPr>
              <w:t xml:space="preserve">Sugerencia: </w:t>
            </w:r>
            <w:r>
              <w:rPr>
                <w:color w:val="334155"/>
                <w:sz w:val="19"/>
              </w:rPr>
              <w:t>El pipeline ejecuta una verificación de salud (Health Check) en la ruta GET /api/health retornando el estado de la base de datos y memoria utilizada.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Capítulo 4. Seguridad, autenticación JWT y control de acceso (RBAC)</w:t>
      </w:r>
    </w:p>
    <w:p>
      <w:r>
        <w:t>El sistema valida la identidad del emisor mediante tokens JWT transmitidos en la cabecera `Authorization`. Existen dos tipos de tokens emitidos por `authService.js`: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Tipo de usuario</w:t>
            </w:r>
          </w:p>
        </w:tc>
        <w:tc>
          <w:tcPr>
            <w:tcW w:type="dxa" w:w="3600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Estructura del payload JWT</w:t>
            </w:r>
          </w:p>
        </w:tc>
        <w:tc>
          <w:tcPr>
            <w:tcW w:type="dxa" w:w="3456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Alcance y permisos en el sistema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Administrador de Sistema</w:t>
              <w:br/>
              <w:t>(type: 'system')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{ id: 1, email: 'Admin@admin', role: 'admin', type: 'system' }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Acceso global a empresas, planes, suscripciones, roles y parámetros de la plataforma. No posee restricción de tenant.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Usuario de Empresa</w:t>
              <w:br/>
              <w:t>(type: 'company')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{ id: 5, email: 'carlos@empresa.com', role: 'admin', type: 'company', company_id: 1 }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Acceso estricto y exclusivo a los recursos de su propia organización (company_id). El backend filtra automáticamente cada consulta SQL con WHERE company_id = ?.</w:t>
            </w:r>
          </w:p>
        </w:tc>
      </w:tr>
    </w:tbl>
    <w:p>
      <w:pPr>
        <w:pStyle w:val="Heading2"/>
      </w:pPr>
      <w:r>
        <w:t>4.1 Aislamiento de datos multi-inquilino (Multi-Tenant)</w:t>
      </w:r>
    </w:p>
    <w:p>
      <w:r>
        <w:t>Para garantizar la privacidad entre empresas cliente, todas las tablas de tenant (`headquarters`, `areas`, `roles`, `company_users`, `carnet_templates`, `carnets`) contienen la columna `company_id`. Los controladores y servicios validan de forma obligatoria que `req.user.company_id` coincida con el registro solicitado, previniendo vulnerabilidades de Insecure Direct Object References (IDOR).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2F2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DC262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01F3F"/>
                <w:sz w:val="19"/>
              </w:rPr>
              <w:t xml:space="preserve">Acción crítica: </w:t>
            </w:r>
            <w:r>
              <w:rPr>
                <w:color w:val="334155"/>
                <w:sz w:val="19"/>
              </w:rPr>
              <w:t>Ningún usuario de empresa puede leer, modificar o revocar carnets de otra empresa, incluso si conoce el ID numérico del recurso ajeno.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Capítulo 5. Modelo relacional de datos y entidades</w:t>
      </w:r>
    </w:p>
    <w:p>
      <w:r>
        <w:t>El modelo relacional persistido en MySQL se divide en dos dominios estructurales:</w:t>
      </w:r>
    </w:p>
    <w:p>
      <w:pPr>
        <w:pStyle w:val="Heading2"/>
      </w:pPr>
      <w:r>
        <w:t>5.1 Tablas del núcleo de plataforma (Sistema)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Tabla / Modelo</w:t>
            </w:r>
          </w:p>
        </w:tc>
        <w:tc>
          <w:tcPr>
            <w:tcW w:type="dxa" w:w="3600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Columnas principales</w:t>
            </w:r>
          </w:p>
        </w:tc>
        <w:tc>
          <w:tcPr>
            <w:tcW w:type="dxa" w:w="3456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Propósito en la arquitectura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companies (Company)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id, name, nit, email, phone, status, plan_id, created_at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Directorio maestro de organizaciones cliente suscritas.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system_plans (SystemPlan)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id, name, description, price_monthly, price_yearly, max_users, max_templates, max_carnets, max_headquarters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Definición de paquetes y cuotas comerciales.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system_subscriptions (SystemSubscription)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id, company_id, plan_id, status, start_date, end_date, mp_subscription_id, payment_method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Monitoreo de vigencia, cobranzas y pasarela.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system_users (SystemUser)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id, name, email, password, role_id, status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Cuentas de operadores y administradores centrales.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system_roles (SystemRole)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id, name, description, permissions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Matriz de privilegios para usuarios del sistema central.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system_parameters (SystemParameter)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id, key, value, description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Banderas globales: modo de mantenimiento y llaves de pago.</w:t>
            </w:r>
          </w:p>
        </w:tc>
      </w:tr>
    </w:tbl>
    <w:p>
      <w:pPr>
        <w:pStyle w:val="Heading2"/>
      </w:pPr>
      <w:r>
        <w:t>5.2 Tablas operativas de empresa (Tenant)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Tabla / Modelo</w:t>
            </w:r>
          </w:p>
        </w:tc>
        <w:tc>
          <w:tcPr>
            <w:tcW w:type="dxa" w:w="3600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Columnas principales</w:t>
            </w:r>
          </w:p>
        </w:tc>
        <w:tc>
          <w:tcPr>
            <w:tcW w:type="dxa" w:w="3456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Propósito en la organización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headquarters (Headquarter)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id, company_id, name, address, city, status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Sedes físicas y sucursales de la empresa.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areas (Area)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id, company_id, headquarter_id, name, status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Departamentos o dependencias adscritas a sedes.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roles (Role / Cargo)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id, company_id, area_id, name, description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Cargos y puestos de trabajo laborales.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company_users (Colaborador)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id, company_id, headquarter_id, area_id, role_id, doc_type, doc_number, first_name, last_name, email, photo_url, status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Directorio completo del personal a credencializar.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carnet_templates (Template)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id, company_id, name, orientation, background_url, design_json, is_default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Estructura de capas visuales y marcadores dinámicos.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carnets (Carnet)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id, company_id, user_id, template_id, qr_hash, issue_date, expiration_date, status, pdf_url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Credenciales digitales emitidas provistas de hash QR.</w:t>
            </w:r>
          </w:p>
        </w:tc>
      </w:tr>
    </w:tbl>
    <w:p>
      <w:r>
        <w:br w:type="page"/>
      </w:r>
    </w:p>
    <w:p>
      <w:pPr>
        <w:pStyle w:val="Heading1"/>
      </w:pPr>
      <w:r>
        <w:t>Capítulo 6. Motor de control de límites de plan (planLimits.js)</w:t>
      </w:r>
    </w:p>
    <w:p>
      <w:r>
        <w:t>Antes de persistir cualquier recurso de empresa en la base de datos, el sistema invoca la función central `checkPlanLimit()`:</w:t>
      </w:r>
    </w:p>
    <w:p>
      <w:r>
        <w:t>```javascript</w:t>
        <w:br/>
        <w:t>await checkPlanLimit(companyId, 'users' | 'areas' | 'roles' | 'templates' | 'carnets' | 'headquarters');</w:t>
        <w:br/>
        <w:t>```</w:t>
      </w:r>
    </w:p>
    <w:p>
      <w:r>
        <w:t>Este motor ejecuta el siguiente flujo de validación:</w:t>
        <w:br/>
        <w:t>1. Consulta el plan activo y la suscripción vigente de la empresa.</w:t>
        <w:br/>
        <w:t>2. Si la suscripción está vencida, lanza un error HTTP 403: 'Su suscripción ha expirado. Por favor renueve su plan'.</w:t>
        <w:br/>
        <w:t>3. Cuenta los registros actuales del recurso solicitado en la base de datos.</w:t>
        <w:br/>
        <w:t>4. Compara la cantidad existente contra la cuota permitida en el plan (`max_users`, `max_carnets`, etc.).</w:t>
        <w:br/>
        <w:t>5. Si el límite fue alcanzado, rechaza la operación con código HTTP 403 e indica la cuota máxima permitida.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2F2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DC262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01F3F"/>
                <w:sz w:val="19"/>
              </w:rPr>
              <w:t xml:space="preserve">Acción crítica: </w:t>
            </w:r>
            <w:r>
              <w:rPr>
                <w:color w:val="334155"/>
                <w:sz w:val="19"/>
              </w:rPr>
              <w:t>Esta verificación atómica a nivel de backend previene que usuarios maliciosos emitan carnets excedentes eludiendo los controles visuales del frontend.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Capítulo 7. Catálogo maestro de endpoints (API Reference)</w:t>
      </w:r>
    </w:p>
    <w:p>
      <w:r>
        <w:t>A continuación se presenta la referencia completa de los endpoints RESTful expuestos por el backend de Carnet Digital: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Método y Ruta</w:t>
            </w:r>
          </w:p>
        </w:tc>
        <w:tc>
          <w:tcPr>
            <w:tcW w:type="dxa" w:w="1872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Acceso requerido</w:t>
            </w:r>
          </w:p>
        </w:tc>
        <w:tc>
          <w:tcPr>
            <w:tcW w:type="dxa" w:w="2592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Carga útil (Payload) / Parámetros</w:t>
            </w:r>
          </w:p>
        </w:tc>
        <w:tc>
          <w:tcPr>
            <w:tcW w:type="dxa" w:w="2304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Respuesta exitosa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POST /api/auth/login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Público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{ email, password }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200 OK: { token, user, branding }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POST /api/auth/register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Público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{ company_name, nit, email, password, phone, plan_id }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201 Created: { company, user, payment_url }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GET /api/auth/me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Bearer JWT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Cabecera Authorization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200 OK: { user, company, permissions }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GET /api/auth/payment-config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Público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Ninguno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200 OK: { public_key, currency }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GET /api/companies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SuperAdmin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Filtros: ?search, ?status, ?page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200 OK: { companies: [], total, pages }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POST /api/companies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SuperAdmin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{ name, nit, email, phone, plan_id }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201 Created: { company }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PUT /api/companies/:id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SuperAdmin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{ name, nit, email, phone, status }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200 OK: { company actualiza }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GET /api/plans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Público / Autenticado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Ninguno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200 OK: [ { id, name, price, limits } ]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POST /api/plans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SuperAdmin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{ name, price_monthly, max_users, max_carnets }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201 Created: { plan }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GET /api/subscriptions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SuperAdmin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Filtros: ?status, ?company_id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200 OK: [ { subscription } ]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GET /api/headquarters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Empresa (Tenant)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Cabecera con Token de Empresa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200 OK: [ { id, name, address, city } ]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POST /api/headquarters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Empresa (Tenant)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{ name, address, city }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201 Created: { headquarter }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GET /api/areas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Empresa (Tenant)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?headquarter_id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200 OK: [ { id, name, headquarter_id } ]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POST /api/areas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Empresa (Tenant)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{ name, headquarter_id }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201 Created: { area }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GET /api/cargos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Empresa (Tenant)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?area_id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200 OK: [ { id, name, area_id } ]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POST /api/cargos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Empresa (Tenant)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{ name, area_id }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201 Created: { cargo }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GET /api/colaboradores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Empresa (Tenant)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?search, ?area_id, ?status, ?page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200 OK: { colaboradores: [], total }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POST /api/colaboradores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Empresa (Tenant)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Multipart: doc_type, doc_number, first_name, last_name, photo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201 Created: { colaborador }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GET /api/templates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Empresa (Tenant)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Cabecera con Token de Empresa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200 OK: [ { id, name, design_json } ]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POST /api/templates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Empresa (Tenant)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{ name, orientation, design_json, background_url }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201 Created: { template }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GET /api/carnets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Empresa (Tenant)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?user_id, ?status, ?page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200 OK: { carnets: [], total }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POST /api/carnets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Empresa (Tenant)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{ user_id, template_id, expiration_date }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201 Created: { carnet, qr_hash, pdf_url }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DELETE /api/carnets/:id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Empresa (Tenant)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ID del carnet a revocar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200 OK: { message: 'Carnet revocado' }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GET /api/carnets/verify/:hash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Público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Hash único del código QR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200 OK: { valid: true, colaborador, vigencia }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POST /api/webhooks/mercadopago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Público (Firma HMAC)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Header: x-signature, Body: { data: { id } }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200 OK: { received: true }</w:t>
            </w:r>
          </w:p>
        </w:tc>
      </w:tr>
    </w:tbl>
    <w:p>
      <w:r>
        <w:br w:type="page"/>
      </w:r>
    </w:p>
    <w:p>
      <w:pPr>
        <w:pStyle w:val="Heading1"/>
      </w:pPr>
      <w:r>
        <w:t>Capítulo 8. Tareas asíncronas y jobs en segundo plano (Cron Jobs)</w:t>
      </w:r>
    </w:p>
    <w:p>
      <w:r>
        <w:t>El aplicativo programa procesos desatendidos mediante la librería `node-cron` (`src/jobs/subscriptionExpiryJob.js`), garantizando la integridad del estado de las empresas cliente sin requerir intervención manual: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Nombre del Job</w:t>
            </w:r>
          </w:p>
        </w:tc>
        <w:tc>
          <w:tcPr>
            <w:tcW w:type="dxa" w:w="2592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Expresión Cron / Frecuencia</w:t>
            </w:r>
          </w:p>
        </w:tc>
        <w:tc>
          <w:tcPr>
            <w:tcW w:type="dxa" w:w="4464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Acción ejecutada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subscriptionExpiryJob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`5 0 * * *`</w:t>
              <w:br/>
              <w:t>(Todos los días a las 00:05 AM)</w:t>
            </w:r>
          </w:p>
        </w:tc>
        <w:tc>
          <w:tcPr>
            <w:tcW w:type="dxa" w:w="44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1. Busca suscripciones cuya fecha de finalización (end_date) sea inferior al día actual.</w:t>
              <w:br/>
              <w:t>2. Cambia el estado de la suscripción a 'expired'.</w:t>
              <w:br/>
              <w:t>3. Actualiza el estado de la empresa asociada a 'inactive'.</w:t>
              <w:br/>
              <w:t>4. Registra en el log de auditoría las empresas deshabilitadas.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tempFilesPurgeJob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`0 3 * * 0`</w:t>
              <w:br/>
              <w:t>(Domingos a las 03:00 AM)</w:t>
            </w:r>
          </w:p>
        </w:tc>
        <w:tc>
          <w:tcPr>
            <w:tcW w:type="dxa" w:w="446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1. Inspecciona la carpeta temporal uploads/.</w:t>
              <w:br/>
              <w:t>2. Elimina archivos temporales de PDF o fotos que no hayan sido vinculados a un carnet en los últimos 7 días.</w:t>
            </w:r>
          </w:p>
        </w:tc>
      </w:tr>
    </w:tbl>
    <w:p>
      <w:r>
        <w:br w:type="page"/>
      </w:r>
    </w:p>
    <w:p>
      <w:pPr>
        <w:pStyle w:val="Heading1"/>
      </w:pPr>
      <w:r>
        <w:t>Capítulo 9. Matriz de auditoría y diagnóstico de errores</w:t>
      </w:r>
    </w:p>
    <w:p>
      <w:r>
        <w:t>El servidor responde bajo el protocolo estándar HTTP y encapsula los errores mediante un formato JSON consistente:</w:t>
      </w:r>
    </w:p>
    <w:p>
      <w:r>
        <w:t>```json</w:t>
        <w:br/>
        <w:t>{</w:t>
        <w:br/>
        <w:t xml:space="preserve">  "success": false,</w:t>
        <w:br/>
        <w:t xml:space="preserve">  "error": "Mensaje legible para el usuario o desarrollador",</w:t>
        <w:br/>
        <w:t xml:space="preserve">  "requestId": "c4b91f1a-8e2b-4e12-b9d1-9f2e4a8c16b3",</w:t>
        <w:br/>
        <w:t xml:space="preserve">  "timestamp": "2026-09-28T17:30:00.000Z"</w:t>
        <w:br/>
        <w:t>}</w:t>
        <w:br/>
        <w:t>```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Código HTTP</w:t>
            </w:r>
          </w:p>
        </w:tc>
        <w:tc>
          <w:tcPr>
            <w:tcW w:type="dxa" w:w="2592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Significado técnico</w:t>
            </w:r>
          </w:p>
        </w:tc>
        <w:tc>
          <w:tcPr>
            <w:tcW w:type="dxa" w:w="4896"/>
            <w:shd w:fill="001F3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Causa habitual en Carnet Digital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200 OK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Petición exitosa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Consulta o actualización completada satisfactoriamente.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201 Created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Recurso creado</w:t>
            </w:r>
          </w:p>
        </w:tc>
        <w:tc>
          <w:tcPr>
            <w:tcW w:type="dxa" w:w="48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Creación exitosa de empresa, colaborador, plantilla o carnet.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400 Bad Request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Carga útil inválida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Faltan campos obligatorios o no superan las validaciones Joi.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401 Unauthorized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No autenticado</w:t>
            </w:r>
          </w:p>
        </w:tc>
        <w:tc>
          <w:tcPr>
            <w:tcW w:type="dxa" w:w="48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Token JWT ausente, expirado o con firma criptográfica inválida.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403 Forbidden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Acceso denegado / Cuota agotada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Usuario intentando acceder a otra empresa o cuota máxima del plan excedida.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404 Not Found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Recurso no encontrado</w:t>
            </w:r>
          </w:p>
        </w:tc>
        <w:tc>
          <w:tcPr>
            <w:tcW w:type="dxa" w:w="48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El ID solicitado no existe en la base de datos.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409 Conflict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Conflicto de unicidad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NIT o correo electrónico ya registrado previamente.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429 Too Many Requests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Límite de tasa excedido</w:t>
            </w:r>
          </w:p>
        </w:tc>
        <w:tc>
          <w:tcPr>
            <w:tcW w:type="dxa" w:w="48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Demasiados intentos de autenticación en un lapso corto.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500 Internal Error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Error interno no controlado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Excepción de base de datos o fallo en el servidor.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