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062E3"/>
          <w:sz w:val="22"/>
        </w:rPr>
        <w:t>DIRECCIÓN TIC</w:t>
        <w:br/>
        <w:t>DEPARTAMENTO DE DESARROLLO E INFRAESTRUCTURA TECNOLÓGICA</w:t>
      </w:r>
    </w:p>
    <w:p>
      <w:pPr>
        <w:spacing w:before="400" w:after="160"/>
        <w:jc w:val="center"/>
      </w:pPr>
      <w:r>
        <w:rPr>
          <w:rFonts w:ascii="Calibri" w:hAnsi="Calibri"/>
          <w:b/>
          <w:color w:val="001F3F"/>
          <w:sz w:val="80"/>
        </w:rPr>
        <w:t>Carnet Digital</w:t>
      </w:r>
    </w:p>
    <w:p>
      <w:pPr>
        <w:spacing w:after="320"/>
        <w:jc w:val="center"/>
      </w:pPr>
      <w:r>
        <w:rPr>
          <w:color w:val="475569"/>
          <w:sz w:val="30"/>
        </w:rPr>
        <w:t>Manual Técnico Integral de Arquitectura (Frontend &amp; Backend) y Guía Oficial de Usuario</w:t>
      </w:r>
    </w:p>
    <w:p>
      <w:pPr>
        <w:spacing w:after="560"/>
        <w:jc w:val="center"/>
      </w:pPr>
      <w:r>
        <w:rPr>
          <w:i/>
          <w:color w:val="64748B"/>
          <w:sz w:val="20"/>
        </w:rPr>
        <w:t>Plataforma empresarial de emisión, gestión y validación de credenciales inteligentes con código QR</w:t>
      </w:r>
    </w:p>
    <w:p>
      <w:pPr>
        <w:pStyle w:val="Heading2"/>
      </w:pPr>
      <w:r>
        <w:t>Control de versiones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001F3F"/>
            <w:tcMar>
              <w:top w:w="120" w:type="dxa"/>
              <w:bottom w:w="120" w:type="dxa"/>
              <w:left w:w="140" w:type="dxa"/>
              <w:right w:w="140" w:type="dxa"/>
            </w:tcMar>
          </w:tcPr>
          <w:p>
            <w:pPr>
              <w:jc w:val="left"/>
            </w:pPr>
            <w:r>
              <w:rPr>
                <w:rFonts w:ascii="Calibri" w:hAnsi="Calibri"/>
                <w:b/>
                <w:color w:val="FFFFFF"/>
                <w:sz w:val="18"/>
              </w:rPr>
              <w:t>Fecha</w:t>
            </w:r>
          </w:p>
        </w:tc>
        <w:tc>
          <w:tcPr>
            <w:tcW w:type="dxa" w:w="864"/>
            <w:shd w:fill="001F3F"/>
            <w:tcMar>
              <w:top w:w="120" w:type="dxa"/>
              <w:bottom w:w="120" w:type="dxa"/>
              <w:left w:w="140" w:type="dxa"/>
              <w:right w:w="140" w:type="dxa"/>
            </w:tcMar>
          </w:tcPr>
          <w:p>
            <w:pPr>
              <w:jc w:val="left"/>
            </w:pPr>
            <w:r>
              <w:rPr>
                <w:rFonts w:ascii="Calibri" w:hAnsi="Calibri"/>
                <w:b/>
                <w:color w:val="FFFFFF"/>
                <w:sz w:val="18"/>
              </w:rPr>
              <w:t>Versión</w:t>
            </w:r>
          </w:p>
        </w:tc>
        <w:tc>
          <w:tcPr>
            <w:tcW w:type="dxa" w:w="1872"/>
            <w:shd w:fill="001F3F"/>
            <w:tcMar>
              <w:top w:w="120" w:type="dxa"/>
              <w:bottom w:w="120" w:type="dxa"/>
              <w:left w:w="140" w:type="dxa"/>
              <w:right w:w="140" w:type="dxa"/>
            </w:tcMar>
          </w:tcPr>
          <w:p>
            <w:pPr>
              <w:jc w:val="left"/>
            </w:pPr>
            <w:r>
              <w:rPr>
                <w:rFonts w:ascii="Calibri" w:hAnsi="Calibri"/>
                <w:b/>
                <w:color w:val="FFFFFF"/>
                <w:sz w:val="18"/>
              </w:rPr>
              <w:t>Autor / Elaboró</w:t>
            </w:r>
          </w:p>
        </w:tc>
        <w:tc>
          <w:tcPr>
            <w:tcW w:type="dxa" w:w="1728"/>
            <w:shd w:fill="001F3F"/>
            <w:tcMar>
              <w:top w:w="120" w:type="dxa"/>
              <w:bottom w:w="120" w:type="dxa"/>
              <w:left w:w="140" w:type="dxa"/>
              <w:right w:w="140" w:type="dxa"/>
            </w:tcMar>
          </w:tcPr>
          <w:p>
            <w:pPr>
              <w:jc w:val="left"/>
            </w:pPr>
            <w:r>
              <w:rPr>
                <w:rFonts w:ascii="Calibri" w:hAnsi="Calibri"/>
                <w:b/>
                <w:color w:val="FFFFFF"/>
                <w:sz w:val="18"/>
              </w:rPr>
              <w:t>Revisó</w:t>
            </w:r>
          </w:p>
        </w:tc>
        <w:tc>
          <w:tcPr>
            <w:tcW w:type="dxa" w:w="2304"/>
            <w:shd w:fill="001F3F"/>
            <w:tcMar>
              <w:top w:w="120" w:type="dxa"/>
              <w:bottom w:w="120" w:type="dxa"/>
              <w:left w:w="140" w:type="dxa"/>
              <w:right w:w="140" w:type="dxa"/>
            </w:tcMar>
          </w:tcPr>
          <w:p>
            <w:pPr>
              <w:jc w:val="left"/>
            </w:pPr>
            <w:r>
              <w:rPr>
                <w:rFonts w:ascii="Calibri" w:hAnsi="Calibri"/>
                <w:b/>
                <w:color w:val="FFFFFF"/>
                <w:sz w:val="18"/>
              </w:rPr>
              <w:t>Modificación</w:t>
            </w:r>
          </w:p>
        </w:tc>
        <w:tc>
          <w:tcPr>
            <w:tcW w:type="dxa" w:w="1440"/>
            <w:shd w:fill="001F3F"/>
            <w:tcMar>
              <w:top w:w="120" w:type="dxa"/>
              <w:bottom w:w="120" w:type="dxa"/>
              <w:left w:w="140" w:type="dxa"/>
              <w:right w:w="140" w:type="dxa"/>
            </w:tcMar>
          </w:tcPr>
          <w:p>
            <w:pPr>
              <w:jc w:val="left"/>
            </w:pPr>
            <w:r>
              <w:rPr>
                <w:rFonts w:ascii="Calibri" w:hAnsi="Calibri"/>
                <w:b/>
                <w:color w:val="FFFFFF"/>
                <w:sz w:val="18"/>
              </w:rPr>
              <w:t>Aprobación</w:t>
            </w:r>
          </w:p>
        </w:tc>
      </w:tr>
      <w:tr>
        <w:tc>
          <w:tcPr>
            <w:tcW w:type="dxa" w:w="1152"/>
            <w:shd w:fill="FFFFFF"/>
            <w:tcMar>
              <w:top w:w="100" w:type="dxa"/>
              <w:bottom w:w="100" w:type="dxa"/>
              <w:left w:w="140" w:type="dxa"/>
              <w:right w:w="140" w:type="dxa"/>
            </w:tcMar>
          </w:tcPr>
          <w:p>
            <w:r>
              <w:rPr>
                <w:rFonts w:ascii="Calibri" w:hAnsi="Calibri"/>
                <w:color w:val="334155"/>
                <w:sz w:val="17"/>
              </w:rPr>
              <w:t>28/09/2026</w:t>
            </w:r>
          </w:p>
        </w:tc>
        <w:tc>
          <w:tcPr>
            <w:tcW w:type="dxa" w:w="864"/>
            <w:shd w:fill="FFFFFF"/>
            <w:tcMar>
              <w:top w:w="100" w:type="dxa"/>
              <w:bottom w:w="100" w:type="dxa"/>
              <w:left w:w="140" w:type="dxa"/>
              <w:right w:w="140" w:type="dxa"/>
            </w:tcMar>
          </w:tcPr>
          <w:p>
            <w:r>
              <w:rPr>
                <w:rFonts w:ascii="Calibri" w:hAnsi="Calibri"/>
                <w:color w:val="334155"/>
                <w:sz w:val="17"/>
              </w:rPr>
              <w:t>2.5.0</w:t>
            </w:r>
          </w:p>
        </w:tc>
        <w:tc>
          <w:tcPr>
            <w:tcW w:type="dxa" w:w="1872"/>
            <w:shd w:fill="FFFFFF"/>
            <w:tcMar>
              <w:top w:w="100" w:type="dxa"/>
              <w:bottom w:w="100" w:type="dxa"/>
              <w:left w:w="140" w:type="dxa"/>
              <w:right w:w="140" w:type="dxa"/>
            </w:tcMar>
          </w:tcPr>
          <w:p>
            <w:r>
              <w:rPr>
                <w:rFonts w:ascii="Calibri" w:hAnsi="Calibri"/>
                <w:color w:val="334155"/>
                <w:sz w:val="17"/>
              </w:rPr>
              <w:t>Ing. Especialista TIC</w:t>
              <w:br/>
              <w:t>Arquitectura de Software</w:t>
            </w:r>
          </w:p>
        </w:tc>
        <w:tc>
          <w:tcPr>
            <w:tcW w:type="dxa" w:w="1728"/>
            <w:shd w:fill="FFFFFF"/>
            <w:tcMar>
              <w:top w:w="100" w:type="dxa"/>
              <w:bottom w:w="100" w:type="dxa"/>
              <w:left w:w="140" w:type="dxa"/>
              <w:right w:w="140" w:type="dxa"/>
            </w:tcMar>
          </w:tcPr>
          <w:p>
            <w:r>
              <w:rPr>
                <w:rFonts w:ascii="Calibri" w:hAnsi="Calibri"/>
                <w:color w:val="334155"/>
                <w:sz w:val="17"/>
              </w:rPr>
              <w:t>Dirección de Planeación y TIC</w:t>
            </w:r>
          </w:p>
        </w:tc>
        <w:tc>
          <w:tcPr>
            <w:tcW w:type="dxa" w:w="2304"/>
            <w:shd w:fill="FFFFFF"/>
            <w:tcMar>
              <w:top w:w="100" w:type="dxa"/>
              <w:bottom w:w="100" w:type="dxa"/>
              <w:left w:w="140" w:type="dxa"/>
              <w:right w:w="140" w:type="dxa"/>
            </w:tcMar>
          </w:tcPr>
          <w:p>
            <w:r>
              <w:rPr>
                <w:rFonts w:ascii="Calibri" w:hAnsi="Calibri"/>
                <w:color w:val="334155"/>
                <w:sz w:val="17"/>
              </w:rPr>
              <w:t>Documento integral consolidado: Arquitectura Backend desglosada por carpetas (config, middleware, routes, controllers, services, models, validators, utils, jobs), Frontend (React 19) y Manual de Usuario de 35 vistas.</w:t>
            </w:r>
          </w:p>
        </w:tc>
        <w:tc>
          <w:tcPr>
            <w:tcW w:type="dxa" w:w="1440"/>
            <w:shd w:fill="FFFFFF"/>
            <w:tcMar>
              <w:top w:w="100" w:type="dxa"/>
              <w:bottom w:w="100" w:type="dxa"/>
              <w:left w:w="140" w:type="dxa"/>
              <w:right w:w="140" w:type="dxa"/>
            </w:tcMar>
          </w:tcPr>
          <w:p>
            <w:r>
              <w:rPr>
                <w:rFonts w:ascii="Calibri" w:hAnsi="Calibri"/>
                <w:color w:val="334155"/>
                <w:sz w:val="17"/>
              </w:rPr>
              <w:t>Dirección TIC /</w:t>
              <w:br/>
              <w:t>Rectoría</w:t>
            </w:r>
          </w:p>
        </w:tc>
      </w:tr>
    </w:tbl>
    <w:p>
      <w:pPr>
        <w:spacing w:after="280"/>
      </w:pPr>
    </w:p>
    <w:tbl>
      <w:tblPr>
        <w:tblW w:type="auto" w:w="0"/>
        <w:jc w:val="center"/>
        <w:tblLook w:firstColumn="1" w:firstRow="1" w:lastColumn="0" w:lastRow="0" w:noHBand="0" w:noVBand="1" w:val="04A0"/>
      </w:tblPr>
      <w:tblGrid>
        <w:gridCol w:w="3120"/>
        <w:gridCol w:w="3120"/>
        <w:gridCol w:w="3120"/>
      </w:tblGrid>
      <w:tr>
        <w:tc>
          <w:tcPr>
            <w:tcW w:type="dxa" w:w="3110"/>
            <w:shd w:fill="F1F5F9"/>
            <w:tcMar>
              <w:top w:w="100" w:type="dxa"/>
              <w:bottom w:w="100" w:type="dxa"/>
              <w:left w:w="120" w:type="dxa"/>
              <w:right w:w="120" w:type="dxa"/>
            </w:tcMar>
          </w:tcPr>
          <w:p>
            <w:r>
              <w:rPr>
                <w:b/>
                <w:color w:val="001F3F"/>
                <w:sz w:val="18"/>
              </w:rPr>
              <w:t>Elaboró / Modificó:</w:t>
            </w:r>
          </w:p>
        </w:tc>
        <w:tc>
          <w:tcPr>
            <w:tcW w:type="dxa" w:w="3110"/>
            <w:shd w:fill="F1F5F9"/>
            <w:tcMar>
              <w:top w:w="100" w:type="dxa"/>
              <w:bottom w:w="100" w:type="dxa"/>
              <w:left w:w="120" w:type="dxa"/>
              <w:right w:w="120" w:type="dxa"/>
            </w:tcMar>
          </w:tcPr>
          <w:p>
            <w:r>
              <w:rPr>
                <w:b/>
                <w:color w:val="001F3F"/>
                <w:sz w:val="18"/>
              </w:rPr>
              <w:t>Revisó:</w:t>
            </w:r>
          </w:p>
        </w:tc>
        <w:tc>
          <w:tcPr>
            <w:tcW w:type="dxa" w:w="3110"/>
            <w:shd w:fill="F1F5F9"/>
            <w:tcMar>
              <w:top w:w="100" w:type="dxa"/>
              <w:bottom w:w="100" w:type="dxa"/>
              <w:left w:w="120" w:type="dxa"/>
              <w:right w:w="120" w:type="dxa"/>
            </w:tcMar>
          </w:tcPr>
          <w:p>
            <w:r>
              <w:rPr>
                <w:b/>
                <w:color w:val="001F3F"/>
                <w:sz w:val="18"/>
              </w:rPr>
              <w:t>Aprobó:</w:t>
            </w:r>
          </w:p>
        </w:tc>
      </w:tr>
      <w:tr>
        <w:tc>
          <w:tcPr>
            <w:tcW w:type="dxa" w:w="3110"/>
            <w:shd w:fill="FFFFFF"/>
            <w:tcMar>
              <w:top w:w="100" w:type="dxa"/>
              <w:bottom w:w="100" w:type="dxa"/>
              <w:left w:w="120" w:type="dxa"/>
              <w:right w:w="120" w:type="dxa"/>
            </w:tcMar>
          </w:tcPr>
          <w:p>
            <w:r>
              <w:rPr>
                <w:color w:val="334155"/>
                <w:sz w:val="17"/>
              </w:rPr>
              <w:t>Ing. Especialista TIC</w:t>
              <w:br/>
              <w:t>Líder de Desarrollo Full Stack</w:t>
              <w:br/>
              <w:t>Dirección TIC</w:t>
              <w:br/>
              <w:t>Fecha: 28 de septiembre de 2026</w:t>
            </w:r>
          </w:p>
        </w:tc>
        <w:tc>
          <w:tcPr>
            <w:tcW w:type="dxa" w:w="3110"/>
            <w:shd w:fill="FFFFFF"/>
            <w:tcMar>
              <w:top w:w="100" w:type="dxa"/>
              <w:bottom w:w="100" w:type="dxa"/>
              <w:left w:w="120" w:type="dxa"/>
              <w:right w:w="120" w:type="dxa"/>
            </w:tcMar>
          </w:tcPr>
          <w:p>
            <w:r>
              <w:rPr>
                <w:color w:val="334155"/>
                <w:sz w:val="17"/>
              </w:rPr>
              <w:t>Directora de Planeación y TIC</w:t>
              <w:br/>
              <w:t>Dirección de Planeación (E)</w:t>
              <w:br/>
              <w:t>Institución / Organización</w:t>
              <w:br/>
              <w:t>Fecha: 28 de septiembre de 2026</w:t>
            </w:r>
          </w:p>
        </w:tc>
        <w:tc>
          <w:tcPr>
            <w:tcW w:type="dxa" w:w="3110"/>
            <w:shd w:fill="FFFFFF"/>
            <w:tcMar>
              <w:top w:w="100" w:type="dxa"/>
              <w:bottom w:w="100" w:type="dxa"/>
              <w:left w:w="120" w:type="dxa"/>
              <w:right w:w="120" w:type="dxa"/>
            </w:tcMar>
          </w:tcPr>
          <w:p>
            <w:r>
              <w:rPr>
                <w:color w:val="334155"/>
                <w:sz w:val="17"/>
              </w:rPr>
              <w:t>Dirección General / Rectoría</w:t>
              <w:br/>
              <w:t>Dirección Ejecutiva Institucional</w:t>
              <w:br/>
              <w:t>Institución / Organización</w:t>
              <w:br/>
              <w:t>Fecha: 28 de septiembre de 2026</w:t>
            </w:r>
          </w:p>
        </w:tc>
      </w:tr>
    </w:tbl>
    <w:p>
      <w:r>
        <w:br w:type="page"/>
      </w:r>
    </w:p>
    <w:p>
      <w:pPr>
        <w:pStyle w:val="Heading1"/>
      </w:pPr>
      <w:r>
        <w:t>Introducción</w:t>
      </w:r>
    </w:p>
    <w:p>
      <w:r>
        <w:t>El aplicativo de Gestión y Emisión de Carnets Digitales (Carnet Digital) ha sido desarrollado para modernizar, agilizar y garantizar la trazabilidad en la identificación corporativa e institucional de colaboradores, estudiantes, visitantes y contratistas, asegurando el cumplimiento de las políticas de seguridad de la información y la normativa de protección de datos personales.</w:t>
      </w:r>
    </w:p>
    <w:p>
      <w:r>
        <w:t>Este manual unificado reúne la documentación técnica completa del sistema. En la Parte 1 se detalla minuciosamente la arquitectura del backend desglosada por cada una de sus carpetas y componentes (config, middleware, routes, controllers, services, models, validators, utils, helpers y jobs). En la Parte 2 se aborda la arquitectura del frontend en React 19 y su motor Canvas, mientras que la Parte 3 contiene el manual operativo paso a paso ilustrado con 35 figuras recortadas.</w:t>
      </w:r>
    </w:p>
    <w:p>
      <w:pPr>
        <w:pStyle w:val="Heading2"/>
      </w:pPr>
      <w:r>
        <w:t>Contenido y mapa del documento</w:t>
      </w:r>
    </w:p>
    <w:tbl>
      <w:tblPr>
        <w:tblW w:type="auto" w:w="0"/>
        <w:jc w:val="center"/>
        <w:tblLook w:firstColumn="1" w:firstRow="1" w:lastColumn="0" w:lastRow="0" w:noHBand="0" w:noVBand="1" w:val="04A0"/>
      </w:tblPr>
      <w:tblGrid>
        <w:gridCol w:w="3120"/>
        <w:gridCol w:w="3120"/>
        <w:gridCol w:w="3120"/>
      </w:tblGrid>
      <w:tr>
        <w:tc>
          <w:tcPr>
            <w:tcW w:type="dxa" w:w="1440"/>
            <w:shd w:fill="001F3F"/>
            <w:tcMar>
              <w:top w:w="120" w:type="dxa"/>
              <w:bottom w:w="120" w:type="dxa"/>
              <w:left w:w="140" w:type="dxa"/>
              <w:right w:w="140" w:type="dxa"/>
            </w:tcMar>
          </w:tcPr>
          <w:p>
            <w:pPr>
              <w:jc w:val="left"/>
            </w:pPr>
            <w:r>
              <w:rPr>
                <w:rFonts w:ascii="Calibri" w:hAnsi="Calibri"/>
                <w:b/>
                <w:color w:val="FFFFFF"/>
                <w:sz w:val="18"/>
              </w:rPr>
              <w:t>Fase / Parte</w:t>
            </w:r>
          </w:p>
        </w:tc>
        <w:tc>
          <w:tcPr>
            <w:tcW w:type="dxa" w:w="5472"/>
            <w:shd w:fill="001F3F"/>
            <w:tcMar>
              <w:top w:w="120" w:type="dxa"/>
              <w:bottom w:w="120" w:type="dxa"/>
              <w:left w:w="140" w:type="dxa"/>
              <w:right w:w="140" w:type="dxa"/>
            </w:tcMar>
          </w:tcPr>
          <w:p>
            <w:pPr>
              <w:jc w:val="left"/>
            </w:pPr>
            <w:r>
              <w:rPr>
                <w:rFonts w:ascii="Calibri" w:hAnsi="Calibri"/>
                <w:b/>
                <w:color w:val="FFFFFF"/>
                <w:sz w:val="18"/>
              </w:rPr>
              <w:t>Materia técnica y temática</w:t>
            </w:r>
          </w:p>
        </w:tc>
        <w:tc>
          <w:tcPr>
            <w:tcW w:type="dxa" w:w="2448"/>
            <w:shd w:fill="001F3F"/>
            <w:tcMar>
              <w:top w:w="120" w:type="dxa"/>
              <w:bottom w:w="120" w:type="dxa"/>
              <w:left w:w="140" w:type="dxa"/>
              <w:right w:w="140" w:type="dxa"/>
            </w:tcMar>
          </w:tcPr>
          <w:p>
            <w:pPr>
              <w:jc w:val="left"/>
            </w:pPr>
            <w:r>
              <w:rPr>
                <w:rFonts w:ascii="Calibri" w:hAnsi="Calibri"/>
                <w:b/>
                <w:color w:val="FFFFFF"/>
                <w:sz w:val="18"/>
              </w:rPr>
              <w:t>Público destinatario</w:t>
            </w:r>
          </w:p>
        </w:tc>
      </w:tr>
      <w:tr>
        <w:tc>
          <w:tcPr>
            <w:tcW w:type="dxa" w:w="1440"/>
            <w:shd w:fill="FFFFFF"/>
            <w:tcMar>
              <w:top w:w="100" w:type="dxa"/>
              <w:bottom w:w="100" w:type="dxa"/>
              <w:left w:w="140" w:type="dxa"/>
              <w:right w:w="140" w:type="dxa"/>
            </w:tcMar>
          </w:tcPr>
          <w:p>
            <w:r>
              <w:rPr>
                <w:rFonts w:ascii="Calibri" w:hAnsi="Calibri"/>
                <w:color w:val="334155"/>
                <w:sz w:val="17"/>
              </w:rPr>
              <w:t>Parte 1</w:t>
            </w:r>
          </w:p>
        </w:tc>
        <w:tc>
          <w:tcPr>
            <w:tcW w:type="dxa" w:w="5472"/>
            <w:shd w:fill="FFFFFF"/>
            <w:tcMar>
              <w:top w:w="100" w:type="dxa"/>
              <w:bottom w:w="100" w:type="dxa"/>
              <w:left w:w="140" w:type="dxa"/>
              <w:right w:w="140" w:type="dxa"/>
            </w:tcMar>
          </w:tcPr>
          <w:p>
            <w:r>
              <w:rPr>
                <w:rFonts w:ascii="Calibri" w:hAnsi="Calibri"/>
                <w:color w:val="334155"/>
                <w:sz w:val="17"/>
              </w:rPr>
              <w:t>Arquitectura del Backend: Explicación exhaustiva por carpetas (config, middleware, routes, controllers, services, models, validators, utils, jobs) y catálogo REST</w:t>
            </w:r>
          </w:p>
        </w:tc>
        <w:tc>
          <w:tcPr>
            <w:tcW w:type="dxa" w:w="2448"/>
            <w:shd w:fill="FFFFFF"/>
            <w:tcMar>
              <w:top w:w="100" w:type="dxa"/>
              <w:bottom w:w="100" w:type="dxa"/>
              <w:left w:w="140" w:type="dxa"/>
              <w:right w:w="140" w:type="dxa"/>
            </w:tcMar>
          </w:tcPr>
          <w:p>
            <w:r>
              <w:rPr>
                <w:rFonts w:ascii="Calibri" w:hAnsi="Calibri"/>
                <w:color w:val="334155"/>
                <w:sz w:val="17"/>
              </w:rPr>
              <w:t>Arquitectos de software, ingenieros backend y DBAs</w:t>
            </w:r>
          </w:p>
        </w:tc>
      </w:tr>
      <w:tr>
        <w:tc>
          <w:tcPr>
            <w:tcW w:type="dxa" w:w="1440"/>
            <w:shd w:fill="F8FAFC"/>
            <w:tcMar>
              <w:top w:w="100" w:type="dxa"/>
              <w:bottom w:w="100" w:type="dxa"/>
              <w:left w:w="140" w:type="dxa"/>
              <w:right w:w="140" w:type="dxa"/>
            </w:tcMar>
          </w:tcPr>
          <w:p>
            <w:r>
              <w:rPr>
                <w:rFonts w:ascii="Calibri" w:hAnsi="Calibri"/>
                <w:color w:val="334155"/>
                <w:sz w:val="17"/>
              </w:rPr>
              <w:t>Parte 2</w:t>
            </w:r>
          </w:p>
        </w:tc>
        <w:tc>
          <w:tcPr>
            <w:tcW w:type="dxa" w:w="5472"/>
            <w:shd w:fill="F8FAFC"/>
            <w:tcMar>
              <w:top w:w="100" w:type="dxa"/>
              <w:bottom w:w="100" w:type="dxa"/>
              <w:left w:w="140" w:type="dxa"/>
              <w:right w:w="140" w:type="dxa"/>
            </w:tcMar>
          </w:tcPr>
          <w:p>
            <w:r>
              <w:rPr>
                <w:rFonts w:ascii="Calibri" w:hAnsi="Calibri"/>
                <w:color w:val="334155"/>
                <w:sz w:val="17"/>
              </w:rPr>
              <w:t>Arquitectura del Frontend: React 19, Vite, Canvas API, enrutamiento y servicios</w:t>
            </w:r>
          </w:p>
        </w:tc>
        <w:tc>
          <w:tcPr>
            <w:tcW w:type="dxa" w:w="2448"/>
            <w:shd w:fill="F8FAFC"/>
            <w:tcMar>
              <w:top w:w="100" w:type="dxa"/>
              <w:bottom w:w="100" w:type="dxa"/>
              <w:left w:w="140" w:type="dxa"/>
              <w:right w:w="140" w:type="dxa"/>
            </w:tcMar>
          </w:tcPr>
          <w:p>
            <w:r>
              <w:rPr>
                <w:rFonts w:ascii="Calibri" w:hAnsi="Calibri"/>
                <w:color w:val="334155"/>
                <w:sz w:val="17"/>
              </w:rPr>
              <w:t>Líderes de frontend, diseñadores UI/UX y analistas QA</w:t>
            </w:r>
          </w:p>
        </w:tc>
      </w:tr>
      <w:tr>
        <w:tc>
          <w:tcPr>
            <w:tcW w:type="dxa" w:w="1440"/>
            <w:shd w:fill="FFFFFF"/>
            <w:tcMar>
              <w:top w:w="100" w:type="dxa"/>
              <w:bottom w:w="100" w:type="dxa"/>
              <w:left w:w="140" w:type="dxa"/>
              <w:right w:w="140" w:type="dxa"/>
            </w:tcMar>
          </w:tcPr>
          <w:p>
            <w:r>
              <w:rPr>
                <w:rFonts w:ascii="Calibri" w:hAnsi="Calibri"/>
                <w:color w:val="334155"/>
                <w:sz w:val="17"/>
              </w:rPr>
              <w:t>Parte 3</w:t>
            </w:r>
          </w:p>
        </w:tc>
        <w:tc>
          <w:tcPr>
            <w:tcW w:type="dxa" w:w="5472"/>
            <w:shd w:fill="FFFFFF"/>
            <w:tcMar>
              <w:top w:w="100" w:type="dxa"/>
              <w:bottom w:w="100" w:type="dxa"/>
              <w:left w:w="140" w:type="dxa"/>
              <w:right w:w="140" w:type="dxa"/>
            </w:tcMar>
          </w:tcPr>
          <w:p>
            <w:r>
              <w:rPr>
                <w:rFonts w:ascii="Calibri" w:hAnsi="Calibri"/>
                <w:color w:val="334155"/>
                <w:sz w:val="17"/>
              </w:rPr>
              <w:t>Manual de Usuario e Instructivo Paso a Paso (35 pantallas y modales explicados)</w:t>
            </w:r>
          </w:p>
        </w:tc>
        <w:tc>
          <w:tcPr>
            <w:tcW w:type="dxa" w:w="2448"/>
            <w:shd w:fill="FFFFFF"/>
            <w:tcMar>
              <w:top w:w="100" w:type="dxa"/>
              <w:bottom w:w="100" w:type="dxa"/>
              <w:left w:w="140" w:type="dxa"/>
              <w:right w:w="140" w:type="dxa"/>
            </w:tcMar>
          </w:tcPr>
          <w:p>
            <w:r>
              <w:rPr>
                <w:rFonts w:ascii="Calibri" w:hAnsi="Calibri"/>
                <w:color w:val="334155"/>
                <w:sz w:val="17"/>
              </w:rPr>
              <w:t>Administradores de talento humano, directores y operadores</w:t>
            </w:r>
          </w:p>
        </w:tc>
      </w:tr>
      <w:tr>
        <w:tc>
          <w:tcPr>
            <w:tcW w:type="dxa" w:w="1440"/>
            <w:shd w:fill="F8FAFC"/>
            <w:tcMar>
              <w:top w:w="100" w:type="dxa"/>
              <w:bottom w:w="100" w:type="dxa"/>
              <w:left w:w="140" w:type="dxa"/>
              <w:right w:w="140" w:type="dxa"/>
            </w:tcMar>
          </w:tcPr>
          <w:p>
            <w:r>
              <w:rPr>
                <w:rFonts w:ascii="Calibri" w:hAnsi="Calibri"/>
                <w:color w:val="334155"/>
                <w:sz w:val="17"/>
              </w:rPr>
              <w:t>Anexo</w:t>
            </w:r>
          </w:p>
        </w:tc>
        <w:tc>
          <w:tcPr>
            <w:tcW w:type="dxa" w:w="5472"/>
            <w:shd w:fill="F8FAFC"/>
            <w:tcMar>
              <w:top w:w="100" w:type="dxa"/>
              <w:bottom w:w="100" w:type="dxa"/>
              <w:left w:w="140" w:type="dxa"/>
              <w:right w:w="140" w:type="dxa"/>
            </w:tcMar>
          </w:tcPr>
          <w:p>
            <w:r>
              <w:rPr>
                <w:rFonts w:ascii="Calibri" w:hAnsi="Calibri"/>
                <w:color w:val="334155"/>
                <w:sz w:val="17"/>
              </w:rPr>
              <w:t>Preguntas frecuentes (FAQ) y protocolo de resolución de incidentes</w:t>
            </w:r>
          </w:p>
        </w:tc>
        <w:tc>
          <w:tcPr>
            <w:tcW w:type="dxa" w:w="2448"/>
            <w:shd w:fill="F8FAFC"/>
            <w:tcMar>
              <w:top w:w="100" w:type="dxa"/>
              <w:bottom w:w="100" w:type="dxa"/>
              <w:left w:w="140" w:type="dxa"/>
              <w:right w:w="140" w:type="dxa"/>
            </w:tcMar>
          </w:tcPr>
          <w:p>
            <w:r>
              <w:rPr>
                <w:rFonts w:ascii="Calibri" w:hAnsi="Calibri"/>
                <w:color w:val="334155"/>
                <w:sz w:val="17"/>
              </w:rPr>
              <w:t>Mesa de ayuda y equipo de soporte técnico</w:t>
            </w:r>
          </w:p>
        </w:tc>
      </w:tr>
    </w:tbl>
    <w:p>
      <w:r>
        <w:br w:type="page"/>
      </w:r>
    </w:p>
    <w:p>
      <w:pPr>
        <w:pStyle w:val="Heading1"/>
      </w:pPr>
      <w:r>
        <w:t>Parte 1. Arquitectura técnica del backend</w:t>
      </w:r>
    </w:p>
    <w:p>
      <w:pPr>
        <w:pStyle w:val="Heading2"/>
      </w:pPr>
      <w:r>
        <w:t>1.1 Visión arquitectónica y topología general de carpetas</w:t>
      </w:r>
    </w:p>
    <w:p>
      <w:r>
        <w:t>El backend de Carnet Digital está implementado en Node.js (v20+ LTS) con Express 5 y Sequelize ORM sobre MySQL. El código fuente en `src/` implementa una arquitectura en capas estrictamente desacoplada, donde cada carpeta asume un rol único en el flujo de procesamiento de cada solicitud:</w:t>
      </w:r>
    </w:p>
    <w:tbl>
      <w:tblPr>
        <w:tblW w:type="auto" w:w="0"/>
        <w:jc w:val="center"/>
        <w:tblLook w:firstColumn="1" w:firstRow="1" w:lastColumn="0" w:lastRow="0" w:noHBand="0" w:noVBand="1" w:val="04A0"/>
      </w:tblPr>
      <w:tblGrid>
        <w:gridCol w:w="3120"/>
        <w:gridCol w:w="3120"/>
        <w:gridCol w:w="3120"/>
      </w:tblGrid>
      <w:tr>
        <w:tc>
          <w:tcPr>
            <w:tcW w:type="dxa" w:w="2160"/>
            <w:shd w:fill="001F3F"/>
            <w:tcMar>
              <w:top w:w="120" w:type="dxa"/>
              <w:bottom w:w="120" w:type="dxa"/>
              <w:left w:w="140" w:type="dxa"/>
              <w:right w:w="140" w:type="dxa"/>
            </w:tcMar>
          </w:tcPr>
          <w:p>
            <w:pPr>
              <w:jc w:val="left"/>
            </w:pPr>
            <w:r>
              <w:rPr>
                <w:rFonts w:ascii="Calibri" w:hAnsi="Calibri"/>
                <w:b/>
                <w:color w:val="FFFFFF"/>
                <w:sz w:val="18"/>
              </w:rPr>
              <w:t>Carpeta en src/</w:t>
            </w:r>
          </w:p>
        </w:tc>
        <w:tc>
          <w:tcPr>
            <w:tcW w:type="dxa" w:w="3312"/>
            <w:shd w:fill="001F3F"/>
            <w:tcMar>
              <w:top w:w="120" w:type="dxa"/>
              <w:bottom w:w="120" w:type="dxa"/>
              <w:left w:w="140" w:type="dxa"/>
              <w:right w:w="140" w:type="dxa"/>
            </w:tcMar>
          </w:tcPr>
          <w:p>
            <w:pPr>
              <w:jc w:val="left"/>
            </w:pPr>
            <w:r>
              <w:rPr>
                <w:rFonts w:ascii="Calibri" w:hAnsi="Calibri"/>
                <w:b/>
                <w:color w:val="FFFFFF"/>
                <w:sz w:val="18"/>
              </w:rPr>
              <w:t>Responsabilidad arquitectónica</w:t>
            </w:r>
          </w:p>
        </w:tc>
        <w:tc>
          <w:tcPr>
            <w:tcW w:type="dxa" w:w="3888"/>
            <w:shd w:fill="001F3F"/>
            <w:tcMar>
              <w:top w:w="120" w:type="dxa"/>
              <w:bottom w:w="120" w:type="dxa"/>
              <w:left w:w="140" w:type="dxa"/>
              <w:right w:w="140" w:type="dxa"/>
            </w:tcMar>
          </w:tcPr>
          <w:p>
            <w:pPr>
              <w:jc w:val="left"/>
            </w:pPr>
            <w:r>
              <w:rPr>
                <w:rFonts w:ascii="Calibri" w:hAnsi="Calibri"/>
                <w:b/>
                <w:color w:val="FFFFFF"/>
                <w:sz w:val="18"/>
              </w:rPr>
              <w:t>Archivos y módulos clave</w:t>
            </w:r>
          </w:p>
        </w:tc>
      </w:tr>
      <w:tr>
        <w:tc>
          <w:tcPr>
            <w:tcW w:type="dxa" w:w="2160"/>
            <w:shd w:fill="FFFFFF"/>
            <w:tcMar>
              <w:top w:w="100" w:type="dxa"/>
              <w:bottom w:w="100" w:type="dxa"/>
              <w:left w:w="140" w:type="dxa"/>
              <w:right w:w="140" w:type="dxa"/>
            </w:tcMar>
          </w:tcPr>
          <w:p>
            <w:r>
              <w:rPr>
                <w:rFonts w:ascii="Calibri" w:hAnsi="Calibri"/>
                <w:color w:val="334155"/>
                <w:sz w:val="17"/>
              </w:rPr>
              <w:t>src/config/</w:t>
            </w:r>
          </w:p>
        </w:tc>
        <w:tc>
          <w:tcPr>
            <w:tcW w:type="dxa" w:w="3312"/>
            <w:shd w:fill="FFFFFF"/>
            <w:tcMar>
              <w:top w:w="100" w:type="dxa"/>
              <w:bottom w:w="100" w:type="dxa"/>
              <w:left w:w="140" w:type="dxa"/>
              <w:right w:w="140" w:type="dxa"/>
            </w:tcMar>
          </w:tcPr>
          <w:p>
            <w:r>
              <w:rPr>
                <w:rFonts w:ascii="Calibri" w:hAnsi="Calibri"/>
                <w:color w:val="334155"/>
                <w:sz w:val="17"/>
              </w:rPr>
              <w:t>Conexión a base de datos y pooling de conexiones.</w:t>
            </w:r>
          </w:p>
        </w:tc>
        <w:tc>
          <w:tcPr>
            <w:tcW w:type="dxa" w:w="3888"/>
            <w:shd w:fill="FFFFFF"/>
            <w:tcMar>
              <w:top w:w="100" w:type="dxa"/>
              <w:bottom w:w="100" w:type="dxa"/>
              <w:left w:w="140" w:type="dxa"/>
              <w:right w:w="140" w:type="dxa"/>
            </w:tcMar>
          </w:tcPr>
          <w:p>
            <w:r>
              <w:rPr>
                <w:rFonts w:ascii="Calibri" w:hAnsi="Calibri"/>
                <w:color w:val="334155"/>
                <w:sz w:val="17"/>
              </w:rPr>
              <w:t>database.js</w:t>
            </w:r>
          </w:p>
        </w:tc>
      </w:tr>
      <w:tr>
        <w:tc>
          <w:tcPr>
            <w:tcW w:type="dxa" w:w="2160"/>
            <w:shd w:fill="F8FAFC"/>
            <w:tcMar>
              <w:top w:w="100" w:type="dxa"/>
              <w:bottom w:w="100" w:type="dxa"/>
              <w:left w:w="140" w:type="dxa"/>
              <w:right w:w="140" w:type="dxa"/>
            </w:tcMar>
          </w:tcPr>
          <w:p>
            <w:r>
              <w:rPr>
                <w:rFonts w:ascii="Calibri" w:hAnsi="Calibri"/>
                <w:color w:val="334155"/>
                <w:sz w:val="17"/>
              </w:rPr>
              <w:t>src/middleware/</w:t>
            </w:r>
          </w:p>
        </w:tc>
        <w:tc>
          <w:tcPr>
            <w:tcW w:type="dxa" w:w="3312"/>
            <w:shd w:fill="F8FAFC"/>
            <w:tcMar>
              <w:top w:w="100" w:type="dxa"/>
              <w:bottom w:w="100" w:type="dxa"/>
              <w:left w:w="140" w:type="dxa"/>
              <w:right w:w="140" w:type="dxa"/>
            </w:tcMar>
          </w:tcPr>
          <w:p>
            <w:r>
              <w:rPr>
                <w:rFonts w:ascii="Calibri" w:hAnsi="Calibri"/>
                <w:color w:val="334155"/>
                <w:sz w:val="17"/>
              </w:rPr>
              <w:t>Seguridad perimetral, autenticación JWT, contexto y captura de errores.</w:t>
            </w:r>
          </w:p>
        </w:tc>
        <w:tc>
          <w:tcPr>
            <w:tcW w:type="dxa" w:w="3888"/>
            <w:shd w:fill="F8FAFC"/>
            <w:tcMar>
              <w:top w:w="100" w:type="dxa"/>
              <w:bottom w:w="100" w:type="dxa"/>
              <w:left w:w="140" w:type="dxa"/>
              <w:right w:w="140" w:type="dxa"/>
            </w:tcMar>
          </w:tcPr>
          <w:p>
            <w:r>
              <w:rPr>
                <w:rFonts w:ascii="Calibri" w:hAnsi="Calibri"/>
                <w:color w:val="334155"/>
                <w:sz w:val="17"/>
              </w:rPr>
              <w:t>authMiddleware.js, contextMiddleware.js, errorMiddleware.js, validateMiddleware.js, uploadMiddleware.js</w:t>
            </w:r>
          </w:p>
        </w:tc>
      </w:tr>
      <w:tr>
        <w:tc>
          <w:tcPr>
            <w:tcW w:type="dxa" w:w="2160"/>
            <w:shd w:fill="FFFFFF"/>
            <w:tcMar>
              <w:top w:w="100" w:type="dxa"/>
              <w:bottom w:w="100" w:type="dxa"/>
              <w:left w:w="140" w:type="dxa"/>
              <w:right w:w="140" w:type="dxa"/>
            </w:tcMar>
          </w:tcPr>
          <w:p>
            <w:r>
              <w:rPr>
                <w:rFonts w:ascii="Calibri" w:hAnsi="Calibri"/>
                <w:color w:val="334155"/>
                <w:sz w:val="17"/>
              </w:rPr>
              <w:t>src/routes/</w:t>
            </w:r>
          </w:p>
        </w:tc>
        <w:tc>
          <w:tcPr>
            <w:tcW w:type="dxa" w:w="3312"/>
            <w:shd w:fill="FFFFFF"/>
            <w:tcMar>
              <w:top w:w="100" w:type="dxa"/>
              <w:bottom w:w="100" w:type="dxa"/>
              <w:left w:w="140" w:type="dxa"/>
              <w:right w:w="140" w:type="dxa"/>
            </w:tcMar>
          </w:tcPr>
          <w:p>
            <w:r>
              <w:rPr>
                <w:rFonts w:ascii="Calibri" w:hAnsi="Calibri"/>
                <w:color w:val="334155"/>
                <w:sz w:val="17"/>
              </w:rPr>
              <w:t>Enrutamiento modular, mapeo de rutas HTTP y vinculación de middlewares.</w:t>
            </w:r>
          </w:p>
        </w:tc>
        <w:tc>
          <w:tcPr>
            <w:tcW w:type="dxa" w:w="3888"/>
            <w:shd w:fill="FFFFFF"/>
            <w:tcMar>
              <w:top w:w="100" w:type="dxa"/>
              <w:bottom w:w="100" w:type="dxa"/>
              <w:left w:w="140" w:type="dxa"/>
              <w:right w:w="140" w:type="dxa"/>
            </w:tcMar>
          </w:tcPr>
          <w:p>
            <w:r>
              <w:rPr>
                <w:rFonts w:ascii="Calibri" w:hAnsi="Calibri"/>
                <w:color w:val="334155"/>
                <w:sz w:val="17"/>
              </w:rPr>
              <w:t>index.js, authRoutes.js, companyRoutes.js, carnetRoutes.js, subscriptionRoutes.js</w:t>
            </w:r>
          </w:p>
        </w:tc>
      </w:tr>
      <w:tr>
        <w:tc>
          <w:tcPr>
            <w:tcW w:type="dxa" w:w="2160"/>
            <w:shd w:fill="F8FAFC"/>
            <w:tcMar>
              <w:top w:w="100" w:type="dxa"/>
              <w:bottom w:w="100" w:type="dxa"/>
              <w:left w:w="140" w:type="dxa"/>
              <w:right w:w="140" w:type="dxa"/>
            </w:tcMar>
          </w:tcPr>
          <w:p>
            <w:r>
              <w:rPr>
                <w:rFonts w:ascii="Calibri" w:hAnsi="Calibri"/>
                <w:color w:val="334155"/>
                <w:sz w:val="17"/>
              </w:rPr>
              <w:t>src/controllers/</w:t>
            </w:r>
          </w:p>
        </w:tc>
        <w:tc>
          <w:tcPr>
            <w:tcW w:type="dxa" w:w="3312"/>
            <w:shd w:fill="F8FAFC"/>
            <w:tcMar>
              <w:top w:w="100" w:type="dxa"/>
              <w:bottom w:w="100" w:type="dxa"/>
              <w:left w:w="140" w:type="dxa"/>
              <w:right w:w="140" w:type="dxa"/>
            </w:tcMar>
          </w:tcPr>
          <w:p>
            <w:r>
              <w:rPr>
                <w:rFonts w:ascii="Calibri" w:hAnsi="Calibri"/>
                <w:color w:val="334155"/>
                <w:sz w:val="17"/>
              </w:rPr>
              <w:t>Gestión de entrada HTTP, extracción de parámetros y emisión de respuestas.</w:t>
            </w:r>
          </w:p>
        </w:tc>
        <w:tc>
          <w:tcPr>
            <w:tcW w:type="dxa" w:w="3888"/>
            <w:shd w:fill="F8FAFC"/>
            <w:tcMar>
              <w:top w:w="100" w:type="dxa"/>
              <w:bottom w:w="100" w:type="dxa"/>
              <w:left w:w="140" w:type="dxa"/>
              <w:right w:w="140" w:type="dxa"/>
            </w:tcMar>
          </w:tcPr>
          <w:p>
            <w:r>
              <w:rPr>
                <w:rFonts w:ascii="Calibri" w:hAnsi="Calibri"/>
                <w:color w:val="334155"/>
                <w:sz w:val="17"/>
              </w:rPr>
              <w:t>authUnifiedController.js, companyCarnetController.js, companyUserController.js, webhookController.js</w:t>
            </w:r>
          </w:p>
        </w:tc>
      </w:tr>
      <w:tr>
        <w:tc>
          <w:tcPr>
            <w:tcW w:type="dxa" w:w="2160"/>
            <w:shd w:fill="FFFFFF"/>
            <w:tcMar>
              <w:top w:w="100" w:type="dxa"/>
              <w:bottom w:w="100" w:type="dxa"/>
              <w:left w:w="140" w:type="dxa"/>
              <w:right w:w="140" w:type="dxa"/>
            </w:tcMar>
          </w:tcPr>
          <w:p>
            <w:r>
              <w:rPr>
                <w:rFonts w:ascii="Calibri" w:hAnsi="Calibri"/>
                <w:color w:val="334155"/>
                <w:sz w:val="17"/>
              </w:rPr>
              <w:t>src/services/</w:t>
            </w:r>
          </w:p>
        </w:tc>
        <w:tc>
          <w:tcPr>
            <w:tcW w:type="dxa" w:w="3312"/>
            <w:shd w:fill="FFFFFF"/>
            <w:tcMar>
              <w:top w:w="100" w:type="dxa"/>
              <w:bottom w:w="100" w:type="dxa"/>
              <w:left w:w="140" w:type="dxa"/>
              <w:right w:w="140" w:type="dxa"/>
            </w:tcMar>
          </w:tcPr>
          <w:p>
            <w:r>
              <w:rPr>
                <w:rFonts w:ascii="Calibri" w:hAnsi="Calibri"/>
                <w:color w:val="334155"/>
                <w:sz w:val="17"/>
              </w:rPr>
              <w:t>Lógica de negocio pura, transacciones ACID y orquestación con APIs externas.</w:t>
            </w:r>
          </w:p>
        </w:tc>
        <w:tc>
          <w:tcPr>
            <w:tcW w:type="dxa" w:w="3888"/>
            <w:shd w:fill="FFFFFF"/>
            <w:tcMar>
              <w:top w:w="100" w:type="dxa"/>
              <w:bottom w:w="100" w:type="dxa"/>
              <w:left w:w="140" w:type="dxa"/>
              <w:right w:w="140" w:type="dxa"/>
            </w:tcMar>
          </w:tcPr>
          <w:p>
            <w:r>
              <w:rPr>
                <w:rFonts w:ascii="Calibri" w:hAnsi="Calibri"/>
                <w:color w:val="334155"/>
                <w:sz w:val="17"/>
              </w:rPr>
              <w:t>authService.js, companyCarnetService.js, mercadopagoService.js, planService.js</w:t>
            </w:r>
          </w:p>
        </w:tc>
      </w:tr>
      <w:tr>
        <w:tc>
          <w:tcPr>
            <w:tcW w:type="dxa" w:w="2160"/>
            <w:shd w:fill="F8FAFC"/>
            <w:tcMar>
              <w:top w:w="100" w:type="dxa"/>
              <w:bottom w:w="100" w:type="dxa"/>
              <w:left w:w="140" w:type="dxa"/>
              <w:right w:w="140" w:type="dxa"/>
            </w:tcMar>
          </w:tcPr>
          <w:p>
            <w:r>
              <w:rPr>
                <w:rFonts w:ascii="Calibri" w:hAnsi="Calibri"/>
                <w:color w:val="334155"/>
                <w:sz w:val="17"/>
              </w:rPr>
              <w:t>src/models/</w:t>
            </w:r>
          </w:p>
        </w:tc>
        <w:tc>
          <w:tcPr>
            <w:tcW w:type="dxa" w:w="3312"/>
            <w:shd w:fill="F8FAFC"/>
            <w:tcMar>
              <w:top w:w="100" w:type="dxa"/>
              <w:bottom w:w="100" w:type="dxa"/>
              <w:left w:w="140" w:type="dxa"/>
              <w:right w:w="140" w:type="dxa"/>
            </w:tcMar>
          </w:tcPr>
          <w:p>
            <w:r>
              <w:rPr>
                <w:rFonts w:ascii="Calibri" w:hAnsi="Calibri"/>
                <w:color w:val="334155"/>
                <w:sz w:val="17"/>
              </w:rPr>
              <w:t>Definición de modelos relacionales Sequelize (Core, Tenant y Sistema).</w:t>
            </w:r>
          </w:p>
        </w:tc>
        <w:tc>
          <w:tcPr>
            <w:tcW w:type="dxa" w:w="3888"/>
            <w:shd w:fill="F8FAFC"/>
            <w:tcMar>
              <w:top w:w="100" w:type="dxa"/>
              <w:bottom w:w="100" w:type="dxa"/>
              <w:left w:w="140" w:type="dxa"/>
              <w:right w:w="140" w:type="dxa"/>
            </w:tcMar>
          </w:tcPr>
          <w:p>
            <w:r>
              <w:rPr>
                <w:rFonts w:ascii="Calibri" w:hAnsi="Calibri"/>
                <w:color w:val="334155"/>
                <w:sz w:val="17"/>
              </w:rPr>
              <w:t>models/core/ (Company), models/tenant/ (Carnet, User, Area, Sede), models/ (Plans, Subs)</w:t>
            </w:r>
          </w:p>
        </w:tc>
      </w:tr>
      <w:tr>
        <w:tc>
          <w:tcPr>
            <w:tcW w:type="dxa" w:w="2160"/>
            <w:shd w:fill="FFFFFF"/>
            <w:tcMar>
              <w:top w:w="100" w:type="dxa"/>
              <w:bottom w:w="100" w:type="dxa"/>
              <w:left w:w="140" w:type="dxa"/>
              <w:right w:w="140" w:type="dxa"/>
            </w:tcMar>
          </w:tcPr>
          <w:p>
            <w:r>
              <w:rPr>
                <w:rFonts w:ascii="Calibri" w:hAnsi="Calibri"/>
                <w:color w:val="334155"/>
                <w:sz w:val="17"/>
              </w:rPr>
              <w:t>src/validators/</w:t>
            </w:r>
          </w:p>
        </w:tc>
        <w:tc>
          <w:tcPr>
            <w:tcW w:type="dxa" w:w="3312"/>
            <w:shd w:fill="FFFFFF"/>
            <w:tcMar>
              <w:top w:w="100" w:type="dxa"/>
              <w:bottom w:w="100" w:type="dxa"/>
              <w:left w:w="140" w:type="dxa"/>
              <w:right w:w="140" w:type="dxa"/>
            </w:tcMar>
          </w:tcPr>
          <w:p>
            <w:r>
              <w:rPr>
                <w:rFonts w:ascii="Calibri" w:hAnsi="Calibri"/>
                <w:color w:val="334155"/>
                <w:sz w:val="17"/>
              </w:rPr>
              <w:t>Esquemas declarativos de validación y sanitización con Joi.</w:t>
            </w:r>
          </w:p>
        </w:tc>
        <w:tc>
          <w:tcPr>
            <w:tcW w:type="dxa" w:w="3888"/>
            <w:shd w:fill="FFFFFF"/>
            <w:tcMar>
              <w:top w:w="100" w:type="dxa"/>
              <w:bottom w:w="100" w:type="dxa"/>
              <w:left w:w="140" w:type="dxa"/>
              <w:right w:w="140" w:type="dxa"/>
            </w:tcMar>
          </w:tcPr>
          <w:p>
            <w:r>
              <w:rPr>
                <w:rFonts w:ascii="Calibri" w:hAnsi="Calibri"/>
                <w:color w:val="334155"/>
                <w:sz w:val="17"/>
              </w:rPr>
              <w:t>authValidator.js, companyValidator.js, carnetValidator.js, planValidator.js</w:t>
            </w:r>
          </w:p>
        </w:tc>
      </w:tr>
      <w:tr>
        <w:tc>
          <w:tcPr>
            <w:tcW w:type="dxa" w:w="2160"/>
            <w:shd w:fill="F8FAFC"/>
            <w:tcMar>
              <w:top w:w="100" w:type="dxa"/>
              <w:bottom w:w="100" w:type="dxa"/>
              <w:left w:w="140" w:type="dxa"/>
              <w:right w:w="140" w:type="dxa"/>
            </w:tcMar>
          </w:tcPr>
          <w:p>
            <w:r>
              <w:rPr>
                <w:rFonts w:ascii="Calibri" w:hAnsi="Calibri"/>
                <w:color w:val="334155"/>
                <w:sz w:val="17"/>
              </w:rPr>
              <w:t>src/utils/</w:t>
            </w:r>
          </w:p>
        </w:tc>
        <w:tc>
          <w:tcPr>
            <w:tcW w:type="dxa" w:w="3312"/>
            <w:shd w:fill="F8FAFC"/>
            <w:tcMar>
              <w:top w:w="100" w:type="dxa"/>
              <w:bottom w:w="100" w:type="dxa"/>
              <w:left w:w="140" w:type="dxa"/>
              <w:right w:w="140" w:type="dxa"/>
            </w:tcMar>
          </w:tcPr>
          <w:p>
            <w:r>
              <w:rPr>
                <w:rFonts w:ascii="Calibri" w:hAnsi="Calibri"/>
                <w:color w:val="334155"/>
                <w:sz w:val="17"/>
              </w:rPr>
              <w:t>Herramientas transversales: límites de plan, contexto ALS, logging y caché.</w:t>
            </w:r>
          </w:p>
        </w:tc>
        <w:tc>
          <w:tcPr>
            <w:tcW w:type="dxa" w:w="3888"/>
            <w:shd w:fill="F8FAFC"/>
            <w:tcMar>
              <w:top w:w="100" w:type="dxa"/>
              <w:bottom w:w="100" w:type="dxa"/>
              <w:left w:w="140" w:type="dxa"/>
              <w:right w:w="140" w:type="dxa"/>
            </w:tcMar>
          </w:tcPr>
          <w:p>
            <w:r>
              <w:rPr>
                <w:rFonts w:ascii="Calibri" w:hAnsi="Calibri"/>
                <w:color w:val="334155"/>
                <w:sz w:val="17"/>
              </w:rPr>
              <w:t>planLimits.js, context.js, logger.js, cache.js, appError.js</w:t>
            </w:r>
          </w:p>
        </w:tc>
      </w:tr>
      <w:tr>
        <w:tc>
          <w:tcPr>
            <w:tcW w:type="dxa" w:w="2160"/>
            <w:shd w:fill="FFFFFF"/>
            <w:tcMar>
              <w:top w:w="100" w:type="dxa"/>
              <w:bottom w:w="100" w:type="dxa"/>
              <w:left w:w="140" w:type="dxa"/>
              <w:right w:w="140" w:type="dxa"/>
            </w:tcMar>
          </w:tcPr>
          <w:p>
            <w:r>
              <w:rPr>
                <w:rFonts w:ascii="Calibri" w:hAnsi="Calibri"/>
                <w:color w:val="334155"/>
                <w:sz w:val="17"/>
              </w:rPr>
              <w:t>src/helpers/</w:t>
            </w:r>
          </w:p>
        </w:tc>
        <w:tc>
          <w:tcPr>
            <w:tcW w:type="dxa" w:w="3312"/>
            <w:shd w:fill="FFFFFF"/>
            <w:tcMar>
              <w:top w:w="100" w:type="dxa"/>
              <w:bottom w:w="100" w:type="dxa"/>
              <w:left w:w="140" w:type="dxa"/>
              <w:right w:w="140" w:type="dxa"/>
            </w:tcMar>
          </w:tcPr>
          <w:p>
            <w:r>
              <w:rPr>
                <w:rFonts w:ascii="Calibri" w:hAnsi="Calibri"/>
                <w:color w:val="334155"/>
                <w:sz w:val="17"/>
              </w:rPr>
              <w:t>Siembra inicial de datos (Seeders) y envoltorios asíncronos.</w:t>
            </w:r>
          </w:p>
        </w:tc>
        <w:tc>
          <w:tcPr>
            <w:tcW w:type="dxa" w:w="3888"/>
            <w:shd w:fill="FFFFFF"/>
            <w:tcMar>
              <w:top w:w="100" w:type="dxa"/>
              <w:bottom w:w="100" w:type="dxa"/>
              <w:left w:w="140" w:type="dxa"/>
              <w:right w:w="140" w:type="dxa"/>
            </w:tcMar>
          </w:tcPr>
          <w:p>
            <w:r>
              <w:rPr>
                <w:rFonts w:ascii="Calibri" w:hAnsi="Calibri"/>
                <w:color w:val="334155"/>
                <w:sz w:val="17"/>
              </w:rPr>
              <w:t>initializeSystemData.js, asyncHandler.js</w:t>
            </w:r>
          </w:p>
        </w:tc>
      </w:tr>
      <w:tr>
        <w:tc>
          <w:tcPr>
            <w:tcW w:type="dxa" w:w="2160"/>
            <w:shd w:fill="F8FAFC"/>
            <w:tcMar>
              <w:top w:w="100" w:type="dxa"/>
              <w:bottom w:w="100" w:type="dxa"/>
              <w:left w:w="140" w:type="dxa"/>
              <w:right w:w="140" w:type="dxa"/>
            </w:tcMar>
          </w:tcPr>
          <w:p>
            <w:r>
              <w:rPr>
                <w:rFonts w:ascii="Calibri" w:hAnsi="Calibri"/>
                <w:color w:val="334155"/>
                <w:sz w:val="17"/>
              </w:rPr>
              <w:t>src/jobs/ &amp; workers/</w:t>
            </w:r>
          </w:p>
        </w:tc>
        <w:tc>
          <w:tcPr>
            <w:tcW w:type="dxa" w:w="3312"/>
            <w:shd w:fill="F8FAFC"/>
            <w:tcMar>
              <w:top w:w="100" w:type="dxa"/>
              <w:bottom w:w="100" w:type="dxa"/>
              <w:left w:w="140" w:type="dxa"/>
              <w:right w:w="140" w:type="dxa"/>
            </w:tcMar>
          </w:tcPr>
          <w:p>
            <w:r>
              <w:rPr>
                <w:rFonts w:ascii="Calibri" w:hAnsi="Calibri"/>
                <w:color w:val="334155"/>
                <w:sz w:val="17"/>
              </w:rPr>
              <w:t>Tareas programadas Cron y procesamiento en segundo plano.</w:t>
            </w:r>
          </w:p>
        </w:tc>
        <w:tc>
          <w:tcPr>
            <w:tcW w:type="dxa" w:w="3888"/>
            <w:shd w:fill="F8FAFC"/>
            <w:tcMar>
              <w:top w:w="100" w:type="dxa"/>
              <w:bottom w:w="100" w:type="dxa"/>
              <w:left w:w="140" w:type="dxa"/>
              <w:right w:w="140" w:type="dxa"/>
            </w:tcMar>
          </w:tcPr>
          <w:p>
            <w:r>
              <w:rPr>
                <w:rFonts w:ascii="Calibri" w:hAnsi="Calibri"/>
                <w:color w:val="334155"/>
                <w:sz w:val="17"/>
              </w:rPr>
              <w:t>subscriptionExpiryJob.js, billingWorker.js</w:t>
            </w:r>
          </w:p>
        </w:tc>
      </w:tr>
    </w:tbl>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before="40" w:after="40"/>
            </w:pPr>
            <w:r>
              <w:rPr>
                <w:b/>
                <w:color w:val="001F3F"/>
                <w:sz w:val="19"/>
              </w:rPr>
              <w:t xml:space="preserve">Nota técnica: </w:t>
            </w:r>
            <w:r>
              <w:rPr>
                <w:color w:val="334155"/>
                <w:sz w:val="19"/>
              </w:rPr>
              <w:t>La separación en capas garantiza que los controladores desconozcan la lógica SQL directa, delegándola en los servicios y modelos para facilitar pruebas y mantenimiento.</w:t>
            </w:r>
          </w:p>
        </w:tc>
      </w:tr>
    </w:tbl>
    <w:p>
      <w:pPr>
        <w:spacing w:after="80"/>
      </w:pPr>
    </w:p>
    <w:p>
      <w:pPr>
        <w:pStyle w:val="Heading2"/>
      </w:pPr>
      <w:r>
        <w:t>1.2 Carpeta src/config/ (Configuración y conexiones)</w:t>
      </w:r>
    </w:p>
    <w:p>
      <w:r>
        <w:t>La carpeta `src/config/` centraliza la inicialización de conexiones externas, especialmente la base de datos MySQL mediante Sequelize (`database.js`).</w:t>
        <w:br/>
        <w:br/>
        <w:t>• Conexión mediante Sequelize: Lee las variables de entorno `DB_HOST`, `DB_USER`, `DB_PASSWORD`, `DB_NAME` y `DB_TIMEZONE`.</w:t>
        <w:br/>
        <w:t>• Pool de conexiones administrado: Configura un pool de conexiones reutilizables (máximo 10 conexiones simultáneas, mínimo 0, tiempo de inactividad de 10 segundos) para evitar saturar el servidor MySQL.</w:t>
        <w:br/>
        <w:t>• Zona horaria unificada: Fuerza el offset `-05:00` en Sequelize y fija `process.env.TZ = 'America/Bogota'` en Node.js, garantizando que las fechas de emisión y expiración de carnets no sufran desfaces horarios.</w:t>
      </w:r>
    </w:p>
    <w:p>
      <w:pPr>
        <w:pStyle w:val="Heading2"/>
      </w:pPr>
      <w:r>
        <w:t>1.3 Carpeta src/middleware/ (Seguridad, contexto y validación)</w:t>
      </w:r>
    </w:p>
    <w:p>
      <w:r>
        <w:t>Los middlewares interceptan y procesan cada solicitud antes de que alcance los controladores de negocio:</w:t>
      </w:r>
    </w:p>
    <w:tbl>
      <w:tblPr>
        <w:tblW w:type="auto" w:w="0"/>
        <w:jc w:val="center"/>
        <w:tblLook w:firstColumn="1" w:firstRow="1" w:lastColumn="0" w:lastRow="0" w:noHBand="0" w:noVBand="1" w:val="04A0"/>
      </w:tblPr>
      <w:tblGrid>
        <w:gridCol w:w="3120"/>
        <w:gridCol w:w="3120"/>
        <w:gridCol w:w="3120"/>
      </w:tblGrid>
      <w:tr>
        <w:tc>
          <w:tcPr>
            <w:tcW w:type="dxa" w:w="2160"/>
            <w:shd w:fill="001F3F"/>
            <w:tcMar>
              <w:top w:w="120" w:type="dxa"/>
              <w:bottom w:w="120" w:type="dxa"/>
              <w:left w:w="140" w:type="dxa"/>
              <w:right w:w="140" w:type="dxa"/>
            </w:tcMar>
          </w:tcPr>
          <w:p>
            <w:pPr>
              <w:jc w:val="left"/>
            </w:pPr>
            <w:r>
              <w:rPr>
                <w:rFonts w:ascii="Calibri" w:hAnsi="Calibri"/>
                <w:b/>
                <w:color w:val="FFFFFF"/>
                <w:sz w:val="18"/>
              </w:rPr>
              <w:t>Middleware</w:t>
            </w:r>
          </w:p>
        </w:tc>
        <w:tc>
          <w:tcPr>
            <w:tcW w:type="dxa" w:w="2592"/>
            <w:shd w:fill="001F3F"/>
            <w:tcMar>
              <w:top w:w="120" w:type="dxa"/>
              <w:bottom w:w="120" w:type="dxa"/>
              <w:left w:w="140" w:type="dxa"/>
              <w:right w:w="140" w:type="dxa"/>
            </w:tcMar>
          </w:tcPr>
          <w:p>
            <w:pPr>
              <w:jc w:val="left"/>
            </w:pPr>
            <w:r>
              <w:rPr>
                <w:rFonts w:ascii="Calibri" w:hAnsi="Calibri"/>
                <w:b/>
                <w:color w:val="FFFFFF"/>
                <w:sz w:val="18"/>
              </w:rPr>
              <w:t>Archivo</w:t>
            </w:r>
          </w:p>
        </w:tc>
        <w:tc>
          <w:tcPr>
            <w:tcW w:type="dxa" w:w="4608"/>
            <w:shd w:fill="001F3F"/>
            <w:tcMar>
              <w:top w:w="120" w:type="dxa"/>
              <w:bottom w:w="120" w:type="dxa"/>
              <w:left w:w="140" w:type="dxa"/>
              <w:right w:w="140" w:type="dxa"/>
            </w:tcMar>
          </w:tcPr>
          <w:p>
            <w:pPr>
              <w:jc w:val="left"/>
            </w:pPr>
            <w:r>
              <w:rPr>
                <w:rFonts w:ascii="Calibri" w:hAnsi="Calibri"/>
                <w:b/>
                <w:color w:val="FFFFFF"/>
                <w:sz w:val="18"/>
              </w:rPr>
              <w:t>Función técnica y flujo de ejecución</w:t>
            </w:r>
          </w:p>
        </w:tc>
      </w:tr>
      <w:tr>
        <w:tc>
          <w:tcPr>
            <w:tcW w:type="dxa" w:w="2160"/>
            <w:shd w:fill="FFFFFF"/>
            <w:tcMar>
              <w:top w:w="100" w:type="dxa"/>
              <w:bottom w:w="100" w:type="dxa"/>
              <w:left w:w="140" w:type="dxa"/>
              <w:right w:w="140" w:type="dxa"/>
            </w:tcMar>
          </w:tcPr>
          <w:p>
            <w:r>
              <w:rPr>
                <w:rFonts w:ascii="Calibri" w:hAnsi="Calibri"/>
                <w:color w:val="334155"/>
                <w:sz w:val="17"/>
              </w:rPr>
              <w:t>Contexto y Request-ID</w:t>
            </w:r>
          </w:p>
        </w:tc>
        <w:tc>
          <w:tcPr>
            <w:tcW w:type="dxa" w:w="2592"/>
            <w:shd w:fill="FFFFFF"/>
            <w:tcMar>
              <w:top w:w="100" w:type="dxa"/>
              <w:bottom w:w="100" w:type="dxa"/>
              <w:left w:w="140" w:type="dxa"/>
              <w:right w:w="140" w:type="dxa"/>
            </w:tcMar>
          </w:tcPr>
          <w:p>
            <w:r>
              <w:rPr>
                <w:rFonts w:ascii="Calibri" w:hAnsi="Calibri"/>
                <w:color w:val="334155"/>
                <w:sz w:val="17"/>
              </w:rPr>
              <w:t>contextMiddleware.js</w:t>
            </w:r>
          </w:p>
        </w:tc>
        <w:tc>
          <w:tcPr>
            <w:tcW w:type="dxa" w:w="4608"/>
            <w:shd w:fill="FFFFFF"/>
            <w:tcMar>
              <w:top w:w="100" w:type="dxa"/>
              <w:bottom w:w="100" w:type="dxa"/>
              <w:left w:w="140" w:type="dxa"/>
              <w:right w:w="140" w:type="dxa"/>
            </w:tcMar>
          </w:tcPr>
          <w:p>
            <w:r>
              <w:rPr>
                <w:rFonts w:ascii="Calibri" w:hAnsi="Calibri"/>
                <w:color w:val="334155"/>
                <w:sz w:val="17"/>
              </w:rPr>
              <w:t>Inicializa AsyncLocalStorage para la petición y asigna un identificador único x-request-id (UUIDv4) que acompaña todos los logs y respuestas.</w:t>
            </w:r>
          </w:p>
        </w:tc>
      </w:tr>
      <w:tr>
        <w:tc>
          <w:tcPr>
            <w:tcW w:type="dxa" w:w="2160"/>
            <w:shd w:fill="F8FAFC"/>
            <w:tcMar>
              <w:top w:w="100" w:type="dxa"/>
              <w:bottom w:w="100" w:type="dxa"/>
              <w:left w:w="140" w:type="dxa"/>
              <w:right w:w="140" w:type="dxa"/>
            </w:tcMar>
          </w:tcPr>
          <w:p>
            <w:r>
              <w:rPr>
                <w:rFonts w:ascii="Calibri" w:hAnsi="Calibri"/>
                <w:color w:val="334155"/>
                <w:sz w:val="17"/>
              </w:rPr>
              <w:t>Autenticación JWT</w:t>
            </w:r>
          </w:p>
        </w:tc>
        <w:tc>
          <w:tcPr>
            <w:tcW w:type="dxa" w:w="2592"/>
            <w:shd w:fill="F8FAFC"/>
            <w:tcMar>
              <w:top w:w="100" w:type="dxa"/>
              <w:bottom w:w="100" w:type="dxa"/>
              <w:left w:w="140" w:type="dxa"/>
              <w:right w:w="140" w:type="dxa"/>
            </w:tcMar>
          </w:tcPr>
          <w:p>
            <w:r>
              <w:rPr>
                <w:rFonts w:ascii="Calibri" w:hAnsi="Calibri"/>
                <w:color w:val="334155"/>
                <w:sz w:val="17"/>
              </w:rPr>
              <w:t>authMiddleware.js</w:t>
            </w:r>
          </w:p>
        </w:tc>
        <w:tc>
          <w:tcPr>
            <w:tcW w:type="dxa" w:w="4608"/>
            <w:shd w:fill="F8FAFC"/>
            <w:tcMar>
              <w:top w:w="100" w:type="dxa"/>
              <w:bottom w:w="100" w:type="dxa"/>
              <w:left w:w="140" w:type="dxa"/>
              <w:right w:w="140" w:type="dxa"/>
            </w:tcMar>
          </w:tcPr>
          <w:p>
            <w:r>
              <w:rPr>
                <w:rFonts w:ascii="Calibri" w:hAnsi="Calibri"/>
                <w:color w:val="334155"/>
                <w:sz w:val="17"/>
              </w:rPr>
              <w:t>Extrae la cabecera Authorization: Bearer &lt;token&gt;, valida la firma criptográfica con JWT_SECRET y clasifica al usuario en system o company. Verifica que la empresa no esté suspendida.</w:t>
            </w:r>
          </w:p>
        </w:tc>
      </w:tr>
      <w:tr>
        <w:tc>
          <w:tcPr>
            <w:tcW w:type="dxa" w:w="2160"/>
            <w:shd w:fill="FFFFFF"/>
            <w:tcMar>
              <w:top w:w="100" w:type="dxa"/>
              <w:bottom w:w="100" w:type="dxa"/>
              <w:left w:w="140" w:type="dxa"/>
              <w:right w:w="140" w:type="dxa"/>
            </w:tcMar>
          </w:tcPr>
          <w:p>
            <w:r>
              <w:rPr>
                <w:rFonts w:ascii="Calibri" w:hAnsi="Calibri"/>
                <w:color w:val="334155"/>
                <w:sz w:val="17"/>
              </w:rPr>
              <w:t>Control de Roles (RBAC)</w:t>
            </w:r>
          </w:p>
        </w:tc>
        <w:tc>
          <w:tcPr>
            <w:tcW w:type="dxa" w:w="2592"/>
            <w:shd w:fill="FFFFFF"/>
            <w:tcMar>
              <w:top w:w="100" w:type="dxa"/>
              <w:bottom w:w="100" w:type="dxa"/>
              <w:left w:w="140" w:type="dxa"/>
              <w:right w:w="140" w:type="dxa"/>
            </w:tcMar>
          </w:tcPr>
          <w:p>
            <w:r>
              <w:rPr>
                <w:rFonts w:ascii="Calibri" w:hAnsi="Calibri"/>
                <w:color w:val="334155"/>
                <w:sz w:val="17"/>
              </w:rPr>
              <w:t>authMiddleware.js</w:t>
            </w:r>
          </w:p>
        </w:tc>
        <w:tc>
          <w:tcPr>
            <w:tcW w:type="dxa" w:w="4608"/>
            <w:shd w:fill="FFFFFF"/>
            <w:tcMar>
              <w:top w:w="100" w:type="dxa"/>
              <w:bottom w:w="100" w:type="dxa"/>
              <w:left w:w="140" w:type="dxa"/>
              <w:right w:w="140" w:type="dxa"/>
            </w:tcMar>
          </w:tcPr>
          <w:p>
            <w:r>
              <w:rPr>
                <w:rFonts w:ascii="Calibri" w:hAnsi="Calibri"/>
                <w:color w:val="334155"/>
                <w:sz w:val="17"/>
              </w:rPr>
              <w:t>Verifica que el usuario posea los roles requeridos para el endpoint (ejemplo: requiere admin de sistema o admin de empresa).</w:t>
            </w:r>
          </w:p>
        </w:tc>
      </w:tr>
      <w:tr>
        <w:tc>
          <w:tcPr>
            <w:tcW w:type="dxa" w:w="2160"/>
            <w:shd w:fill="F8FAFC"/>
            <w:tcMar>
              <w:top w:w="100" w:type="dxa"/>
              <w:bottom w:w="100" w:type="dxa"/>
              <w:left w:w="140" w:type="dxa"/>
              <w:right w:w="140" w:type="dxa"/>
            </w:tcMar>
          </w:tcPr>
          <w:p>
            <w:r>
              <w:rPr>
                <w:rFonts w:ascii="Calibri" w:hAnsi="Calibri"/>
                <w:color w:val="334155"/>
                <w:sz w:val="17"/>
              </w:rPr>
              <w:t>Validación Joi</w:t>
            </w:r>
          </w:p>
        </w:tc>
        <w:tc>
          <w:tcPr>
            <w:tcW w:type="dxa" w:w="2592"/>
            <w:shd w:fill="F8FAFC"/>
            <w:tcMar>
              <w:top w:w="100" w:type="dxa"/>
              <w:bottom w:w="100" w:type="dxa"/>
              <w:left w:w="140" w:type="dxa"/>
              <w:right w:w="140" w:type="dxa"/>
            </w:tcMar>
          </w:tcPr>
          <w:p>
            <w:r>
              <w:rPr>
                <w:rFonts w:ascii="Calibri" w:hAnsi="Calibri"/>
                <w:color w:val="334155"/>
                <w:sz w:val="17"/>
              </w:rPr>
              <w:t>validateMiddleware.js</w:t>
            </w:r>
          </w:p>
        </w:tc>
        <w:tc>
          <w:tcPr>
            <w:tcW w:type="dxa" w:w="4608"/>
            <w:shd w:fill="F8FAFC"/>
            <w:tcMar>
              <w:top w:w="100" w:type="dxa"/>
              <w:bottom w:w="100" w:type="dxa"/>
              <w:left w:w="140" w:type="dxa"/>
              <w:right w:w="140" w:type="dxa"/>
            </w:tcMar>
          </w:tcPr>
          <w:p>
            <w:r>
              <w:rPr>
                <w:rFonts w:ascii="Calibri" w:hAnsi="Calibri"/>
                <w:color w:val="334155"/>
                <w:sz w:val="17"/>
              </w:rPr>
              <w:t>Ejecuta el esquema de validación correspondiente sobre req.body, req.query o req.params. Si hay errores de formato, responde con HTTP 400 y detiene la petición.</w:t>
            </w:r>
          </w:p>
        </w:tc>
      </w:tr>
      <w:tr>
        <w:tc>
          <w:tcPr>
            <w:tcW w:type="dxa" w:w="2160"/>
            <w:shd w:fill="FFFFFF"/>
            <w:tcMar>
              <w:top w:w="100" w:type="dxa"/>
              <w:bottom w:w="100" w:type="dxa"/>
              <w:left w:w="140" w:type="dxa"/>
              <w:right w:w="140" w:type="dxa"/>
            </w:tcMar>
          </w:tcPr>
          <w:p>
            <w:r>
              <w:rPr>
                <w:rFonts w:ascii="Calibri" w:hAnsi="Calibri"/>
                <w:color w:val="334155"/>
                <w:sz w:val="17"/>
              </w:rPr>
              <w:t>Carga de Archivos</w:t>
            </w:r>
          </w:p>
        </w:tc>
        <w:tc>
          <w:tcPr>
            <w:tcW w:type="dxa" w:w="2592"/>
            <w:shd w:fill="FFFFFF"/>
            <w:tcMar>
              <w:top w:w="100" w:type="dxa"/>
              <w:bottom w:w="100" w:type="dxa"/>
              <w:left w:w="140" w:type="dxa"/>
              <w:right w:w="140" w:type="dxa"/>
            </w:tcMar>
          </w:tcPr>
          <w:p>
            <w:r>
              <w:rPr>
                <w:rFonts w:ascii="Calibri" w:hAnsi="Calibri"/>
                <w:color w:val="334155"/>
                <w:sz w:val="17"/>
              </w:rPr>
              <w:t>uploadMiddleware.js</w:t>
            </w:r>
          </w:p>
        </w:tc>
        <w:tc>
          <w:tcPr>
            <w:tcW w:type="dxa" w:w="4608"/>
            <w:shd w:fill="FFFFFF"/>
            <w:tcMar>
              <w:top w:w="100" w:type="dxa"/>
              <w:bottom w:w="100" w:type="dxa"/>
              <w:left w:w="140" w:type="dxa"/>
              <w:right w:w="140" w:type="dxa"/>
            </w:tcMar>
          </w:tcPr>
          <w:p>
            <w:r>
              <w:rPr>
                <w:rFonts w:ascii="Calibri" w:hAnsi="Calibri"/>
                <w:color w:val="334155"/>
                <w:sz w:val="17"/>
              </w:rPr>
              <w:t>Configura Multer con filtro de tipos MIME (solo JPG/PNG) y límite de 5 MB para fotos de colaboradores y logotipos institucionales.</w:t>
            </w:r>
          </w:p>
        </w:tc>
      </w:tr>
      <w:tr>
        <w:tc>
          <w:tcPr>
            <w:tcW w:type="dxa" w:w="2160"/>
            <w:shd w:fill="F8FAFC"/>
            <w:tcMar>
              <w:top w:w="100" w:type="dxa"/>
              <w:bottom w:w="100" w:type="dxa"/>
              <w:left w:w="140" w:type="dxa"/>
              <w:right w:w="140" w:type="dxa"/>
            </w:tcMar>
          </w:tcPr>
          <w:p>
            <w:r>
              <w:rPr>
                <w:rFonts w:ascii="Calibri" w:hAnsi="Calibri"/>
                <w:color w:val="334155"/>
                <w:sz w:val="17"/>
              </w:rPr>
              <w:t>Manejador Global de Errores</w:t>
            </w:r>
          </w:p>
        </w:tc>
        <w:tc>
          <w:tcPr>
            <w:tcW w:type="dxa" w:w="2592"/>
            <w:shd w:fill="F8FAFC"/>
            <w:tcMar>
              <w:top w:w="100" w:type="dxa"/>
              <w:bottom w:w="100" w:type="dxa"/>
              <w:left w:w="140" w:type="dxa"/>
              <w:right w:w="140" w:type="dxa"/>
            </w:tcMar>
          </w:tcPr>
          <w:p>
            <w:r>
              <w:rPr>
                <w:rFonts w:ascii="Calibri" w:hAnsi="Calibri"/>
                <w:color w:val="334155"/>
                <w:sz w:val="17"/>
              </w:rPr>
              <w:t>errorMiddleware.js</w:t>
            </w:r>
          </w:p>
        </w:tc>
        <w:tc>
          <w:tcPr>
            <w:tcW w:type="dxa" w:w="4608"/>
            <w:shd w:fill="F8FAFC"/>
            <w:tcMar>
              <w:top w:w="100" w:type="dxa"/>
              <w:bottom w:w="100" w:type="dxa"/>
              <w:left w:w="140" w:type="dxa"/>
              <w:right w:w="140" w:type="dxa"/>
            </w:tcMar>
          </w:tcPr>
          <w:p>
            <w:r>
              <w:rPr>
                <w:rFonts w:ascii="Calibri" w:hAnsi="Calibri"/>
                <w:color w:val="334155"/>
                <w:sz w:val="17"/>
              </w:rPr>
              <w:t>Captura cualquier excepción no controlada, registra la traza de error en Winston con su Request-ID y devuelve un JSON uniforme con código HTTP apropiado.</w:t>
            </w:r>
          </w:p>
        </w:tc>
      </w:tr>
    </w:tbl>
    <w:p>
      <w:pPr>
        <w:pStyle w:val="Heading2"/>
      </w:pPr>
      <w:r>
        <w:t>1.4 Carpeta src/routes/ (Enrutamiento modular)</w:t>
      </w:r>
    </w:p>
    <w:p>
      <w:r>
        <w:t>El enrutador central `src/routes/index.js` agrupa y monta las rutas bajo prefijos semánticos RESTful:</w:t>
        <w:br/>
        <w:t>• `/api/auth`: Rutas de inicio de sesión unificado, registro de empresas, verificación de token y configuración de pasarela (`authRoutes.js`).</w:t>
        <w:br/>
        <w:t>• `/api/companies`: Gestión del ciclo de vida de empresas clientes (`companyRoutes.js`).</w:t>
        <w:br/>
        <w:t>• `/api/plans` y `/api/subscriptions`: Administración comercial de paquetes y auditoría de suscripciones (`planRoutes.js`, `subscriptionRoutes.js`).</w:t>
        <w:br/>
        <w:t>• `/api/headquarters`, `/api/areas`, `/api/cargos`: Endpoints de estructura organizacional multi-inquilino.</w:t>
        <w:br/>
        <w:t>• `/api/colaboradores`: Nómina de personal y carga de fotografías multipart (`companyUserRoutes.js`).</w:t>
        <w:br/>
        <w:t>• `/api/templates` y `/api/carnets`: Módulos de diseño visual y emisión de carnets QR (`companyCarnetRoutes.js`).</w:t>
        <w:br/>
        <w:t>• `/api/webhooks/mercadopago`: Recepción de notificaciones asíncronas de pago con verificación de firma HMAC.</w:t>
      </w:r>
    </w:p>
    <w:p>
      <w:pPr>
        <w:pStyle w:val="Heading2"/>
      </w:pPr>
      <w:r>
        <w:t>1.5 Carpeta src/controllers/ (Controladores de peticiones HTTP)</w:t>
      </w:r>
    </w:p>
    <w:p>
      <w:r>
        <w:t>Los controladores actúan como adaptadores entre el protocolo HTTP y la lógica de negocio:</w:t>
        <w:br/>
        <w:t>1. Extraen los datos de la solicitud (`req.body`, `req.params`, `req.query`, `req.user`).</w:t>
        <w:br/>
        <w:t>2. Invocan los métodos correspondientes en la capa de servicios.</w:t>
        <w:br/>
        <w:t>3. Estructuran la respuesta JSON y devuelven el código de estado HTTP adecuado:</w:t>
        <w:br/>
        <w:t xml:space="preserve">   - `200 OK`: Consultas y actualizaciones exitosas.</w:t>
        <w:br/>
        <w:t xml:space="preserve">   - `201 Created`: Creación de nuevos recursos (empresa, carnet, colaborador).</w:t>
        <w:br/>
        <w:t xml:space="preserve">   - `204 No Content`: Eliminaciones o revocaciones sin cuerpo de retorno.</w:t>
        <w:br/>
        <w:br/>
        <w:t>Controladores clave: `authUnifiedController.js` (login universal), `companyCarnetController.js` (emisión y revocación de credenciales), `companyUserController.js` (directorio de personal) y `webhookController.js` (conciliación de pagos).</w:t>
      </w:r>
    </w:p>
    <w:p>
      <w:pPr>
        <w:pStyle w:val="Heading2"/>
      </w:pPr>
      <w:r>
        <w:t>1.6 Carpeta src/services/ (Lógica de negocio y servicios)</w:t>
      </w:r>
    </w:p>
    <w:p>
      <w:r>
        <w:t>La capa de servicios contiene las reglas de negocio esenciales y orquesta las transacciones ACID con la base de datos:</w:t>
      </w:r>
    </w:p>
    <w:tbl>
      <w:tblPr>
        <w:tblW w:type="auto" w:w="0"/>
        <w:jc w:val="center"/>
        <w:tblLook w:firstColumn="1" w:firstRow="1" w:lastColumn="0" w:lastRow="0" w:noHBand="0" w:noVBand="1" w:val="04A0"/>
      </w:tblPr>
      <w:tblGrid>
        <w:gridCol w:w="3120"/>
        <w:gridCol w:w="3120"/>
        <w:gridCol w:w="3120"/>
      </w:tblGrid>
      <w:tr>
        <w:tc>
          <w:tcPr>
            <w:tcW w:type="dxa" w:w="2160"/>
            <w:shd w:fill="001F3F"/>
            <w:tcMar>
              <w:top w:w="120" w:type="dxa"/>
              <w:bottom w:w="120" w:type="dxa"/>
              <w:left w:w="140" w:type="dxa"/>
              <w:right w:w="140" w:type="dxa"/>
            </w:tcMar>
          </w:tcPr>
          <w:p>
            <w:pPr>
              <w:jc w:val="left"/>
            </w:pPr>
            <w:r>
              <w:rPr>
                <w:rFonts w:ascii="Calibri" w:hAnsi="Calibri"/>
                <w:b/>
                <w:color w:val="FFFFFF"/>
                <w:sz w:val="18"/>
              </w:rPr>
              <w:t>Servicio</w:t>
            </w:r>
          </w:p>
        </w:tc>
        <w:tc>
          <w:tcPr>
            <w:tcW w:type="dxa" w:w="2592"/>
            <w:shd w:fill="001F3F"/>
            <w:tcMar>
              <w:top w:w="120" w:type="dxa"/>
              <w:bottom w:w="120" w:type="dxa"/>
              <w:left w:w="140" w:type="dxa"/>
              <w:right w:w="140" w:type="dxa"/>
            </w:tcMar>
          </w:tcPr>
          <w:p>
            <w:pPr>
              <w:jc w:val="left"/>
            </w:pPr>
            <w:r>
              <w:rPr>
                <w:rFonts w:ascii="Calibri" w:hAnsi="Calibri"/>
                <w:b/>
                <w:color w:val="FFFFFF"/>
                <w:sz w:val="18"/>
              </w:rPr>
              <w:t>Archivo</w:t>
            </w:r>
          </w:p>
        </w:tc>
        <w:tc>
          <w:tcPr>
            <w:tcW w:type="dxa" w:w="4608"/>
            <w:shd w:fill="001F3F"/>
            <w:tcMar>
              <w:top w:w="120" w:type="dxa"/>
              <w:bottom w:w="120" w:type="dxa"/>
              <w:left w:w="140" w:type="dxa"/>
              <w:right w:w="140" w:type="dxa"/>
            </w:tcMar>
          </w:tcPr>
          <w:p>
            <w:pPr>
              <w:jc w:val="left"/>
            </w:pPr>
            <w:r>
              <w:rPr>
                <w:rFonts w:ascii="Calibri" w:hAnsi="Calibri"/>
                <w:b/>
                <w:color w:val="FFFFFF"/>
                <w:sz w:val="18"/>
              </w:rPr>
              <w:t>Lógica de negocio y responsabilidades</w:t>
            </w:r>
          </w:p>
        </w:tc>
      </w:tr>
      <w:tr>
        <w:tc>
          <w:tcPr>
            <w:tcW w:type="dxa" w:w="2160"/>
            <w:shd w:fill="FFFFFF"/>
            <w:tcMar>
              <w:top w:w="100" w:type="dxa"/>
              <w:bottom w:w="100" w:type="dxa"/>
              <w:left w:w="140" w:type="dxa"/>
              <w:right w:w="140" w:type="dxa"/>
            </w:tcMar>
          </w:tcPr>
          <w:p>
            <w:r>
              <w:rPr>
                <w:rFonts w:ascii="Calibri" w:hAnsi="Calibri"/>
                <w:color w:val="334155"/>
                <w:sz w:val="17"/>
              </w:rPr>
              <w:t>Servicio de Autenticación</w:t>
            </w:r>
          </w:p>
        </w:tc>
        <w:tc>
          <w:tcPr>
            <w:tcW w:type="dxa" w:w="2592"/>
            <w:shd w:fill="FFFFFF"/>
            <w:tcMar>
              <w:top w:w="100" w:type="dxa"/>
              <w:bottom w:w="100" w:type="dxa"/>
              <w:left w:w="140" w:type="dxa"/>
              <w:right w:w="140" w:type="dxa"/>
            </w:tcMar>
          </w:tcPr>
          <w:p>
            <w:r>
              <w:rPr>
                <w:rFonts w:ascii="Calibri" w:hAnsi="Calibri"/>
                <w:color w:val="334155"/>
                <w:sz w:val="17"/>
              </w:rPr>
              <w:t>authService.js</w:t>
            </w:r>
          </w:p>
        </w:tc>
        <w:tc>
          <w:tcPr>
            <w:tcW w:type="dxa" w:w="4608"/>
            <w:shd w:fill="FFFFFF"/>
            <w:tcMar>
              <w:top w:w="100" w:type="dxa"/>
              <w:bottom w:w="100" w:type="dxa"/>
              <w:left w:w="140" w:type="dxa"/>
              <w:right w:w="140" w:type="dxa"/>
            </w:tcMar>
          </w:tcPr>
          <w:p>
            <w:r>
              <w:rPr>
                <w:rFonts w:ascii="Calibri" w:hAnsi="Calibri"/>
                <w:color w:val="334155"/>
                <w:sz w:val="17"/>
              </w:rPr>
              <w:t>Ejecuta el login unificado: busca en company_users (tenant) verificando el estado de la empresa; si no existe, busca en system_users. Compara contraseñas con bcrypt y genera el token JWT con expiración de 1 hora.</w:t>
            </w:r>
          </w:p>
        </w:tc>
      </w:tr>
      <w:tr>
        <w:tc>
          <w:tcPr>
            <w:tcW w:type="dxa" w:w="2160"/>
            <w:shd w:fill="F8FAFC"/>
            <w:tcMar>
              <w:top w:w="100" w:type="dxa"/>
              <w:bottom w:w="100" w:type="dxa"/>
              <w:left w:w="140" w:type="dxa"/>
              <w:right w:w="140" w:type="dxa"/>
            </w:tcMar>
          </w:tcPr>
          <w:p>
            <w:r>
              <w:rPr>
                <w:rFonts w:ascii="Calibri" w:hAnsi="Calibri"/>
                <w:color w:val="334155"/>
                <w:sz w:val="17"/>
              </w:rPr>
              <w:t>Servicio de Carnetización</w:t>
            </w:r>
          </w:p>
        </w:tc>
        <w:tc>
          <w:tcPr>
            <w:tcW w:type="dxa" w:w="2592"/>
            <w:shd w:fill="F8FAFC"/>
            <w:tcMar>
              <w:top w:w="100" w:type="dxa"/>
              <w:bottom w:w="100" w:type="dxa"/>
              <w:left w:w="140" w:type="dxa"/>
              <w:right w:w="140" w:type="dxa"/>
            </w:tcMar>
          </w:tcPr>
          <w:p>
            <w:r>
              <w:rPr>
                <w:rFonts w:ascii="Calibri" w:hAnsi="Calibri"/>
                <w:color w:val="334155"/>
                <w:sz w:val="17"/>
              </w:rPr>
              <w:t>companyCarnetService.js</w:t>
            </w:r>
          </w:p>
        </w:tc>
        <w:tc>
          <w:tcPr>
            <w:tcW w:type="dxa" w:w="4608"/>
            <w:shd w:fill="F8FAFC"/>
            <w:tcMar>
              <w:top w:w="100" w:type="dxa"/>
              <w:bottom w:w="100" w:type="dxa"/>
              <w:left w:w="140" w:type="dxa"/>
              <w:right w:w="140" w:type="dxa"/>
            </w:tcMar>
          </w:tcPr>
          <w:p>
            <w:r>
              <w:rPr>
                <w:rFonts w:ascii="Calibri" w:hAnsi="Calibri"/>
                <w:color w:val="334155"/>
                <w:sz w:val="17"/>
              </w:rPr>
              <w:t>Valida que la cuota de carnets del plan no esté agotada (planLimits.js), genera un hash criptográfico único SHA-256 para el código QR, calcula la fecha de expiración y persiste el carnet en la base de datos.</w:t>
            </w:r>
          </w:p>
        </w:tc>
      </w:tr>
      <w:tr>
        <w:tc>
          <w:tcPr>
            <w:tcW w:type="dxa" w:w="2160"/>
            <w:shd w:fill="FFFFFF"/>
            <w:tcMar>
              <w:top w:w="100" w:type="dxa"/>
              <w:bottom w:w="100" w:type="dxa"/>
              <w:left w:w="140" w:type="dxa"/>
              <w:right w:w="140" w:type="dxa"/>
            </w:tcMar>
          </w:tcPr>
          <w:p>
            <w:r>
              <w:rPr>
                <w:rFonts w:ascii="Calibri" w:hAnsi="Calibri"/>
                <w:color w:val="334155"/>
                <w:sz w:val="17"/>
              </w:rPr>
              <w:t>Servicio de Mercado Pago</w:t>
            </w:r>
          </w:p>
        </w:tc>
        <w:tc>
          <w:tcPr>
            <w:tcW w:type="dxa" w:w="2592"/>
            <w:shd w:fill="FFFFFF"/>
            <w:tcMar>
              <w:top w:w="100" w:type="dxa"/>
              <w:bottom w:w="100" w:type="dxa"/>
              <w:left w:w="140" w:type="dxa"/>
              <w:right w:w="140" w:type="dxa"/>
            </w:tcMar>
          </w:tcPr>
          <w:p>
            <w:r>
              <w:rPr>
                <w:rFonts w:ascii="Calibri" w:hAnsi="Calibri"/>
                <w:color w:val="334155"/>
                <w:sz w:val="17"/>
              </w:rPr>
              <w:t>mercadopagoService.js</w:t>
            </w:r>
          </w:p>
        </w:tc>
        <w:tc>
          <w:tcPr>
            <w:tcW w:type="dxa" w:w="4608"/>
            <w:shd w:fill="FFFFFF"/>
            <w:tcMar>
              <w:top w:w="100" w:type="dxa"/>
              <w:bottom w:w="100" w:type="dxa"/>
              <w:left w:w="140" w:type="dxa"/>
              <w:right w:w="140" w:type="dxa"/>
            </w:tcMar>
          </w:tcPr>
          <w:p>
            <w:r>
              <w:rPr>
                <w:rFonts w:ascii="Calibri" w:hAnsi="Calibri"/>
                <w:color w:val="334155"/>
                <w:sz w:val="17"/>
              </w:rPr>
              <w:t>Interactúa con la API de Mercado Pago SDK: genera las preferencias de cobro para suscripciones, valida la firma HMAC x-signature del webhook y activa automáticamente el plan de la empresa al recibir el pago aprobado.</w:t>
            </w:r>
          </w:p>
        </w:tc>
      </w:tr>
      <w:tr>
        <w:tc>
          <w:tcPr>
            <w:tcW w:type="dxa" w:w="2160"/>
            <w:shd w:fill="F8FAFC"/>
            <w:tcMar>
              <w:top w:w="100" w:type="dxa"/>
              <w:bottom w:w="100" w:type="dxa"/>
              <w:left w:w="140" w:type="dxa"/>
              <w:right w:w="140" w:type="dxa"/>
            </w:tcMar>
          </w:tcPr>
          <w:p>
            <w:r>
              <w:rPr>
                <w:rFonts w:ascii="Calibri" w:hAnsi="Calibri"/>
                <w:color w:val="334155"/>
                <w:sz w:val="17"/>
              </w:rPr>
              <w:t>Servicio de Empresas</w:t>
            </w:r>
          </w:p>
        </w:tc>
        <w:tc>
          <w:tcPr>
            <w:tcW w:type="dxa" w:w="2592"/>
            <w:shd w:fill="F8FAFC"/>
            <w:tcMar>
              <w:top w:w="100" w:type="dxa"/>
              <w:bottom w:w="100" w:type="dxa"/>
              <w:left w:w="140" w:type="dxa"/>
              <w:right w:w="140" w:type="dxa"/>
            </w:tcMar>
          </w:tcPr>
          <w:p>
            <w:r>
              <w:rPr>
                <w:rFonts w:ascii="Calibri" w:hAnsi="Calibri"/>
                <w:color w:val="334155"/>
                <w:sz w:val="17"/>
              </w:rPr>
              <w:t>companyService.js</w:t>
            </w:r>
          </w:p>
        </w:tc>
        <w:tc>
          <w:tcPr>
            <w:tcW w:type="dxa" w:w="4608"/>
            <w:shd w:fill="F8FAFC"/>
            <w:tcMar>
              <w:top w:w="100" w:type="dxa"/>
              <w:bottom w:w="100" w:type="dxa"/>
              <w:left w:w="140" w:type="dxa"/>
              <w:right w:w="140" w:type="dxa"/>
            </w:tcMar>
          </w:tcPr>
          <w:p>
            <w:r>
              <w:rPr>
                <w:rFonts w:ascii="Calibri" w:hAnsi="Calibri"/>
                <w:color w:val="334155"/>
                <w:sz w:val="17"/>
              </w:rPr>
              <w:t>Gestiona el alta de nuevas empresas, vinculación al plan gratuito inicial o comercial y actualización de estado (activo/inactivo).</w:t>
            </w:r>
          </w:p>
        </w:tc>
      </w:tr>
      <w:tr>
        <w:tc>
          <w:tcPr>
            <w:tcW w:type="dxa" w:w="2160"/>
            <w:shd w:fill="FFFFFF"/>
            <w:tcMar>
              <w:top w:w="100" w:type="dxa"/>
              <w:bottom w:w="100" w:type="dxa"/>
              <w:left w:w="140" w:type="dxa"/>
              <w:right w:w="140" w:type="dxa"/>
            </w:tcMar>
          </w:tcPr>
          <w:p>
            <w:r>
              <w:rPr>
                <w:rFonts w:ascii="Calibri" w:hAnsi="Calibri"/>
                <w:color w:val="334155"/>
                <w:sz w:val="17"/>
              </w:rPr>
              <w:t>Servicio de Plantillas</w:t>
            </w:r>
          </w:p>
        </w:tc>
        <w:tc>
          <w:tcPr>
            <w:tcW w:type="dxa" w:w="2592"/>
            <w:shd w:fill="FFFFFF"/>
            <w:tcMar>
              <w:top w:w="100" w:type="dxa"/>
              <w:bottom w:w="100" w:type="dxa"/>
              <w:left w:w="140" w:type="dxa"/>
              <w:right w:w="140" w:type="dxa"/>
            </w:tcMar>
          </w:tcPr>
          <w:p>
            <w:r>
              <w:rPr>
                <w:rFonts w:ascii="Calibri" w:hAnsi="Calibri"/>
                <w:color w:val="334155"/>
                <w:sz w:val="17"/>
              </w:rPr>
              <w:t>companyTemplateCarnetService.js</w:t>
            </w:r>
          </w:p>
        </w:tc>
        <w:tc>
          <w:tcPr>
            <w:tcW w:type="dxa" w:w="4608"/>
            <w:shd w:fill="FFFFFF"/>
            <w:tcMar>
              <w:top w:w="100" w:type="dxa"/>
              <w:bottom w:w="100" w:type="dxa"/>
              <w:left w:w="140" w:type="dxa"/>
              <w:right w:w="140" w:type="dxa"/>
            </w:tcMar>
          </w:tcPr>
          <w:p>
            <w:r>
              <w:rPr>
                <w:rFonts w:ascii="Calibri" w:hAnsi="Calibri"/>
                <w:color w:val="334155"/>
                <w:sz w:val="17"/>
              </w:rPr>
              <w:t>Valida la estructura JSON del diseñador Canvas, dimensiones de carnet y asignación de plantilla predeterminada.</w:t>
            </w:r>
          </w:p>
        </w:tc>
      </w:tr>
    </w:tbl>
    <w:p>
      <w:r>
        <w:br w:type="page"/>
      </w:r>
    </w:p>
    <w:p>
      <w:pPr>
        <w:pStyle w:val="Heading2"/>
      </w:pPr>
      <w:r>
        <w:t>1.7 Carpeta src/models/ (Modelado relacional Sequelize)</w:t>
      </w:r>
    </w:p>
    <w:p>
      <w:r>
        <w:t>Los modelos Sequelize definen las tablas, tipos de columnas, índices y asociaciones relacionales en MySQL. Están organizados en 3 subdominios:</w:t>
      </w:r>
    </w:p>
    <w:p>
      <w:r>
        <w:t>1. Subcarpeta `models/core/` (Entidades base de la organización):</w:t>
        <w:br/>
        <w:t xml:space="preserve">   • `company.js`: Datos de la empresa cliente (razón social, NIT, correo, teléfono, estado activo/inactivo, plan_id).</w:t>
        <w:br/>
        <w:t xml:space="preserve">   • `companyParameter.js`: Configuración de personalización visual (color primario, secundario, logotipo, tipografía).</w:t>
        <w:br/>
        <w:t xml:space="preserve">   • `companyLog.js`: Bitácora interna de acciones y modificaciones dentro del tenant.</w:t>
        <w:br/>
        <w:br/>
        <w:t>2. Subcarpeta `models/tenant/` (Entidades operativas vinculadas a company_id):</w:t>
        <w:br/>
        <w:t xml:space="preserve">   • `companyHeadquarter.js`: Sedes físicas y sucursales.</w:t>
        <w:br/>
        <w:t xml:space="preserve">   • `companyArea.js`: Áreas departamentales asociadas a sedes.</w:t>
        <w:br/>
        <w:t xml:space="preserve">   • `companyRol.js`: Cargos laborales adscritos a áreas.</w:t>
        <w:br/>
        <w:t xml:space="preserve">   • `companyUser.js`: Colaboradores con tipo de documento, nombres, correo y foto.</w:t>
        <w:br/>
        <w:t xml:space="preserve">   • `companyTemplateCarnet.js`: Plantillas de carnet con orientación y esquema de capas JSON.</w:t>
        <w:br/>
        <w:t xml:space="preserve">   • `companyCarnet.js`: Credenciales emitidas con hash QR, fechas de emisión/expiración y estado (activo/revocado).</w:t>
        <w:br/>
        <w:br/>
        <w:t>3. Subcarpeta `models/` raíz (Entidades del núcleo de sistema):</w:t>
        <w:br/>
        <w:t xml:space="preserve">   • `plans.js`, `subscription.js`, `systemUser.js`, `systemRol.js`, `systemParameter.js`, `systemLog.js`, `payment.js`, `paymentMethod.js`, `Banner.js`.</w:t>
        <w:br/>
        <w:br/>
        <w:t>Archivo maestro `models/index.js`:</w:t>
        <w:br/>
        <w:t>Establece las relaciones referenciales (`Company.hasMany(Headquarter)`, `Headquarter.hasMany(Area)`, `Area.hasMany(CompanyRol)`, `CompanyUser.hasMany(Carnet)`, etc.) configurando borrados en cascada restringidos (`ON DELETE RESTRICT`) para preservar la integridad histórica.</w:t>
      </w:r>
    </w:p>
    <w:p>
      <w:pPr>
        <w:pStyle w:val="Heading2"/>
      </w:pPr>
      <w:r>
        <w:t>1.8 Carpeta src/validators/ (Validación de esquemas con Joi)</w:t>
      </w:r>
    </w:p>
    <w:p>
      <w:r>
        <w:t>Garantiza que ninguna petición con datos maliciosos, tipos incorrectos o campos faltantes acceda a la base de datos:</w:t>
        <w:br/>
        <w:t>• `authValidator.js`: Valida que el correo tenga formato RFC válido y la contraseña cumpla longitud mínima de 6 caracteres.</w:t>
        <w:br/>
        <w:t>• `companyValidator.js`: Exige razón social (3 a 150 caracteres), formato de NIT numérico con dígito de verificación y teléfono válido.</w:t>
        <w:br/>
        <w:t>• `carnetValidator.js`: Valida que `user_id` y `template_id` sean enteros positivos y que la fecha de expiración sea estrictamente futura.</w:t>
        <w:br/>
        <w:t>• `planValidator.js`: Verifica que los límites (`max_users`, `max_carnets`) sean números enteros iguales o mayores a cero.</w:t>
      </w:r>
    </w:p>
    <w:p>
      <w:pPr>
        <w:pStyle w:val="Heading2"/>
      </w:pPr>
      <w:r>
        <w:t>1.9 Carpeta src/utils/ (Utilidades nucleares y observabilidad)</w:t>
      </w:r>
    </w:p>
    <w:p>
      <w:r>
        <w:t>Centraliza funciones y componentes transversales de soporte:</w:t>
        <w:br/>
        <w:t>• `planLimits.js`: Motor de control de cuotas. Compara el conteo de registros actuales de una empresa contra los topes máximos de su plan contratado antes de permitir inserciones.</w:t>
        <w:br/>
        <w:t>• `context.js`: Encapsula la instancia de `AsyncLocalStorage` de Node.js, permitiendo acceder al ID de petición y datos del usuario autenticado desde cualquier capa sin pasarlos como argumentos.</w:t>
        <w:br/>
        <w:t>• `logger.js` y `logHooks.js`: Logger profesional Winston que escribe en consola y en archivos rotativos (`logs/error-%DATE%.log` y `logs/combined-%DATE%.log`).</w:t>
        <w:br/>
        <w:t>• `cache.js`: Implementa caché volátil en memoria RAM (`node-cache`) con tiempo de vida (TTL) configurable para reducir consultas repetitivas a la base de datos.</w:t>
        <w:br/>
        <w:t>• `appError.js`: Clase personalizada de error que extiende de `Error`, asignándole un código HTTP y tipándolo como error operacional.</w:t>
      </w:r>
    </w:p>
    <w:p>
      <w:pPr>
        <w:pStyle w:val="Heading2"/>
      </w:pPr>
      <w:r>
        <w:t>1.10 Carpeta src/helpers/ (Inicialización y envoltorios)</w:t>
      </w:r>
    </w:p>
    <w:p>
      <w:r>
        <w:t>• `initializeSystemData.js`: Se ejecuta automáticamente durante el arranque del servidor en `server.js`. Verifica si existe el SuperAdmin en la base de datos; si no existe, lo crea con el correo `Admin@admin` hasheando su contraseña con bcrypt. Asimismo, asegura la existencia del plan gratuito básico (`Plan Gratuito`) con sus cuotas iniciales.</w:t>
        <w:br/>
        <w:t>• `asyncHandler.js`: Envoltorio de conveniencia para funciones middleware asíncronas.</w:t>
      </w:r>
    </w:p>
    <w:p>
      <w:pPr>
        <w:pStyle w:val="Heading2"/>
      </w:pPr>
      <w:r>
        <w:t>1.11 Carpeta src/jobs/ y src/workers/ (Procesamiento en segundo plano)</w:t>
      </w:r>
    </w:p>
    <w:p>
      <w:r>
        <w:t>• `jobs/subscriptionExpiryJob.js`: Tarea automatizada con `node-cron` configurada para ejecutarse todos los días a las 00:05 AM (`5 0 * * *`). Consulta las suscripciones cuya fecha de finalización (`end_date`) haya vencido, actualiza su estado a `expired`, inactiva la empresa asociada (`status: 'inactive'`) e informa en los registros de auditoría.</w:t>
        <w:br/>
        <w:t>• `workers/billingWorker.js`: Proceso de apoyo para la conciliación asíncrona de pagos diferidos o eventos de suscripción procedentes de la pasarela.</w:t>
      </w:r>
    </w:p>
    <w:p>
      <w:pPr>
        <w:pStyle w:val="Heading2"/>
      </w:pPr>
      <w:r>
        <w:t>1.12 Carpeta src/uploads/ (Almacenamiento multi-inquilino de archivos)</w:t>
      </w:r>
    </w:p>
    <w:p>
      <w:r>
        <w:t>La carpeta `src/uploads/` gestiona el almacenamiento local particionado para recursos estáticos multimedia:</w:t>
        <w:br/>
        <w:t>• `uploads/logos/`: Directorio físico para los logotipos corporativos e institucionales subidos por cada empresa cliente.</w:t>
        <w:br/>
        <w:t>• `uploads/banners/`: Imágenes de comunicados oficiales y piezas gráficas mostradas en la consola.</w:t>
        <w:br/>
        <w:t>• Exposición HTTP: Express sirve este directorio mediante `express.static('src/uploads')`, aplicando directivas `Cache-Control: public, max-age=86400` para reducir latencia en el navegador.</w:t>
      </w:r>
    </w:p>
    <w:p>
      <w:pPr>
        <w:pStyle w:val="Heading2"/>
      </w:pPr>
      <w:r>
        <w:t>1.13 Archivos raíz de orquestación: src/app.js y src/server.js</w:t>
      </w:r>
    </w:p>
    <w:p>
      <w:r>
        <w:t>• `src/app.js`: Configura la instancia central de Express, monta las cabeceras de protección Helmet, políticas CORS, compresión Gzip, limitador de tasa de peticiones (Rate Limit), parser JSON con límite de 10 MB, middleware de contexto Request-ID, enrutador maestro `/api` y el middleware terminal capturador de errores (`errorMiddleware`).</w:t>
        <w:br/>
        <w:t>• `src/server.js`: Punto de entrada del proceso Node.js. Carga variables de entorno, autentica la conexión al motor MySQL mediante Sequelize, ejecuta la siembra inicial de datos (`initializeSystemData`), programa el Cron de suscripciones e inicia la escucha TCP en el puerto configurado.</w:t>
      </w:r>
    </w:p>
    <w:p>
      <w:r>
        <w:br w:type="page"/>
      </w:r>
    </w:p>
    <w:p>
      <w:pPr>
        <w:pStyle w:val="Heading2"/>
      </w:pPr>
      <w:r>
        <w:t>1.14 Catálogo maestro de endpoints (API Reference completa)</w:t>
      </w:r>
    </w:p>
    <w:tbl>
      <w:tblPr>
        <w:tblW w:type="auto" w:w="0"/>
        <w:jc w:val="center"/>
        <w:tblLook w:firstColumn="1" w:firstRow="1" w:lastColumn="0" w:lastRow="0" w:noHBand="0" w:noVBand="1" w:val="04A0"/>
      </w:tblPr>
      <w:tblGrid>
        <w:gridCol w:w="2340"/>
        <w:gridCol w:w="2340"/>
        <w:gridCol w:w="2340"/>
        <w:gridCol w:w="2340"/>
      </w:tblGrid>
      <w:tr>
        <w:tc>
          <w:tcPr>
            <w:tcW w:type="dxa" w:w="2592"/>
            <w:shd w:fill="001F3F"/>
            <w:tcMar>
              <w:top w:w="120" w:type="dxa"/>
              <w:bottom w:w="120" w:type="dxa"/>
              <w:left w:w="140" w:type="dxa"/>
              <w:right w:w="140" w:type="dxa"/>
            </w:tcMar>
          </w:tcPr>
          <w:p>
            <w:pPr>
              <w:jc w:val="left"/>
            </w:pPr>
            <w:r>
              <w:rPr>
                <w:rFonts w:ascii="Calibri" w:hAnsi="Calibri"/>
                <w:b/>
                <w:color w:val="FFFFFF"/>
                <w:sz w:val="18"/>
              </w:rPr>
              <w:t>Método y Ruta</w:t>
            </w:r>
          </w:p>
        </w:tc>
        <w:tc>
          <w:tcPr>
            <w:tcW w:type="dxa" w:w="1872"/>
            <w:shd w:fill="001F3F"/>
            <w:tcMar>
              <w:top w:w="120" w:type="dxa"/>
              <w:bottom w:w="120" w:type="dxa"/>
              <w:left w:w="140" w:type="dxa"/>
              <w:right w:w="140" w:type="dxa"/>
            </w:tcMar>
          </w:tcPr>
          <w:p>
            <w:pPr>
              <w:jc w:val="left"/>
            </w:pPr>
            <w:r>
              <w:rPr>
                <w:rFonts w:ascii="Calibri" w:hAnsi="Calibri"/>
                <w:b/>
                <w:color w:val="FFFFFF"/>
                <w:sz w:val="18"/>
              </w:rPr>
              <w:t>Acceso requerido</w:t>
            </w:r>
          </w:p>
        </w:tc>
        <w:tc>
          <w:tcPr>
            <w:tcW w:type="dxa" w:w="2592"/>
            <w:shd w:fill="001F3F"/>
            <w:tcMar>
              <w:top w:w="120" w:type="dxa"/>
              <w:bottom w:w="120" w:type="dxa"/>
              <w:left w:w="140" w:type="dxa"/>
              <w:right w:w="140" w:type="dxa"/>
            </w:tcMar>
          </w:tcPr>
          <w:p>
            <w:pPr>
              <w:jc w:val="left"/>
            </w:pPr>
            <w:r>
              <w:rPr>
                <w:rFonts w:ascii="Calibri" w:hAnsi="Calibri"/>
                <w:b/>
                <w:color w:val="FFFFFF"/>
                <w:sz w:val="18"/>
              </w:rPr>
              <w:t>Payload / Parámetros</w:t>
            </w:r>
          </w:p>
        </w:tc>
        <w:tc>
          <w:tcPr>
            <w:tcW w:type="dxa" w:w="2304"/>
            <w:shd w:fill="001F3F"/>
            <w:tcMar>
              <w:top w:w="120" w:type="dxa"/>
              <w:bottom w:w="120" w:type="dxa"/>
              <w:left w:w="140" w:type="dxa"/>
              <w:right w:w="140" w:type="dxa"/>
            </w:tcMar>
          </w:tcPr>
          <w:p>
            <w:pPr>
              <w:jc w:val="left"/>
            </w:pPr>
            <w:r>
              <w:rPr>
                <w:rFonts w:ascii="Calibri" w:hAnsi="Calibri"/>
                <w:b/>
                <w:color w:val="FFFFFF"/>
                <w:sz w:val="18"/>
              </w:rPr>
              <w:t>Respuesta esperada</w:t>
            </w:r>
          </w:p>
        </w:tc>
      </w:tr>
      <w:tr>
        <w:tc>
          <w:tcPr>
            <w:tcW w:type="dxa" w:w="2592"/>
            <w:shd w:fill="FFFFFF"/>
            <w:tcMar>
              <w:top w:w="100" w:type="dxa"/>
              <w:bottom w:w="100" w:type="dxa"/>
              <w:left w:w="140" w:type="dxa"/>
              <w:right w:w="140" w:type="dxa"/>
            </w:tcMar>
          </w:tcPr>
          <w:p>
            <w:r>
              <w:rPr>
                <w:rFonts w:ascii="Calibri" w:hAnsi="Calibri"/>
                <w:color w:val="334155"/>
                <w:sz w:val="17"/>
              </w:rPr>
              <w:t>POST /api/auth/login</w:t>
            </w:r>
          </w:p>
        </w:tc>
        <w:tc>
          <w:tcPr>
            <w:tcW w:type="dxa" w:w="1872"/>
            <w:shd w:fill="FFFFFF"/>
            <w:tcMar>
              <w:top w:w="100" w:type="dxa"/>
              <w:bottom w:w="100" w:type="dxa"/>
              <w:left w:w="140" w:type="dxa"/>
              <w:right w:w="140" w:type="dxa"/>
            </w:tcMar>
          </w:tcPr>
          <w:p>
            <w:r>
              <w:rPr>
                <w:rFonts w:ascii="Calibri" w:hAnsi="Calibri"/>
                <w:color w:val="334155"/>
                <w:sz w:val="17"/>
              </w:rPr>
              <w:t>Público</w:t>
            </w:r>
          </w:p>
        </w:tc>
        <w:tc>
          <w:tcPr>
            <w:tcW w:type="dxa" w:w="2592"/>
            <w:shd w:fill="FFFFFF"/>
            <w:tcMar>
              <w:top w:w="100" w:type="dxa"/>
              <w:bottom w:w="100" w:type="dxa"/>
              <w:left w:w="140" w:type="dxa"/>
              <w:right w:w="140" w:type="dxa"/>
            </w:tcMar>
          </w:tcPr>
          <w:p>
            <w:r>
              <w:rPr>
                <w:rFonts w:ascii="Calibri" w:hAnsi="Calibri"/>
                <w:color w:val="334155"/>
                <w:sz w:val="17"/>
              </w:rPr>
              <w:t>{ email, password }</w:t>
            </w:r>
          </w:p>
        </w:tc>
        <w:tc>
          <w:tcPr>
            <w:tcW w:type="dxa" w:w="2304"/>
            <w:shd w:fill="FFFFFF"/>
            <w:tcMar>
              <w:top w:w="100" w:type="dxa"/>
              <w:bottom w:w="100" w:type="dxa"/>
              <w:left w:w="140" w:type="dxa"/>
              <w:right w:w="140" w:type="dxa"/>
            </w:tcMar>
          </w:tcPr>
          <w:p>
            <w:r>
              <w:rPr>
                <w:rFonts w:ascii="Calibri" w:hAnsi="Calibri"/>
                <w:color w:val="334155"/>
                <w:sz w:val="17"/>
              </w:rPr>
              <w:t>200 OK: { token, user, branding }</w:t>
            </w:r>
          </w:p>
        </w:tc>
      </w:tr>
      <w:tr>
        <w:tc>
          <w:tcPr>
            <w:tcW w:type="dxa" w:w="2592"/>
            <w:shd w:fill="F8FAFC"/>
            <w:tcMar>
              <w:top w:w="100" w:type="dxa"/>
              <w:bottom w:w="100" w:type="dxa"/>
              <w:left w:w="140" w:type="dxa"/>
              <w:right w:w="140" w:type="dxa"/>
            </w:tcMar>
          </w:tcPr>
          <w:p>
            <w:r>
              <w:rPr>
                <w:rFonts w:ascii="Calibri" w:hAnsi="Calibri"/>
                <w:color w:val="334155"/>
                <w:sz w:val="17"/>
              </w:rPr>
              <w:t>POST /api/auth/register</w:t>
            </w:r>
          </w:p>
        </w:tc>
        <w:tc>
          <w:tcPr>
            <w:tcW w:type="dxa" w:w="1872"/>
            <w:shd w:fill="F8FAFC"/>
            <w:tcMar>
              <w:top w:w="100" w:type="dxa"/>
              <w:bottom w:w="100" w:type="dxa"/>
              <w:left w:w="140" w:type="dxa"/>
              <w:right w:w="140" w:type="dxa"/>
            </w:tcMar>
          </w:tcPr>
          <w:p>
            <w:r>
              <w:rPr>
                <w:rFonts w:ascii="Calibri" w:hAnsi="Calibri"/>
                <w:color w:val="334155"/>
                <w:sz w:val="17"/>
              </w:rPr>
              <w:t>Público</w:t>
            </w:r>
          </w:p>
        </w:tc>
        <w:tc>
          <w:tcPr>
            <w:tcW w:type="dxa" w:w="2592"/>
            <w:shd w:fill="F8FAFC"/>
            <w:tcMar>
              <w:top w:w="100" w:type="dxa"/>
              <w:bottom w:w="100" w:type="dxa"/>
              <w:left w:w="140" w:type="dxa"/>
              <w:right w:w="140" w:type="dxa"/>
            </w:tcMar>
          </w:tcPr>
          <w:p>
            <w:r>
              <w:rPr>
                <w:rFonts w:ascii="Calibri" w:hAnsi="Calibri"/>
                <w:color w:val="334155"/>
                <w:sz w:val="17"/>
              </w:rPr>
              <w:t>{ company_name, nit, email, password, plan_id }</w:t>
            </w:r>
          </w:p>
        </w:tc>
        <w:tc>
          <w:tcPr>
            <w:tcW w:type="dxa" w:w="2304"/>
            <w:shd w:fill="F8FAFC"/>
            <w:tcMar>
              <w:top w:w="100" w:type="dxa"/>
              <w:bottom w:w="100" w:type="dxa"/>
              <w:left w:w="140" w:type="dxa"/>
              <w:right w:w="140" w:type="dxa"/>
            </w:tcMar>
          </w:tcPr>
          <w:p>
            <w:r>
              <w:rPr>
                <w:rFonts w:ascii="Calibri" w:hAnsi="Calibri"/>
                <w:color w:val="334155"/>
                <w:sz w:val="17"/>
              </w:rPr>
              <w:t>201 Created: { company, payment_url }</w:t>
            </w:r>
          </w:p>
        </w:tc>
      </w:tr>
      <w:tr>
        <w:tc>
          <w:tcPr>
            <w:tcW w:type="dxa" w:w="2592"/>
            <w:shd w:fill="FFFFFF"/>
            <w:tcMar>
              <w:top w:w="100" w:type="dxa"/>
              <w:bottom w:w="100" w:type="dxa"/>
              <w:left w:w="140" w:type="dxa"/>
              <w:right w:w="140" w:type="dxa"/>
            </w:tcMar>
          </w:tcPr>
          <w:p>
            <w:r>
              <w:rPr>
                <w:rFonts w:ascii="Calibri" w:hAnsi="Calibri"/>
                <w:color w:val="334155"/>
                <w:sz w:val="17"/>
              </w:rPr>
              <w:t>GET /api/auth/me</w:t>
            </w:r>
          </w:p>
        </w:tc>
        <w:tc>
          <w:tcPr>
            <w:tcW w:type="dxa" w:w="1872"/>
            <w:shd w:fill="FFFFFF"/>
            <w:tcMar>
              <w:top w:w="100" w:type="dxa"/>
              <w:bottom w:w="100" w:type="dxa"/>
              <w:left w:w="140" w:type="dxa"/>
              <w:right w:w="140" w:type="dxa"/>
            </w:tcMar>
          </w:tcPr>
          <w:p>
            <w:r>
              <w:rPr>
                <w:rFonts w:ascii="Calibri" w:hAnsi="Calibri"/>
                <w:color w:val="334155"/>
                <w:sz w:val="17"/>
              </w:rPr>
              <w:t>Bearer JWT</w:t>
            </w:r>
          </w:p>
        </w:tc>
        <w:tc>
          <w:tcPr>
            <w:tcW w:type="dxa" w:w="2592"/>
            <w:shd w:fill="FFFFFF"/>
            <w:tcMar>
              <w:top w:w="100" w:type="dxa"/>
              <w:bottom w:w="100" w:type="dxa"/>
              <w:left w:w="140" w:type="dxa"/>
              <w:right w:w="140" w:type="dxa"/>
            </w:tcMar>
          </w:tcPr>
          <w:p>
            <w:r>
              <w:rPr>
                <w:rFonts w:ascii="Calibri" w:hAnsi="Calibri"/>
                <w:color w:val="334155"/>
                <w:sz w:val="17"/>
              </w:rPr>
              <w:t>Cabecera Authorization</w:t>
            </w:r>
          </w:p>
        </w:tc>
        <w:tc>
          <w:tcPr>
            <w:tcW w:type="dxa" w:w="2304"/>
            <w:shd w:fill="FFFFFF"/>
            <w:tcMar>
              <w:top w:w="100" w:type="dxa"/>
              <w:bottom w:w="100" w:type="dxa"/>
              <w:left w:w="140" w:type="dxa"/>
              <w:right w:w="140" w:type="dxa"/>
            </w:tcMar>
          </w:tcPr>
          <w:p>
            <w:r>
              <w:rPr>
                <w:rFonts w:ascii="Calibri" w:hAnsi="Calibri"/>
                <w:color w:val="334155"/>
                <w:sz w:val="17"/>
              </w:rPr>
              <w:t>200 OK: { user, company, permissions }</w:t>
            </w:r>
          </w:p>
        </w:tc>
      </w:tr>
      <w:tr>
        <w:tc>
          <w:tcPr>
            <w:tcW w:type="dxa" w:w="2592"/>
            <w:shd w:fill="F8FAFC"/>
            <w:tcMar>
              <w:top w:w="100" w:type="dxa"/>
              <w:bottom w:w="100" w:type="dxa"/>
              <w:left w:w="140" w:type="dxa"/>
              <w:right w:w="140" w:type="dxa"/>
            </w:tcMar>
          </w:tcPr>
          <w:p>
            <w:r>
              <w:rPr>
                <w:rFonts w:ascii="Calibri" w:hAnsi="Calibri"/>
                <w:color w:val="334155"/>
                <w:sz w:val="17"/>
              </w:rPr>
              <w:t>GET /api/companies</w:t>
            </w:r>
          </w:p>
        </w:tc>
        <w:tc>
          <w:tcPr>
            <w:tcW w:type="dxa" w:w="1872"/>
            <w:shd w:fill="F8FAFC"/>
            <w:tcMar>
              <w:top w:w="100" w:type="dxa"/>
              <w:bottom w:w="100" w:type="dxa"/>
              <w:left w:w="140" w:type="dxa"/>
              <w:right w:w="140" w:type="dxa"/>
            </w:tcMar>
          </w:tcPr>
          <w:p>
            <w:r>
              <w:rPr>
                <w:rFonts w:ascii="Calibri" w:hAnsi="Calibri"/>
                <w:color w:val="334155"/>
                <w:sz w:val="17"/>
              </w:rPr>
              <w:t>SuperAdmin</w:t>
            </w:r>
          </w:p>
        </w:tc>
        <w:tc>
          <w:tcPr>
            <w:tcW w:type="dxa" w:w="2592"/>
            <w:shd w:fill="F8FAFC"/>
            <w:tcMar>
              <w:top w:w="100" w:type="dxa"/>
              <w:bottom w:w="100" w:type="dxa"/>
              <w:left w:w="140" w:type="dxa"/>
              <w:right w:w="140" w:type="dxa"/>
            </w:tcMar>
          </w:tcPr>
          <w:p>
            <w:r>
              <w:rPr>
                <w:rFonts w:ascii="Calibri" w:hAnsi="Calibri"/>
                <w:color w:val="334155"/>
                <w:sz w:val="17"/>
              </w:rPr>
              <w:t>?search, ?status, ?page</w:t>
            </w:r>
          </w:p>
        </w:tc>
        <w:tc>
          <w:tcPr>
            <w:tcW w:type="dxa" w:w="2304"/>
            <w:shd w:fill="F8FAFC"/>
            <w:tcMar>
              <w:top w:w="100" w:type="dxa"/>
              <w:bottom w:w="100" w:type="dxa"/>
              <w:left w:w="140" w:type="dxa"/>
              <w:right w:w="140" w:type="dxa"/>
            </w:tcMar>
          </w:tcPr>
          <w:p>
            <w:r>
              <w:rPr>
                <w:rFonts w:ascii="Calibri" w:hAnsi="Calibri"/>
                <w:color w:val="334155"/>
                <w:sz w:val="17"/>
              </w:rPr>
              <w:t>200 OK: { companies: [], total }</w:t>
            </w:r>
          </w:p>
        </w:tc>
      </w:tr>
      <w:tr>
        <w:tc>
          <w:tcPr>
            <w:tcW w:type="dxa" w:w="2592"/>
            <w:shd w:fill="FFFFFF"/>
            <w:tcMar>
              <w:top w:w="100" w:type="dxa"/>
              <w:bottom w:w="100" w:type="dxa"/>
              <w:left w:w="140" w:type="dxa"/>
              <w:right w:w="140" w:type="dxa"/>
            </w:tcMar>
          </w:tcPr>
          <w:p>
            <w:r>
              <w:rPr>
                <w:rFonts w:ascii="Calibri" w:hAnsi="Calibri"/>
                <w:color w:val="334155"/>
                <w:sz w:val="17"/>
              </w:rPr>
              <w:t>POST /api/companies</w:t>
            </w:r>
          </w:p>
        </w:tc>
        <w:tc>
          <w:tcPr>
            <w:tcW w:type="dxa" w:w="1872"/>
            <w:shd w:fill="FFFFFF"/>
            <w:tcMar>
              <w:top w:w="100" w:type="dxa"/>
              <w:bottom w:w="100" w:type="dxa"/>
              <w:left w:w="140" w:type="dxa"/>
              <w:right w:w="140" w:type="dxa"/>
            </w:tcMar>
          </w:tcPr>
          <w:p>
            <w:r>
              <w:rPr>
                <w:rFonts w:ascii="Calibri" w:hAnsi="Calibri"/>
                <w:color w:val="334155"/>
                <w:sz w:val="17"/>
              </w:rPr>
              <w:t>SuperAdmin</w:t>
            </w:r>
          </w:p>
        </w:tc>
        <w:tc>
          <w:tcPr>
            <w:tcW w:type="dxa" w:w="2592"/>
            <w:shd w:fill="FFFFFF"/>
            <w:tcMar>
              <w:top w:w="100" w:type="dxa"/>
              <w:bottom w:w="100" w:type="dxa"/>
              <w:left w:w="140" w:type="dxa"/>
              <w:right w:w="140" w:type="dxa"/>
            </w:tcMar>
          </w:tcPr>
          <w:p>
            <w:r>
              <w:rPr>
                <w:rFonts w:ascii="Calibri" w:hAnsi="Calibri"/>
                <w:color w:val="334155"/>
                <w:sz w:val="17"/>
              </w:rPr>
              <w:t>{ name, nit, email, phone, plan_id }</w:t>
            </w:r>
          </w:p>
        </w:tc>
        <w:tc>
          <w:tcPr>
            <w:tcW w:type="dxa" w:w="2304"/>
            <w:shd w:fill="FFFFFF"/>
            <w:tcMar>
              <w:top w:w="100" w:type="dxa"/>
              <w:bottom w:w="100" w:type="dxa"/>
              <w:left w:w="140" w:type="dxa"/>
              <w:right w:w="140" w:type="dxa"/>
            </w:tcMar>
          </w:tcPr>
          <w:p>
            <w:r>
              <w:rPr>
                <w:rFonts w:ascii="Calibri" w:hAnsi="Calibri"/>
                <w:color w:val="334155"/>
                <w:sz w:val="17"/>
              </w:rPr>
              <w:t>201 Created: { company }</w:t>
            </w:r>
          </w:p>
        </w:tc>
      </w:tr>
      <w:tr>
        <w:tc>
          <w:tcPr>
            <w:tcW w:type="dxa" w:w="2592"/>
            <w:shd w:fill="F8FAFC"/>
            <w:tcMar>
              <w:top w:w="100" w:type="dxa"/>
              <w:bottom w:w="100" w:type="dxa"/>
              <w:left w:w="140" w:type="dxa"/>
              <w:right w:w="140" w:type="dxa"/>
            </w:tcMar>
          </w:tcPr>
          <w:p>
            <w:r>
              <w:rPr>
                <w:rFonts w:ascii="Calibri" w:hAnsi="Calibri"/>
                <w:color w:val="334155"/>
                <w:sz w:val="17"/>
              </w:rPr>
              <w:t>GET /api/plans</w:t>
            </w:r>
          </w:p>
        </w:tc>
        <w:tc>
          <w:tcPr>
            <w:tcW w:type="dxa" w:w="1872"/>
            <w:shd w:fill="F8FAFC"/>
            <w:tcMar>
              <w:top w:w="100" w:type="dxa"/>
              <w:bottom w:w="100" w:type="dxa"/>
              <w:left w:w="140" w:type="dxa"/>
              <w:right w:w="140" w:type="dxa"/>
            </w:tcMar>
          </w:tcPr>
          <w:p>
            <w:r>
              <w:rPr>
                <w:rFonts w:ascii="Calibri" w:hAnsi="Calibri"/>
                <w:color w:val="334155"/>
                <w:sz w:val="17"/>
              </w:rPr>
              <w:t>Público / Autenticado</w:t>
            </w:r>
          </w:p>
        </w:tc>
        <w:tc>
          <w:tcPr>
            <w:tcW w:type="dxa" w:w="2592"/>
            <w:shd w:fill="F8FAFC"/>
            <w:tcMar>
              <w:top w:w="100" w:type="dxa"/>
              <w:bottom w:w="100" w:type="dxa"/>
              <w:left w:w="140" w:type="dxa"/>
              <w:right w:w="140" w:type="dxa"/>
            </w:tcMar>
          </w:tcPr>
          <w:p>
            <w:r>
              <w:rPr>
                <w:rFonts w:ascii="Calibri" w:hAnsi="Calibri"/>
                <w:color w:val="334155"/>
                <w:sz w:val="17"/>
              </w:rPr>
              <w:t>Ninguno</w:t>
            </w:r>
          </w:p>
        </w:tc>
        <w:tc>
          <w:tcPr>
            <w:tcW w:type="dxa" w:w="2304"/>
            <w:shd w:fill="F8FAFC"/>
            <w:tcMar>
              <w:top w:w="100" w:type="dxa"/>
              <w:bottom w:w="100" w:type="dxa"/>
              <w:left w:w="140" w:type="dxa"/>
              <w:right w:w="140" w:type="dxa"/>
            </w:tcMar>
          </w:tcPr>
          <w:p>
            <w:r>
              <w:rPr>
                <w:rFonts w:ascii="Calibri" w:hAnsi="Calibri"/>
                <w:color w:val="334155"/>
                <w:sz w:val="17"/>
              </w:rPr>
              <w:t>200 OK: [ { id, name, price, limits } ]</w:t>
            </w:r>
          </w:p>
        </w:tc>
      </w:tr>
      <w:tr>
        <w:tc>
          <w:tcPr>
            <w:tcW w:type="dxa" w:w="2592"/>
            <w:shd w:fill="FFFFFF"/>
            <w:tcMar>
              <w:top w:w="100" w:type="dxa"/>
              <w:bottom w:w="100" w:type="dxa"/>
              <w:left w:w="140" w:type="dxa"/>
              <w:right w:w="140" w:type="dxa"/>
            </w:tcMar>
          </w:tcPr>
          <w:p>
            <w:r>
              <w:rPr>
                <w:rFonts w:ascii="Calibri" w:hAnsi="Calibri"/>
                <w:color w:val="334155"/>
                <w:sz w:val="17"/>
              </w:rPr>
              <w:t>GET /api/headquarters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Token de Empresa</w:t>
            </w:r>
          </w:p>
        </w:tc>
        <w:tc>
          <w:tcPr>
            <w:tcW w:type="dxa" w:w="2304"/>
            <w:shd w:fill="FFFFFF"/>
            <w:tcMar>
              <w:top w:w="100" w:type="dxa"/>
              <w:bottom w:w="100" w:type="dxa"/>
              <w:left w:w="140" w:type="dxa"/>
              <w:right w:w="140" w:type="dxa"/>
            </w:tcMar>
          </w:tcPr>
          <w:p>
            <w:r>
              <w:rPr>
                <w:rFonts w:ascii="Calibri" w:hAnsi="Calibri"/>
                <w:color w:val="334155"/>
                <w:sz w:val="17"/>
              </w:rPr>
              <w:t>200 OK: [ { id, name, address } ]</w:t>
            </w:r>
          </w:p>
        </w:tc>
      </w:tr>
      <w:tr>
        <w:tc>
          <w:tcPr>
            <w:tcW w:type="dxa" w:w="2592"/>
            <w:shd w:fill="F8FAFC"/>
            <w:tcMar>
              <w:top w:w="100" w:type="dxa"/>
              <w:bottom w:w="100" w:type="dxa"/>
              <w:left w:w="140" w:type="dxa"/>
              <w:right w:w="140" w:type="dxa"/>
            </w:tcMar>
          </w:tcPr>
          <w:p>
            <w:r>
              <w:rPr>
                <w:rFonts w:ascii="Calibri" w:hAnsi="Calibri"/>
                <w:color w:val="334155"/>
                <w:sz w:val="17"/>
              </w:rPr>
              <w:t>POST /api/headquarters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address, city }</w:t>
            </w:r>
          </w:p>
        </w:tc>
        <w:tc>
          <w:tcPr>
            <w:tcW w:type="dxa" w:w="2304"/>
            <w:shd w:fill="F8FAFC"/>
            <w:tcMar>
              <w:top w:w="100" w:type="dxa"/>
              <w:bottom w:w="100" w:type="dxa"/>
              <w:left w:w="140" w:type="dxa"/>
              <w:right w:w="140" w:type="dxa"/>
            </w:tcMar>
          </w:tcPr>
          <w:p>
            <w:r>
              <w:rPr>
                <w:rFonts w:ascii="Calibri" w:hAnsi="Calibri"/>
                <w:color w:val="334155"/>
                <w:sz w:val="17"/>
              </w:rPr>
              <w:t>201 Created: { headquarter }</w:t>
            </w:r>
          </w:p>
        </w:tc>
      </w:tr>
      <w:tr>
        <w:tc>
          <w:tcPr>
            <w:tcW w:type="dxa" w:w="2592"/>
            <w:shd w:fill="FFFFFF"/>
            <w:tcMar>
              <w:top w:w="100" w:type="dxa"/>
              <w:bottom w:w="100" w:type="dxa"/>
              <w:left w:w="140" w:type="dxa"/>
              <w:right w:w="140" w:type="dxa"/>
            </w:tcMar>
          </w:tcPr>
          <w:p>
            <w:r>
              <w:rPr>
                <w:rFonts w:ascii="Calibri" w:hAnsi="Calibri"/>
                <w:color w:val="334155"/>
                <w:sz w:val="17"/>
              </w:rPr>
              <w:t>GET /api/areas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?headquarter_id</w:t>
            </w:r>
          </w:p>
        </w:tc>
        <w:tc>
          <w:tcPr>
            <w:tcW w:type="dxa" w:w="2304"/>
            <w:shd w:fill="FFFFFF"/>
            <w:tcMar>
              <w:top w:w="100" w:type="dxa"/>
              <w:bottom w:w="100" w:type="dxa"/>
              <w:left w:w="140" w:type="dxa"/>
              <w:right w:w="140" w:type="dxa"/>
            </w:tcMar>
          </w:tcPr>
          <w:p>
            <w:r>
              <w:rPr>
                <w:rFonts w:ascii="Calibri" w:hAnsi="Calibri"/>
                <w:color w:val="334155"/>
                <w:sz w:val="17"/>
              </w:rPr>
              <w:t>200 OK: [ { id, name, headquarter_id } ]</w:t>
            </w:r>
          </w:p>
        </w:tc>
      </w:tr>
      <w:tr>
        <w:tc>
          <w:tcPr>
            <w:tcW w:type="dxa" w:w="2592"/>
            <w:shd w:fill="F8FAFC"/>
            <w:tcMar>
              <w:top w:w="100" w:type="dxa"/>
              <w:bottom w:w="100" w:type="dxa"/>
              <w:left w:w="140" w:type="dxa"/>
              <w:right w:w="140" w:type="dxa"/>
            </w:tcMar>
          </w:tcPr>
          <w:p>
            <w:r>
              <w:rPr>
                <w:rFonts w:ascii="Calibri" w:hAnsi="Calibri"/>
                <w:color w:val="334155"/>
                <w:sz w:val="17"/>
              </w:rPr>
              <w:t>POST /api/areas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headquarter_id }</w:t>
            </w:r>
          </w:p>
        </w:tc>
        <w:tc>
          <w:tcPr>
            <w:tcW w:type="dxa" w:w="2304"/>
            <w:shd w:fill="F8FAFC"/>
            <w:tcMar>
              <w:top w:w="100" w:type="dxa"/>
              <w:bottom w:w="100" w:type="dxa"/>
              <w:left w:w="140" w:type="dxa"/>
              <w:right w:w="140" w:type="dxa"/>
            </w:tcMar>
          </w:tcPr>
          <w:p>
            <w:r>
              <w:rPr>
                <w:rFonts w:ascii="Calibri" w:hAnsi="Calibri"/>
                <w:color w:val="334155"/>
                <w:sz w:val="17"/>
              </w:rPr>
              <w:t>201 Created: { area }</w:t>
            </w:r>
          </w:p>
        </w:tc>
      </w:tr>
      <w:tr>
        <w:tc>
          <w:tcPr>
            <w:tcW w:type="dxa" w:w="2592"/>
            <w:shd w:fill="FFFFFF"/>
            <w:tcMar>
              <w:top w:w="100" w:type="dxa"/>
              <w:bottom w:w="100" w:type="dxa"/>
              <w:left w:w="140" w:type="dxa"/>
              <w:right w:w="140" w:type="dxa"/>
            </w:tcMar>
          </w:tcPr>
          <w:p>
            <w:r>
              <w:rPr>
                <w:rFonts w:ascii="Calibri" w:hAnsi="Calibri"/>
                <w:color w:val="334155"/>
                <w:sz w:val="17"/>
              </w:rPr>
              <w:t>GET /api/cargos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?area_id</w:t>
            </w:r>
          </w:p>
        </w:tc>
        <w:tc>
          <w:tcPr>
            <w:tcW w:type="dxa" w:w="2304"/>
            <w:shd w:fill="FFFFFF"/>
            <w:tcMar>
              <w:top w:w="100" w:type="dxa"/>
              <w:bottom w:w="100" w:type="dxa"/>
              <w:left w:w="140" w:type="dxa"/>
              <w:right w:w="140" w:type="dxa"/>
            </w:tcMar>
          </w:tcPr>
          <w:p>
            <w:r>
              <w:rPr>
                <w:rFonts w:ascii="Calibri" w:hAnsi="Calibri"/>
                <w:color w:val="334155"/>
                <w:sz w:val="17"/>
              </w:rPr>
              <w:t>200 OK: [ { id, name, area_id } ]</w:t>
            </w:r>
          </w:p>
        </w:tc>
      </w:tr>
      <w:tr>
        <w:tc>
          <w:tcPr>
            <w:tcW w:type="dxa" w:w="2592"/>
            <w:shd w:fill="F8FAFC"/>
            <w:tcMar>
              <w:top w:w="100" w:type="dxa"/>
              <w:bottom w:w="100" w:type="dxa"/>
              <w:left w:w="140" w:type="dxa"/>
              <w:right w:w="140" w:type="dxa"/>
            </w:tcMar>
          </w:tcPr>
          <w:p>
            <w:r>
              <w:rPr>
                <w:rFonts w:ascii="Calibri" w:hAnsi="Calibri"/>
                <w:color w:val="334155"/>
                <w:sz w:val="17"/>
              </w:rPr>
              <w:t>POST /api/cargos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area_id }</w:t>
            </w:r>
          </w:p>
        </w:tc>
        <w:tc>
          <w:tcPr>
            <w:tcW w:type="dxa" w:w="2304"/>
            <w:shd w:fill="F8FAFC"/>
            <w:tcMar>
              <w:top w:w="100" w:type="dxa"/>
              <w:bottom w:w="100" w:type="dxa"/>
              <w:left w:w="140" w:type="dxa"/>
              <w:right w:w="140" w:type="dxa"/>
            </w:tcMar>
          </w:tcPr>
          <w:p>
            <w:r>
              <w:rPr>
                <w:rFonts w:ascii="Calibri" w:hAnsi="Calibri"/>
                <w:color w:val="334155"/>
                <w:sz w:val="17"/>
              </w:rPr>
              <w:t>201 Created: { cargo }</w:t>
            </w:r>
          </w:p>
        </w:tc>
      </w:tr>
      <w:tr>
        <w:tc>
          <w:tcPr>
            <w:tcW w:type="dxa" w:w="2592"/>
            <w:shd w:fill="FFFFFF"/>
            <w:tcMar>
              <w:top w:w="100" w:type="dxa"/>
              <w:bottom w:w="100" w:type="dxa"/>
              <w:left w:w="140" w:type="dxa"/>
              <w:right w:w="140" w:type="dxa"/>
            </w:tcMar>
          </w:tcPr>
          <w:p>
            <w:r>
              <w:rPr>
                <w:rFonts w:ascii="Calibri" w:hAnsi="Calibri"/>
                <w:color w:val="334155"/>
                <w:sz w:val="17"/>
              </w:rPr>
              <w:t>GET /api/colaboradores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?search, ?area_id, ?page</w:t>
            </w:r>
          </w:p>
        </w:tc>
        <w:tc>
          <w:tcPr>
            <w:tcW w:type="dxa" w:w="2304"/>
            <w:shd w:fill="FFFFFF"/>
            <w:tcMar>
              <w:top w:w="100" w:type="dxa"/>
              <w:bottom w:w="100" w:type="dxa"/>
              <w:left w:w="140" w:type="dxa"/>
              <w:right w:w="140" w:type="dxa"/>
            </w:tcMar>
          </w:tcPr>
          <w:p>
            <w:r>
              <w:rPr>
                <w:rFonts w:ascii="Calibri" w:hAnsi="Calibri"/>
                <w:color w:val="334155"/>
                <w:sz w:val="17"/>
              </w:rPr>
              <w:t>200 OK: { colaboradores: [], total }</w:t>
            </w:r>
          </w:p>
        </w:tc>
      </w:tr>
      <w:tr>
        <w:tc>
          <w:tcPr>
            <w:tcW w:type="dxa" w:w="2592"/>
            <w:shd w:fill="F8FAFC"/>
            <w:tcMar>
              <w:top w:w="100" w:type="dxa"/>
              <w:bottom w:w="100" w:type="dxa"/>
              <w:left w:w="140" w:type="dxa"/>
              <w:right w:w="140" w:type="dxa"/>
            </w:tcMar>
          </w:tcPr>
          <w:p>
            <w:r>
              <w:rPr>
                <w:rFonts w:ascii="Calibri" w:hAnsi="Calibri"/>
                <w:color w:val="334155"/>
                <w:sz w:val="17"/>
              </w:rPr>
              <w:t>POST /api/colaboradores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Multipart: doc_type, doc_number, names, photo</w:t>
            </w:r>
          </w:p>
        </w:tc>
        <w:tc>
          <w:tcPr>
            <w:tcW w:type="dxa" w:w="2304"/>
            <w:shd w:fill="F8FAFC"/>
            <w:tcMar>
              <w:top w:w="100" w:type="dxa"/>
              <w:bottom w:w="100" w:type="dxa"/>
              <w:left w:w="140" w:type="dxa"/>
              <w:right w:w="140" w:type="dxa"/>
            </w:tcMar>
          </w:tcPr>
          <w:p>
            <w:r>
              <w:rPr>
                <w:rFonts w:ascii="Calibri" w:hAnsi="Calibri"/>
                <w:color w:val="334155"/>
                <w:sz w:val="17"/>
              </w:rPr>
              <w:t>201 Created: { colaborador }</w:t>
            </w:r>
          </w:p>
        </w:tc>
      </w:tr>
      <w:tr>
        <w:tc>
          <w:tcPr>
            <w:tcW w:type="dxa" w:w="2592"/>
            <w:shd w:fill="FFFFFF"/>
            <w:tcMar>
              <w:top w:w="100" w:type="dxa"/>
              <w:bottom w:w="100" w:type="dxa"/>
              <w:left w:w="140" w:type="dxa"/>
              <w:right w:w="140" w:type="dxa"/>
            </w:tcMar>
          </w:tcPr>
          <w:p>
            <w:r>
              <w:rPr>
                <w:rFonts w:ascii="Calibri" w:hAnsi="Calibri"/>
                <w:color w:val="334155"/>
                <w:sz w:val="17"/>
              </w:rPr>
              <w:t>GET /api/templates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Token de Empresa</w:t>
            </w:r>
          </w:p>
        </w:tc>
        <w:tc>
          <w:tcPr>
            <w:tcW w:type="dxa" w:w="2304"/>
            <w:shd w:fill="FFFFFF"/>
            <w:tcMar>
              <w:top w:w="100" w:type="dxa"/>
              <w:bottom w:w="100" w:type="dxa"/>
              <w:left w:w="140" w:type="dxa"/>
              <w:right w:w="140" w:type="dxa"/>
            </w:tcMar>
          </w:tcPr>
          <w:p>
            <w:r>
              <w:rPr>
                <w:rFonts w:ascii="Calibri" w:hAnsi="Calibri"/>
                <w:color w:val="334155"/>
                <w:sz w:val="17"/>
              </w:rPr>
              <w:t>200 OK: [ { id, name, design_json } ]</w:t>
            </w:r>
          </w:p>
        </w:tc>
      </w:tr>
      <w:tr>
        <w:tc>
          <w:tcPr>
            <w:tcW w:type="dxa" w:w="2592"/>
            <w:shd w:fill="F8FAFC"/>
            <w:tcMar>
              <w:top w:w="100" w:type="dxa"/>
              <w:bottom w:w="100" w:type="dxa"/>
              <w:left w:w="140" w:type="dxa"/>
              <w:right w:w="140" w:type="dxa"/>
            </w:tcMar>
          </w:tcPr>
          <w:p>
            <w:r>
              <w:rPr>
                <w:rFonts w:ascii="Calibri" w:hAnsi="Calibri"/>
                <w:color w:val="334155"/>
                <w:sz w:val="17"/>
              </w:rPr>
              <w:t>POST /api/templates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name, orientation, design_json }</w:t>
            </w:r>
          </w:p>
        </w:tc>
        <w:tc>
          <w:tcPr>
            <w:tcW w:type="dxa" w:w="2304"/>
            <w:shd w:fill="F8FAFC"/>
            <w:tcMar>
              <w:top w:w="100" w:type="dxa"/>
              <w:bottom w:w="100" w:type="dxa"/>
              <w:left w:w="140" w:type="dxa"/>
              <w:right w:w="140" w:type="dxa"/>
            </w:tcMar>
          </w:tcPr>
          <w:p>
            <w:r>
              <w:rPr>
                <w:rFonts w:ascii="Calibri" w:hAnsi="Calibri"/>
                <w:color w:val="334155"/>
                <w:sz w:val="17"/>
              </w:rPr>
              <w:t>201 Created: { template }</w:t>
            </w:r>
          </w:p>
        </w:tc>
      </w:tr>
      <w:tr>
        <w:tc>
          <w:tcPr>
            <w:tcW w:type="dxa" w:w="2592"/>
            <w:shd w:fill="FFFFFF"/>
            <w:tcMar>
              <w:top w:w="100" w:type="dxa"/>
              <w:bottom w:w="100" w:type="dxa"/>
              <w:left w:w="140" w:type="dxa"/>
              <w:right w:w="140" w:type="dxa"/>
            </w:tcMar>
          </w:tcPr>
          <w:p>
            <w:r>
              <w:rPr>
                <w:rFonts w:ascii="Calibri" w:hAnsi="Calibri"/>
                <w:color w:val="334155"/>
                <w:sz w:val="17"/>
              </w:rPr>
              <w:t>GET /api/carnets</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?user_id, ?status, ?page</w:t>
            </w:r>
          </w:p>
        </w:tc>
        <w:tc>
          <w:tcPr>
            <w:tcW w:type="dxa" w:w="2304"/>
            <w:shd w:fill="FFFFFF"/>
            <w:tcMar>
              <w:top w:w="100" w:type="dxa"/>
              <w:bottom w:w="100" w:type="dxa"/>
              <w:left w:w="140" w:type="dxa"/>
              <w:right w:w="140" w:type="dxa"/>
            </w:tcMar>
          </w:tcPr>
          <w:p>
            <w:r>
              <w:rPr>
                <w:rFonts w:ascii="Calibri" w:hAnsi="Calibri"/>
                <w:color w:val="334155"/>
                <w:sz w:val="17"/>
              </w:rPr>
              <w:t>200 OK: { carnets: [], total }</w:t>
            </w:r>
          </w:p>
        </w:tc>
      </w:tr>
      <w:tr>
        <w:tc>
          <w:tcPr>
            <w:tcW w:type="dxa" w:w="2592"/>
            <w:shd w:fill="F8FAFC"/>
            <w:tcMar>
              <w:top w:w="100" w:type="dxa"/>
              <w:bottom w:w="100" w:type="dxa"/>
              <w:left w:w="140" w:type="dxa"/>
              <w:right w:w="140" w:type="dxa"/>
            </w:tcMar>
          </w:tcPr>
          <w:p>
            <w:r>
              <w:rPr>
                <w:rFonts w:ascii="Calibri" w:hAnsi="Calibri"/>
                <w:color w:val="334155"/>
                <w:sz w:val="17"/>
              </w:rPr>
              <w:t>POST /api/carnets</w:t>
            </w:r>
          </w:p>
        </w:tc>
        <w:tc>
          <w:tcPr>
            <w:tcW w:type="dxa" w:w="1872"/>
            <w:shd w:fill="F8FAFC"/>
            <w:tcMar>
              <w:top w:w="100" w:type="dxa"/>
              <w:bottom w:w="100" w:type="dxa"/>
              <w:left w:w="140" w:type="dxa"/>
              <w:right w:w="140" w:type="dxa"/>
            </w:tcMar>
          </w:tcPr>
          <w:p>
            <w:r>
              <w:rPr>
                <w:rFonts w:ascii="Calibri" w:hAnsi="Calibri"/>
                <w:color w:val="334155"/>
                <w:sz w:val="17"/>
              </w:rPr>
              <w:t>Empresa (Tenant)</w:t>
            </w:r>
          </w:p>
        </w:tc>
        <w:tc>
          <w:tcPr>
            <w:tcW w:type="dxa" w:w="2592"/>
            <w:shd w:fill="F8FAFC"/>
            <w:tcMar>
              <w:top w:w="100" w:type="dxa"/>
              <w:bottom w:w="100" w:type="dxa"/>
              <w:left w:w="140" w:type="dxa"/>
              <w:right w:w="140" w:type="dxa"/>
            </w:tcMar>
          </w:tcPr>
          <w:p>
            <w:r>
              <w:rPr>
                <w:rFonts w:ascii="Calibri" w:hAnsi="Calibri"/>
                <w:color w:val="334155"/>
                <w:sz w:val="17"/>
              </w:rPr>
              <w:t>{ user_id, template_id, expiration_date }</w:t>
            </w:r>
          </w:p>
        </w:tc>
        <w:tc>
          <w:tcPr>
            <w:tcW w:type="dxa" w:w="2304"/>
            <w:shd w:fill="F8FAFC"/>
            <w:tcMar>
              <w:top w:w="100" w:type="dxa"/>
              <w:bottom w:w="100" w:type="dxa"/>
              <w:left w:w="140" w:type="dxa"/>
              <w:right w:w="140" w:type="dxa"/>
            </w:tcMar>
          </w:tcPr>
          <w:p>
            <w:r>
              <w:rPr>
                <w:rFonts w:ascii="Calibri" w:hAnsi="Calibri"/>
                <w:color w:val="334155"/>
                <w:sz w:val="17"/>
              </w:rPr>
              <w:t>201 Created: { carnet, qr_hash, pdf_url }</w:t>
            </w:r>
          </w:p>
        </w:tc>
      </w:tr>
      <w:tr>
        <w:tc>
          <w:tcPr>
            <w:tcW w:type="dxa" w:w="2592"/>
            <w:shd w:fill="FFFFFF"/>
            <w:tcMar>
              <w:top w:w="100" w:type="dxa"/>
              <w:bottom w:w="100" w:type="dxa"/>
              <w:left w:w="140" w:type="dxa"/>
              <w:right w:w="140" w:type="dxa"/>
            </w:tcMar>
          </w:tcPr>
          <w:p>
            <w:r>
              <w:rPr>
                <w:rFonts w:ascii="Calibri" w:hAnsi="Calibri"/>
                <w:color w:val="334155"/>
                <w:sz w:val="17"/>
              </w:rPr>
              <w:t>DELETE /api/carnets/:id</w:t>
            </w:r>
          </w:p>
        </w:tc>
        <w:tc>
          <w:tcPr>
            <w:tcW w:type="dxa" w:w="1872"/>
            <w:shd w:fill="FFFFFF"/>
            <w:tcMar>
              <w:top w:w="100" w:type="dxa"/>
              <w:bottom w:w="100" w:type="dxa"/>
              <w:left w:w="140" w:type="dxa"/>
              <w:right w:w="140" w:type="dxa"/>
            </w:tcMar>
          </w:tcPr>
          <w:p>
            <w:r>
              <w:rPr>
                <w:rFonts w:ascii="Calibri" w:hAnsi="Calibri"/>
                <w:color w:val="334155"/>
                <w:sz w:val="17"/>
              </w:rPr>
              <w:t>Empresa (Tenant)</w:t>
            </w:r>
          </w:p>
        </w:tc>
        <w:tc>
          <w:tcPr>
            <w:tcW w:type="dxa" w:w="2592"/>
            <w:shd w:fill="FFFFFF"/>
            <w:tcMar>
              <w:top w:w="100" w:type="dxa"/>
              <w:bottom w:w="100" w:type="dxa"/>
              <w:left w:w="140" w:type="dxa"/>
              <w:right w:w="140" w:type="dxa"/>
            </w:tcMar>
          </w:tcPr>
          <w:p>
            <w:r>
              <w:rPr>
                <w:rFonts w:ascii="Calibri" w:hAnsi="Calibri"/>
                <w:color w:val="334155"/>
                <w:sz w:val="17"/>
              </w:rPr>
              <w:t>ID del carnet a revocar</w:t>
            </w:r>
          </w:p>
        </w:tc>
        <w:tc>
          <w:tcPr>
            <w:tcW w:type="dxa" w:w="2304"/>
            <w:shd w:fill="FFFFFF"/>
            <w:tcMar>
              <w:top w:w="100" w:type="dxa"/>
              <w:bottom w:w="100" w:type="dxa"/>
              <w:left w:w="140" w:type="dxa"/>
              <w:right w:w="140" w:type="dxa"/>
            </w:tcMar>
          </w:tcPr>
          <w:p>
            <w:r>
              <w:rPr>
                <w:rFonts w:ascii="Calibri" w:hAnsi="Calibri"/>
                <w:color w:val="334155"/>
                <w:sz w:val="17"/>
              </w:rPr>
              <w:t>200 OK: { message: 'Carnet revocado' }</w:t>
            </w:r>
          </w:p>
        </w:tc>
      </w:tr>
      <w:tr>
        <w:tc>
          <w:tcPr>
            <w:tcW w:type="dxa" w:w="2592"/>
            <w:shd w:fill="F8FAFC"/>
            <w:tcMar>
              <w:top w:w="100" w:type="dxa"/>
              <w:bottom w:w="100" w:type="dxa"/>
              <w:left w:w="140" w:type="dxa"/>
              <w:right w:w="140" w:type="dxa"/>
            </w:tcMar>
          </w:tcPr>
          <w:p>
            <w:r>
              <w:rPr>
                <w:rFonts w:ascii="Calibri" w:hAnsi="Calibri"/>
                <w:color w:val="334155"/>
                <w:sz w:val="17"/>
              </w:rPr>
              <w:t>GET /api/carnets/verify/:hash</w:t>
            </w:r>
          </w:p>
        </w:tc>
        <w:tc>
          <w:tcPr>
            <w:tcW w:type="dxa" w:w="1872"/>
            <w:shd w:fill="F8FAFC"/>
            <w:tcMar>
              <w:top w:w="100" w:type="dxa"/>
              <w:bottom w:w="100" w:type="dxa"/>
              <w:left w:w="140" w:type="dxa"/>
              <w:right w:w="140" w:type="dxa"/>
            </w:tcMar>
          </w:tcPr>
          <w:p>
            <w:r>
              <w:rPr>
                <w:rFonts w:ascii="Calibri" w:hAnsi="Calibri"/>
                <w:color w:val="334155"/>
                <w:sz w:val="17"/>
              </w:rPr>
              <w:t>Público</w:t>
            </w:r>
          </w:p>
        </w:tc>
        <w:tc>
          <w:tcPr>
            <w:tcW w:type="dxa" w:w="2592"/>
            <w:shd w:fill="F8FAFC"/>
            <w:tcMar>
              <w:top w:w="100" w:type="dxa"/>
              <w:bottom w:w="100" w:type="dxa"/>
              <w:left w:w="140" w:type="dxa"/>
              <w:right w:w="140" w:type="dxa"/>
            </w:tcMar>
          </w:tcPr>
          <w:p>
            <w:r>
              <w:rPr>
                <w:rFonts w:ascii="Calibri" w:hAnsi="Calibri"/>
                <w:color w:val="334155"/>
                <w:sz w:val="17"/>
              </w:rPr>
              <w:t>Hash único del código QR</w:t>
            </w:r>
          </w:p>
        </w:tc>
        <w:tc>
          <w:tcPr>
            <w:tcW w:type="dxa" w:w="2304"/>
            <w:shd w:fill="F8FAFC"/>
            <w:tcMar>
              <w:top w:w="100" w:type="dxa"/>
              <w:bottom w:w="100" w:type="dxa"/>
              <w:left w:w="140" w:type="dxa"/>
              <w:right w:w="140" w:type="dxa"/>
            </w:tcMar>
          </w:tcPr>
          <w:p>
            <w:r>
              <w:rPr>
                <w:rFonts w:ascii="Calibri" w:hAnsi="Calibri"/>
                <w:color w:val="334155"/>
                <w:sz w:val="17"/>
              </w:rPr>
              <w:t>200 OK: { valid: true, colaborador, vigencia }</w:t>
            </w:r>
          </w:p>
        </w:tc>
      </w:tr>
      <w:tr>
        <w:tc>
          <w:tcPr>
            <w:tcW w:type="dxa" w:w="2592"/>
            <w:shd w:fill="FFFFFF"/>
            <w:tcMar>
              <w:top w:w="100" w:type="dxa"/>
              <w:bottom w:w="100" w:type="dxa"/>
              <w:left w:w="140" w:type="dxa"/>
              <w:right w:w="140" w:type="dxa"/>
            </w:tcMar>
          </w:tcPr>
          <w:p>
            <w:r>
              <w:rPr>
                <w:rFonts w:ascii="Calibri" w:hAnsi="Calibri"/>
                <w:color w:val="334155"/>
                <w:sz w:val="17"/>
              </w:rPr>
              <w:t>POST /api/webhooks/mercadopago</w:t>
            </w:r>
          </w:p>
        </w:tc>
        <w:tc>
          <w:tcPr>
            <w:tcW w:type="dxa" w:w="1872"/>
            <w:shd w:fill="FFFFFF"/>
            <w:tcMar>
              <w:top w:w="100" w:type="dxa"/>
              <w:bottom w:w="100" w:type="dxa"/>
              <w:left w:w="140" w:type="dxa"/>
              <w:right w:w="140" w:type="dxa"/>
            </w:tcMar>
          </w:tcPr>
          <w:p>
            <w:r>
              <w:rPr>
                <w:rFonts w:ascii="Calibri" w:hAnsi="Calibri"/>
                <w:color w:val="334155"/>
                <w:sz w:val="17"/>
              </w:rPr>
              <w:t>Público (Firma HMAC)</w:t>
            </w:r>
          </w:p>
        </w:tc>
        <w:tc>
          <w:tcPr>
            <w:tcW w:type="dxa" w:w="2592"/>
            <w:shd w:fill="FFFFFF"/>
            <w:tcMar>
              <w:top w:w="100" w:type="dxa"/>
              <w:bottom w:w="100" w:type="dxa"/>
              <w:left w:w="140" w:type="dxa"/>
              <w:right w:w="140" w:type="dxa"/>
            </w:tcMar>
          </w:tcPr>
          <w:p>
            <w:r>
              <w:rPr>
                <w:rFonts w:ascii="Calibri" w:hAnsi="Calibri"/>
                <w:color w:val="334155"/>
                <w:sz w:val="17"/>
              </w:rPr>
              <w:t>Header: x-signature, Body: { data: { id } }</w:t>
            </w:r>
          </w:p>
        </w:tc>
        <w:tc>
          <w:tcPr>
            <w:tcW w:type="dxa" w:w="2304"/>
            <w:shd w:fill="FFFFFF"/>
            <w:tcMar>
              <w:top w:w="100" w:type="dxa"/>
              <w:bottom w:w="100" w:type="dxa"/>
              <w:left w:w="140" w:type="dxa"/>
              <w:right w:w="140" w:type="dxa"/>
            </w:tcMar>
          </w:tcPr>
          <w:p>
            <w:r>
              <w:rPr>
                <w:rFonts w:ascii="Calibri" w:hAnsi="Calibri"/>
                <w:color w:val="334155"/>
                <w:sz w:val="17"/>
              </w:rPr>
              <w:t>200 OK: { received: true }</w:t>
            </w:r>
          </w:p>
        </w:tc>
      </w:tr>
    </w:tbl>
    <w:p>
      <w:r>
        <w:br w:type="page"/>
      </w:r>
    </w:p>
    <w:p>
      <w:pPr>
        <w:pStyle w:val="Heading1"/>
      </w:pPr>
      <w:r>
        <w:t>Parte 2. Arquitectura técnica del frontend</w:t>
      </w:r>
    </w:p>
    <w:p>
      <w:pPr>
        <w:pStyle w:val="Heading2"/>
      </w:pPr>
      <w:r>
        <w:t>2.1 Stack tecnológico y capacidades del cliente</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Capa tecnológica</w:t>
            </w:r>
          </w:p>
        </w:tc>
        <w:tc>
          <w:tcPr>
            <w:tcW w:type="dxa" w:w="2592"/>
            <w:shd w:fill="001F3F"/>
            <w:tcMar>
              <w:top w:w="120" w:type="dxa"/>
              <w:bottom w:w="120" w:type="dxa"/>
              <w:left w:w="140" w:type="dxa"/>
              <w:right w:w="140" w:type="dxa"/>
            </w:tcMar>
          </w:tcPr>
          <w:p>
            <w:pPr>
              <w:jc w:val="left"/>
            </w:pPr>
            <w:r>
              <w:rPr>
                <w:rFonts w:ascii="Calibri" w:hAnsi="Calibri"/>
                <w:b/>
                <w:color w:val="FFFFFF"/>
                <w:sz w:val="18"/>
              </w:rPr>
              <w:t>Librería y versión</w:t>
            </w:r>
          </w:p>
        </w:tc>
        <w:tc>
          <w:tcPr>
            <w:tcW w:type="dxa" w:w="4464"/>
            <w:shd w:fill="001F3F"/>
            <w:tcMar>
              <w:top w:w="120" w:type="dxa"/>
              <w:bottom w:w="120" w:type="dxa"/>
              <w:left w:w="140" w:type="dxa"/>
              <w:right w:w="140" w:type="dxa"/>
            </w:tcMar>
          </w:tcPr>
          <w:p>
            <w:pPr>
              <w:jc w:val="left"/>
            </w:pPr>
            <w:r>
              <w:rPr>
                <w:rFonts w:ascii="Calibri" w:hAnsi="Calibri"/>
                <w:b/>
                <w:color w:val="FFFFFF"/>
                <w:sz w:val="18"/>
              </w:rPr>
              <w:t>Rol y responsabilidad en la plataforma</w:t>
            </w:r>
          </w:p>
        </w:tc>
      </w:tr>
      <w:tr>
        <w:tc>
          <w:tcPr>
            <w:tcW w:type="dxa" w:w="2304"/>
            <w:shd w:fill="FFFFFF"/>
            <w:tcMar>
              <w:top w:w="100" w:type="dxa"/>
              <w:bottom w:w="100" w:type="dxa"/>
              <w:left w:w="140" w:type="dxa"/>
              <w:right w:w="140" w:type="dxa"/>
            </w:tcMar>
          </w:tcPr>
          <w:p>
            <w:r>
              <w:rPr>
                <w:rFonts w:ascii="Calibri" w:hAnsi="Calibri"/>
                <w:color w:val="334155"/>
                <w:sz w:val="17"/>
              </w:rPr>
              <w:t>Librería de interfaz</w:t>
            </w:r>
          </w:p>
        </w:tc>
        <w:tc>
          <w:tcPr>
            <w:tcW w:type="dxa" w:w="2592"/>
            <w:shd w:fill="FFFFFF"/>
            <w:tcMar>
              <w:top w:w="100" w:type="dxa"/>
              <w:bottom w:w="100" w:type="dxa"/>
              <w:left w:w="140" w:type="dxa"/>
              <w:right w:w="140" w:type="dxa"/>
            </w:tcMar>
          </w:tcPr>
          <w:p>
            <w:r>
              <w:rPr>
                <w:rFonts w:ascii="Calibri" w:hAnsi="Calibri"/>
                <w:color w:val="334155"/>
                <w:sz w:val="17"/>
              </w:rPr>
              <w:t>React v19.x</w:t>
            </w:r>
          </w:p>
        </w:tc>
        <w:tc>
          <w:tcPr>
            <w:tcW w:type="dxa" w:w="4464"/>
            <w:shd w:fill="FFFFFF"/>
            <w:tcMar>
              <w:top w:w="100" w:type="dxa"/>
              <w:bottom w:w="100" w:type="dxa"/>
              <w:left w:w="140" w:type="dxa"/>
              <w:right w:w="140" w:type="dxa"/>
            </w:tcMar>
          </w:tcPr>
          <w:p>
            <w:r>
              <w:rPr>
                <w:rFonts w:ascii="Calibri" w:hAnsi="Calibri"/>
                <w:color w:val="334155"/>
                <w:sz w:val="17"/>
              </w:rPr>
              <w:t>Renderizado reactivo de componentes, concurrencia y ciclo de vida.</w:t>
            </w:r>
          </w:p>
        </w:tc>
      </w:tr>
      <w:tr>
        <w:tc>
          <w:tcPr>
            <w:tcW w:type="dxa" w:w="2304"/>
            <w:shd w:fill="F8FAFC"/>
            <w:tcMar>
              <w:top w:w="100" w:type="dxa"/>
              <w:bottom w:w="100" w:type="dxa"/>
              <w:left w:w="140" w:type="dxa"/>
              <w:right w:w="140" w:type="dxa"/>
            </w:tcMar>
          </w:tcPr>
          <w:p>
            <w:r>
              <w:rPr>
                <w:rFonts w:ascii="Calibri" w:hAnsi="Calibri"/>
                <w:color w:val="334155"/>
                <w:sz w:val="17"/>
              </w:rPr>
              <w:t>Empaquetador y build tool</w:t>
            </w:r>
          </w:p>
        </w:tc>
        <w:tc>
          <w:tcPr>
            <w:tcW w:type="dxa" w:w="2592"/>
            <w:shd w:fill="F8FAFC"/>
            <w:tcMar>
              <w:top w:w="100" w:type="dxa"/>
              <w:bottom w:w="100" w:type="dxa"/>
              <w:left w:w="140" w:type="dxa"/>
              <w:right w:w="140" w:type="dxa"/>
            </w:tcMar>
          </w:tcPr>
          <w:p>
            <w:r>
              <w:rPr>
                <w:rFonts w:ascii="Calibri" w:hAnsi="Calibri"/>
                <w:color w:val="334155"/>
                <w:sz w:val="17"/>
              </w:rPr>
              <w:t>Vite v5.x / Rollup</w:t>
            </w:r>
          </w:p>
        </w:tc>
        <w:tc>
          <w:tcPr>
            <w:tcW w:type="dxa" w:w="4464"/>
            <w:shd w:fill="F8FAFC"/>
            <w:tcMar>
              <w:top w:w="100" w:type="dxa"/>
              <w:bottom w:w="100" w:type="dxa"/>
              <w:left w:w="140" w:type="dxa"/>
              <w:right w:w="140" w:type="dxa"/>
            </w:tcMar>
          </w:tcPr>
          <w:p>
            <w:r>
              <w:rPr>
                <w:rFonts w:ascii="Calibri" w:hAnsi="Calibri"/>
                <w:color w:val="334155"/>
                <w:sz w:val="17"/>
              </w:rPr>
              <w:t>Desarrollo ágil con Hot Module Replacement (HMR) y empaquetado minificado.</w:t>
            </w:r>
          </w:p>
        </w:tc>
      </w:tr>
      <w:tr>
        <w:tc>
          <w:tcPr>
            <w:tcW w:type="dxa" w:w="2304"/>
            <w:shd w:fill="FFFFFF"/>
            <w:tcMar>
              <w:top w:w="100" w:type="dxa"/>
              <w:bottom w:w="100" w:type="dxa"/>
              <w:left w:w="140" w:type="dxa"/>
              <w:right w:w="140" w:type="dxa"/>
            </w:tcMar>
          </w:tcPr>
          <w:p>
            <w:r>
              <w:rPr>
                <w:rFonts w:ascii="Calibri" w:hAnsi="Calibri"/>
                <w:color w:val="334155"/>
                <w:sz w:val="17"/>
              </w:rPr>
              <w:t>Enrutamiento SPA</w:t>
            </w:r>
          </w:p>
        </w:tc>
        <w:tc>
          <w:tcPr>
            <w:tcW w:type="dxa" w:w="2592"/>
            <w:shd w:fill="FFFFFF"/>
            <w:tcMar>
              <w:top w:w="100" w:type="dxa"/>
              <w:bottom w:w="100" w:type="dxa"/>
              <w:left w:w="140" w:type="dxa"/>
              <w:right w:w="140" w:type="dxa"/>
            </w:tcMar>
          </w:tcPr>
          <w:p>
            <w:r>
              <w:rPr>
                <w:rFonts w:ascii="Calibri" w:hAnsi="Calibri"/>
                <w:color w:val="334155"/>
                <w:sz w:val="17"/>
              </w:rPr>
              <w:t>React Router DOM v7.x</w:t>
            </w:r>
          </w:p>
        </w:tc>
        <w:tc>
          <w:tcPr>
            <w:tcW w:type="dxa" w:w="4464"/>
            <w:shd w:fill="FFFFFF"/>
            <w:tcMar>
              <w:top w:w="100" w:type="dxa"/>
              <w:bottom w:w="100" w:type="dxa"/>
              <w:left w:w="140" w:type="dxa"/>
              <w:right w:w="140" w:type="dxa"/>
            </w:tcMar>
          </w:tcPr>
          <w:p>
            <w:r>
              <w:rPr>
                <w:rFonts w:ascii="Calibri" w:hAnsi="Calibri"/>
                <w:color w:val="334155"/>
                <w:sz w:val="17"/>
              </w:rPr>
              <w:t>Navegación del lado del cliente, layouts anidados y rutas protegidas por rol.</w:t>
            </w:r>
          </w:p>
        </w:tc>
      </w:tr>
      <w:tr>
        <w:tc>
          <w:tcPr>
            <w:tcW w:type="dxa" w:w="2304"/>
            <w:shd w:fill="F8FAFC"/>
            <w:tcMar>
              <w:top w:w="100" w:type="dxa"/>
              <w:bottom w:w="100" w:type="dxa"/>
              <w:left w:w="140" w:type="dxa"/>
              <w:right w:w="140" w:type="dxa"/>
            </w:tcMar>
          </w:tcPr>
          <w:p>
            <w:r>
              <w:rPr>
                <w:rFonts w:ascii="Calibri" w:hAnsi="Calibri"/>
                <w:color w:val="334155"/>
                <w:sz w:val="17"/>
              </w:rPr>
              <w:t>Cliente HTTP</w:t>
            </w:r>
          </w:p>
        </w:tc>
        <w:tc>
          <w:tcPr>
            <w:tcW w:type="dxa" w:w="2592"/>
            <w:shd w:fill="F8FAFC"/>
            <w:tcMar>
              <w:top w:w="100" w:type="dxa"/>
              <w:bottom w:w="100" w:type="dxa"/>
              <w:left w:w="140" w:type="dxa"/>
              <w:right w:w="140" w:type="dxa"/>
            </w:tcMar>
          </w:tcPr>
          <w:p>
            <w:r>
              <w:rPr>
                <w:rFonts w:ascii="Calibri" w:hAnsi="Calibri"/>
                <w:color w:val="334155"/>
                <w:sz w:val="17"/>
              </w:rPr>
              <w:t>Axios v1.x</w:t>
            </w:r>
          </w:p>
        </w:tc>
        <w:tc>
          <w:tcPr>
            <w:tcW w:type="dxa" w:w="4464"/>
            <w:shd w:fill="F8FAFC"/>
            <w:tcMar>
              <w:top w:w="100" w:type="dxa"/>
              <w:bottom w:w="100" w:type="dxa"/>
              <w:left w:w="140" w:type="dxa"/>
              <w:right w:w="140" w:type="dxa"/>
            </w:tcMar>
          </w:tcPr>
          <w:p>
            <w:r>
              <w:rPr>
                <w:rFonts w:ascii="Calibri" w:hAnsi="Calibri"/>
                <w:color w:val="334155"/>
                <w:sz w:val="17"/>
              </w:rPr>
              <w:t>Inyección automática de cabeceras Bearer JWT y manejo uniforme de excepciones 401/403.</w:t>
            </w:r>
          </w:p>
        </w:tc>
      </w:tr>
      <w:tr>
        <w:tc>
          <w:tcPr>
            <w:tcW w:type="dxa" w:w="2304"/>
            <w:shd w:fill="FFFFFF"/>
            <w:tcMar>
              <w:top w:w="100" w:type="dxa"/>
              <w:bottom w:w="100" w:type="dxa"/>
              <w:left w:w="140" w:type="dxa"/>
              <w:right w:w="140" w:type="dxa"/>
            </w:tcMar>
          </w:tcPr>
          <w:p>
            <w:r>
              <w:rPr>
                <w:rFonts w:ascii="Calibri" w:hAnsi="Calibri"/>
                <w:color w:val="334155"/>
                <w:sz w:val="17"/>
              </w:rPr>
              <w:t>Motor de animaciones</w:t>
            </w:r>
          </w:p>
        </w:tc>
        <w:tc>
          <w:tcPr>
            <w:tcW w:type="dxa" w:w="2592"/>
            <w:shd w:fill="FFFFFF"/>
            <w:tcMar>
              <w:top w:w="100" w:type="dxa"/>
              <w:bottom w:w="100" w:type="dxa"/>
              <w:left w:w="140" w:type="dxa"/>
              <w:right w:w="140" w:type="dxa"/>
            </w:tcMar>
          </w:tcPr>
          <w:p>
            <w:r>
              <w:rPr>
                <w:rFonts w:ascii="Calibri" w:hAnsi="Calibri"/>
                <w:color w:val="334155"/>
                <w:sz w:val="17"/>
              </w:rPr>
              <w:t>Framer Motion v12.x</w:t>
            </w:r>
          </w:p>
        </w:tc>
        <w:tc>
          <w:tcPr>
            <w:tcW w:type="dxa" w:w="4464"/>
            <w:shd w:fill="FFFFFF"/>
            <w:tcMar>
              <w:top w:w="100" w:type="dxa"/>
              <w:bottom w:w="100" w:type="dxa"/>
              <w:left w:w="140" w:type="dxa"/>
              <w:right w:w="140" w:type="dxa"/>
            </w:tcMar>
          </w:tcPr>
          <w:p>
            <w:r>
              <w:rPr>
                <w:rFonts w:ascii="Calibri" w:hAnsi="Calibri"/>
                <w:color w:val="334155"/>
                <w:sz w:val="17"/>
              </w:rPr>
              <w:t>Transiciones fluidas entre pantallas, modales animados y microinteracciones a 60 fps.</w:t>
            </w:r>
          </w:p>
        </w:tc>
      </w:tr>
      <w:tr>
        <w:tc>
          <w:tcPr>
            <w:tcW w:type="dxa" w:w="2304"/>
            <w:shd w:fill="F8FAFC"/>
            <w:tcMar>
              <w:top w:w="100" w:type="dxa"/>
              <w:bottom w:w="100" w:type="dxa"/>
              <w:left w:w="140" w:type="dxa"/>
              <w:right w:w="140" w:type="dxa"/>
            </w:tcMar>
          </w:tcPr>
          <w:p>
            <w:r>
              <w:rPr>
                <w:rFonts w:ascii="Calibri" w:hAnsi="Calibri"/>
                <w:color w:val="334155"/>
                <w:sz w:val="17"/>
              </w:rPr>
              <w:t>Iconografía vectorial</w:t>
            </w:r>
          </w:p>
        </w:tc>
        <w:tc>
          <w:tcPr>
            <w:tcW w:type="dxa" w:w="2592"/>
            <w:shd w:fill="F8FAFC"/>
            <w:tcMar>
              <w:top w:w="100" w:type="dxa"/>
              <w:bottom w:w="100" w:type="dxa"/>
              <w:left w:w="140" w:type="dxa"/>
              <w:right w:w="140" w:type="dxa"/>
            </w:tcMar>
          </w:tcPr>
          <w:p>
            <w:r>
              <w:rPr>
                <w:rFonts w:ascii="Calibri" w:hAnsi="Calibri"/>
                <w:color w:val="334155"/>
                <w:sz w:val="17"/>
              </w:rPr>
              <w:t>Lucide React</w:t>
            </w:r>
          </w:p>
        </w:tc>
        <w:tc>
          <w:tcPr>
            <w:tcW w:type="dxa" w:w="4464"/>
            <w:shd w:fill="F8FAFC"/>
            <w:tcMar>
              <w:top w:w="100" w:type="dxa"/>
              <w:bottom w:w="100" w:type="dxa"/>
              <w:left w:w="140" w:type="dxa"/>
              <w:right w:w="140" w:type="dxa"/>
            </w:tcMar>
          </w:tcPr>
          <w:p>
            <w:r>
              <w:rPr>
                <w:rFonts w:ascii="Calibri" w:hAnsi="Calibri"/>
                <w:color w:val="334155"/>
                <w:sz w:val="17"/>
              </w:rPr>
              <w:t>Catálogo de íconos vectoriales SVG optimizados para reducir el tamaño final del paquete.</w:t>
            </w:r>
          </w:p>
        </w:tc>
      </w:tr>
      <w:tr>
        <w:tc>
          <w:tcPr>
            <w:tcW w:type="dxa" w:w="2304"/>
            <w:shd w:fill="FFFFFF"/>
            <w:tcMar>
              <w:top w:w="100" w:type="dxa"/>
              <w:bottom w:w="100" w:type="dxa"/>
              <w:left w:w="140" w:type="dxa"/>
              <w:right w:w="140" w:type="dxa"/>
            </w:tcMar>
          </w:tcPr>
          <w:p>
            <w:r>
              <w:rPr>
                <w:rFonts w:ascii="Calibri" w:hAnsi="Calibri"/>
                <w:color w:val="334155"/>
                <w:sz w:val="17"/>
              </w:rPr>
              <w:t>Motor gráfico de carnets</w:t>
            </w:r>
          </w:p>
        </w:tc>
        <w:tc>
          <w:tcPr>
            <w:tcW w:type="dxa" w:w="2592"/>
            <w:shd w:fill="FFFFFF"/>
            <w:tcMar>
              <w:top w:w="100" w:type="dxa"/>
              <w:bottom w:w="100" w:type="dxa"/>
              <w:left w:w="140" w:type="dxa"/>
              <w:right w:w="140" w:type="dxa"/>
            </w:tcMar>
          </w:tcPr>
          <w:p>
            <w:r>
              <w:rPr>
                <w:rFonts w:ascii="Calibri" w:hAnsi="Calibri"/>
                <w:color w:val="334155"/>
                <w:sz w:val="17"/>
              </w:rPr>
              <w:t>HTML5 Canvas API Nativa</w:t>
            </w:r>
          </w:p>
        </w:tc>
        <w:tc>
          <w:tcPr>
            <w:tcW w:type="dxa" w:w="4464"/>
            <w:shd w:fill="FFFFFF"/>
            <w:tcMar>
              <w:top w:w="100" w:type="dxa"/>
              <w:bottom w:w="100" w:type="dxa"/>
              <w:left w:w="140" w:type="dxa"/>
              <w:right w:w="140" w:type="dxa"/>
            </w:tcMar>
          </w:tcPr>
          <w:p>
            <w:r>
              <w:rPr>
                <w:rFonts w:ascii="Calibri" w:hAnsi="Calibri"/>
                <w:color w:val="334155"/>
                <w:sz w:val="17"/>
              </w:rPr>
              <w:t>Renderizado pixel-perfect de capas de texto, fotos y código QR a 300 DPI.</w:t>
            </w:r>
          </w:p>
        </w:tc>
      </w:tr>
    </w:tbl>
    <w:p>
      <w:pPr>
        <w:pStyle w:val="Heading2"/>
      </w:pPr>
      <w:r>
        <w:t>2.2 Estructura y topología modular de carpetas (src/)</w:t>
      </w:r>
    </w:p>
    <w:tbl>
      <w:tblPr>
        <w:tblW w:type="auto" w:w="0"/>
        <w:jc w:val="center"/>
        <w:tblLook w:firstColumn="1" w:firstRow="1" w:lastColumn="0" w:lastRow="0" w:noHBand="0" w:noVBand="1" w:val="04A0"/>
      </w:tblPr>
      <w:tblGrid>
        <w:gridCol w:w="3120"/>
        <w:gridCol w:w="3120"/>
        <w:gridCol w:w="3120"/>
      </w:tblGrid>
      <w:tr>
        <w:tc>
          <w:tcPr>
            <w:tcW w:type="dxa" w:w="2304"/>
            <w:shd w:fill="001F3F"/>
            <w:tcMar>
              <w:top w:w="120" w:type="dxa"/>
              <w:bottom w:w="120" w:type="dxa"/>
              <w:left w:w="140" w:type="dxa"/>
              <w:right w:w="140" w:type="dxa"/>
            </w:tcMar>
          </w:tcPr>
          <w:p>
            <w:pPr>
              <w:jc w:val="left"/>
            </w:pPr>
            <w:r>
              <w:rPr>
                <w:rFonts w:ascii="Calibri" w:hAnsi="Calibri"/>
                <w:b/>
                <w:color w:val="FFFFFF"/>
                <w:sz w:val="18"/>
              </w:rPr>
              <w:t>Directorio</w:t>
            </w:r>
          </w:p>
        </w:tc>
        <w:tc>
          <w:tcPr>
            <w:tcW w:type="dxa" w:w="3456"/>
            <w:shd w:fill="001F3F"/>
            <w:tcMar>
              <w:top w:w="120" w:type="dxa"/>
              <w:bottom w:w="120" w:type="dxa"/>
              <w:left w:w="140" w:type="dxa"/>
              <w:right w:w="140" w:type="dxa"/>
            </w:tcMar>
          </w:tcPr>
          <w:p>
            <w:pPr>
              <w:jc w:val="left"/>
            </w:pPr>
            <w:r>
              <w:rPr>
                <w:rFonts w:ascii="Calibri" w:hAnsi="Calibri"/>
                <w:b/>
                <w:color w:val="FFFFFF"/>
                <w:sz w:val="18"/>
              </w:rPr>
              <w:t>Responsabilidad técnica</w:t>
            </w:r>
          </w:p>
        </w:tc>
        <w:tc>
          <w:tcPr>
            <w:tcW w:type="dxa" w:w="3600"/>
            <w:shd w:fill="001F3F"/>
            <w:tcMar>
              <w:top w:w="120" w:type="dxa"/>
              <w:bottom w:w="120" w:type="dxa"/>
              <w:left w:w="140" w:type="dxa"/>
              <w:right w:w="140" w:type="dxa"/>
            </w:tcMar>
          </w:tcPr>
          <w:p>
            <w:pPr>
              <w:jc w:val="left"/>
            </w:pPr>
            <w:r>
              <w:rPr>
                <w:rFonts w:ascii="Calibri" w:hAnsi="Calibri"/>
                <w:b/>
                <w:color w:val="FFFFFF"/>
                <w:sz w:val="18"/>
              </w:rPr>
              <w:t>Componentes destacados</w:t>
            </w:r>
          </w:p>
        </w:tc>
      </w:tr>
      <w:tr>
        <w:tc>
          <w:tcPr>
            <w:tcW w:type="dxa" w:w="2304"/>
            <w:shd w:fill="FFFFFF"/>
            <w:tcMar>
              <w:top w:w="100" w:type="dxa"/>
              <w:bottom w:w="100" w:type="dxa"/>
              <w:left w:w="140" w:type="dxa"/>
              <w:right w:w="140" w:type="dxa"/>
            </w:tcMar>
          </w:tcPr>
          <w:p>
            <w:r>
              <w:rPr>
                <w:rFonts w:ascii="Calibri" w:hAnsi="Calibri"/>
                <w:color w:val="334155"/>
                <w:sz w:val="17"/>
              </w:rPr>
              <w:t>src/core/</w:t>
            </w:r>
          </w:p>
        </w:tc>
        <w:tc>
          <w:tcPr>
            <w:tcW w:type="dxa" w:w="3456"/>
            <w:shd w:fill="FFFFFF"/>
            <w:tcMar>
              <w:top w:w="100" w:type="dxa"/>
              <w:bottom w:w="100" w:type="dxa"/>
              <w:left w:w="140" w:type="dxa"/>
              <w:right w:w="140" w:type="dxa"/>
            </w:tcMar>
          </w:tcPr>
          <w:p>
            <w:r>
              <w:rPr>
                <w:rFonts w:ascii="Calibri" w:hAnsi="Calibri"/>
                <w:color w:val="334155"/>
                <w:sz w:val="17"/>
              </w:rPr>
              <w:t>Servicios compartidos, clientes HTTP y contexto global de sesión.</w:t>
            </w:r>
          </w:p>
        </w:tc>
        <w:tc>
          <w:tcPr>
            <w:tcW w:type="dxa" w:w="3600"/>
            <w:shd w:fill="FFFFFF"/>
            <w:tcMar>
              <w:top w:w="100" w:type="dxa"/>
              <w:bottom w:w="100" w:type="dxa"/>
              <w:left w:w="140" w:type="dxa"/>
              <w:right w:w="140" w:type="dxa"/>
            </w:tcMar>
          </w:tcPr>
          <w:p>
            <w:r>
              <w:rPr>
                <w:rFonts w:ascii="Calibri" w:hAnsi="Calibri"/>
                <w:color w:val="334155"/>
                <w:sz w:val="17"/>
              </w:rPr>
              <w:t>AuthContext.jsx, apiClient.js, storage.js</w:t>
            </w:r>
          </w:p>
        </w:tc>
      </w:tr>
      <w:tr>
        <w:tc>
          <w:tcPr>
            <w:tcW w:type="dxa" w:w="2304"/>
            <w:shd w:fill="F8FAFC"/>
            <w:tcMar>
              <w:top w:w="100" w:type="dxa"/>
              <w:bottom w:w="100" w:type="dxa"/>
              <w:left w:w="140" w:type="dxa"/>
              <w:right w:w="140" w:type="dxa"/>
            </w:tcMar>
          </w:tcPr>
          <w:p>
            <w:r>
              <w:rPr>
                <w:rFonts w:ascii="Calibri" w:hAnsi="Calibri"/>
                <w:color w:val="334155"/>
                <w:sz w:val="17"/>
              </w:rPr>
              <w:t>src/layouts/</w:t>
            </w:r>
          </w:p>
        </w:tc>
        <w:tc>
          <w:tcPr>
            <w:tcW w:type="dxa" w:w="3456"/>
            <w:shd w:fill="F8FAFC"/>
            <w:tcMar>
              <w:top w:w="100" w:type="dxa"/>
              <w:bottom w:w="100" w:type="dxa"/>
              <w:left w:w="140" w:type="dxa"/>
              <w:right w:w="140" w:type="dxa"/>
            </w:tcMar>
          </w:tcPr>
          <w:p>
            <w:r>
              <w:rPr>
                <w:rFonts w:ascii="Calibri" w:hAnsi="Calibri"/>
                <w:color w:val="334155"/>
                <w:sz w:val="17"/>
              </w:rPr>
              <w:t>Estructuras de navegación y marcos de diseño visual.</w:t>
            </w:r>
          </w:p>
        </w:tc>
        <w:tc>
          <w:tcPr>
            <w:tcW w:type="dxa" w:w="3600"/>
            <w:shd w:fill="F8FAFC"/>
            <w:tcMar>
              <w:top w:w="100" w:type="dxa"/>
              <w:bottom w:w="100" w:type="dxa"/>
              <w:left w:w="140" w:type="dxa"/>
              <w:right w:w="140" w:type="dxa"/>
            </w:tcMar>
          </w:tcPr>
          <w:p>
            <w:r>
              <w:rPr>
                <w:rFonts w:ascii="Calibri" w:hAnsi="Calibri"/>
                <w:color w:val="334155"/>
                <w:sz w:val="17"/>
              </w:rPr>
              <w:t>public/Layout.jsx, system/SystemLayout.jsx, company/CompanyLayout.jsx</w:t>
            </w:r>
          </w:p>
        </w:tc>
      </w:tr>
      <w:tr>
        <w:tc>
          <w:tcPr>
            <w:tcW w:type="dxa" w:w="2304"/>
            <w:shd w:fill="FFFFFF"/>
            <w:tcMar>
              <w:top w:w="100" w:type="dxa"/>
              <w:bottom w:w="100" w:type="dxa"/>
              <w:left w:w="140" w:type="dxa"/>
              <w:right w:w="140" w:type="dxa"/>
            </w:tcMar>
          </w:tcPr>
          <w:p>
            <w:r>
              <w:rPr>
                <w:rFonts w:ascii="Calibri" w:hAnsi="Calibri"/>
                <w:color w:val="334155"/>
                <w:sz w:val="17"/>
              </w:rPr>
              <w:t>src/modules/public/</w:t>
            </w:r>
          </w:p>
        </w:tc>
        <w:tc>
          <w:tcPr>
            <w:tcW w:type="dxa" w:w="3456"/>
            <w:shd w:fill="FFFFFF"/>
            <w:tcMar>
              <w:top w:w="100" w:type="dxa"/>
              <w:bottom w:w="100" w:type="dxa"/>
              <w:left w:w="140" w:type="dxa"/>
              <w:right w:w="140" w:type="dxa"/>
            </w:tcMar>
          </w:tcPr>
          <w:p>
            <w:r>
              <w:rPr>
                <w:rFonts w:ascii="Calibri" w:hAnsi="Calibri"/>
                <w:color w:val="334155"/>
                <w:sz w:val="17"/>
              </w:rPr>
              <w:t>Módulos de acceso libre sin autenticación previa.</w:t>
            </w:r>
          </w:p>
        </w:tc>
        <w:tc>
          <w:tcPr>
            <w:tcW w:type="dxa" w:w="3600"/>
            <w:shd w:fill="FFFFFF"/>
            <w:tcMar>
              <w:top w:w="100" w:type="dxa"/>
              <w:bottom w:w="100" w:type="dxa"/>
              <w:left w:w="140" w:type="dxa"/>
              <w:right w:w="140" w:type="dxa"/>
            </w:tcMar>
          </w:tcPr>
          <w:p>
            <w:r>
              <w:rPr>
                <w:rFonts w:ascii="Calibri" w:hAnsi="Calibri"/>
                <w:color w:val="334155"/>
                <w:sz w:val="17"/>
              </w:rPr>
              <w:t>home/ (Landing page), blog/, auth/ (Login, Registro, Checkout)</w:t>
            </w:r>
          </w:p>
        </w:tc>
      </w:tr>
      <w:tr>
        <w:tc>
          <w:tcPr>
            <w:tcW w:type="dxa" w:w="2304"/>
            <w:shd w:fill="F8FAFC"/>
            <w:tcMar>
              <w:top w:w="100" w:type="dxa"/>
              <w:bottom w:w="100" w:type="dxa"/>
              <w:left w:w="140" w:type="dxa"/>
              <w:right w:w="140" w:type="dxa"/>
            </w:tcMar>
          </w:tcPr>
          <w:p>
            <w:r>
              <w:rPr>
                <w:rFonts w:ascii="Calibri" w:hAnsi="Calibri"/>
                <w:color w:val="334155"/>
                <w:sz w:val="17"/>
              </w:rPr>
              <w:t>src/modules/system/</w:t>
            </w:r>
          </w:p>
        </w:tc>
        <w:tc>
          <w:tcPr>
            <w:tcW w:type="dxa" w:w="3456"/>
            <w:shd w:fill="F8FAFC"/>
            <w:tcMar>
              <w:top w:w="100" w:type="dxa"/>
              <w:bottom w:w="100" w:type="dxa"/>
              <w:left w:w="140" w:type="dxa"/>
              <w:right w:w="140" w:type="dxa"/>
            </w:tcMar>
          </w:tcPr>
          <w:p>
            <w:r>
              <w:rPr>
                <w:rFonts w:ascii="Calibri" w:hAnsi="Calibri"/>
                <w:color w:val="334155"/>
                <w:sz w:val="17"/>
              </w:rPr>
              <w:t>Consola de administración global para superusuarios.</w:t>
            </w:r>
          </w:p>
        </w:tc>
        <w:tc>
          <w:tcPr>
            <w:tcW w:type="dxa" w:w="3600"/>
            <w:shd w:fill="F8FAFC"/>
            <w:tcMar>
              <w:top w:w="100" w:type="dxa"/>
              <w:bottom w:w="100" w:type="dxa"/>
              <w:left w:w="140" w:type="dxa"/>
              <w:right w:w="140" w:type="dxa"/>
            </w:tcMar>
          </w:tcPr>
          <w:p>
            <w:r>
              <w:rPr>
                <w:rFonts w:ascii="Calibri" w:hAnsi="Calibri"/>
                <w:color w:val="334155"/>
                <w:sz w:val="17"/>
              </w:rPr>
              <w:t>home/, companies/, plans/, subscriptions/, users/, roles/, parameters/</w:t>
            </w:r>
          </w:p>
        </w:tc>
      </w:tr>
      <w:tr>
        <w:tc>
          <w:tcPr>
            <w:tcW w:type="dxa" w:w="2304"/>
            <w:shd w:fill="FFFFFF"/>
            <w:tcMar>
              <w:top w:w="100" w:type="dxa"/>
              <w:bottom w:w="100" w:type="dxa"/>
              <w:left w:w="140" w:type="dxa"/>
              <w:right w:w="140" w:type="dxa"/>
            </w:tcMar>
          </w:tcPr>
          <w:p>
            <w:r>
              <w:rPr>
                <w:rFonts w:ascii="Calibri" w:hAnsi="Calibri"/>
                <w:color w:val="334155"/>
                <w:sz w:val="17"/>
              </w:rPr>
              <w:t>src/modules/company/</w:t>
            </w:r>
          </w:p>
        </w:tc>
        <w:tc>
          <w:tcPr>
            <w:tcW w:type="dxa" w:w="3456"/>
            <w:shd w:fill="FFFFFF"/>
            <w:tcMar>
              <w:top w:w="100" w:type="dxa"/>
              <w:bottom w:w="100" w:type="dxa"/>
              <w:left w:w="140" w:type="dxa"/>
              <w:right w:w="140" w:type="dxa"/>
            </w:tcMar>
          </w:tcPr>
          <w:p>
            <w:r>
              <w:rPr>
                <w:rFonts w:ascii="Calibri" w:hAnsi="Calibri"/>
                <w:color w:val="334155"/>
                <w:sz w:val="17"/>
              </w:rPr>
              <w:t>Consola operativa de la empresa cliente (tenant).</w:t>
            </w:r>
          </w:p>
        </w:tc>
        <w:tc>
          <w:tcPr>
            <w:tcW w:type="dxa" w:w="3600"/>
            <w:shd w:fill="FFFFFF"/>
            <w:tcMar>
              <w:top w:w="100" w:type="dxa"/>
              <w:bottom w:w="100" w:type="dxa"/>
              <w:left w:w="140" w:type="dxa"/>
              <w:right w:w="140" w:type="dxa"/>
            </w:tcMar>
          </w:tcPr>
          <w:p>
            <w:r>
              <w:rPr>
                <w:rFonts w:ascii="Calibri" w:hAnsi="Calibri"/>
                <w:color w:val="334155"/>
                <w:sz w:val="17"/>
              </w:rPr>
              <w:t>home/, headquarters/, areas/, roles/, users/, templates/, carnets/, parameter/, subscription/</w:t>
            </w:r>
          </w:p>
        </w:tc>
      </w:tr>
      <w:tr>
        <w:tc>
          <w:tcPr>
            <w:tcW w:type="dxa" w:w="2304"/>
            <w:shd w:fill="F8FAFC"/>
            <w:tcMar>
              <w:top w:w="100" w:type="dxa"/>
              <w:bottom w:w="100" w:type="dxa"/>
              <w:left w:w="140" w:type="dxa"/>
              <w:right w:w="140" w:type="dxa"/>
            </w:tcMar>
          </w:tcPr>
          <w:p>
            <w:r>
              <w:rPr>
                <w:rFonts w:ascii="Calibri" w:hAnsi="Calibri"/>
                <w:color w:val="334155"/>
                <w:sz w:val="17"/>
              </w:rPr>
              <w:t>src/routes/</w:t>
            </w:r>
          </w:p>
        </w:tc>
        <w:tc>
          <w:tcPr>
            <w:tcW w:type="dxa" w:w="3456"/>
            <w:shd w:fill="F8FAFC"/>
            <w:tcMar>
              <w:top w:w="100" w:type="dxa"/>
              <w:bottom w:w="100" w:type="dxa"/>
              <w:left w:w="140" w:type="dxa"/>
              <w:right w:w="140" w:type="dxa"/>
            </w:tcMar>
          </w:tcPr>
          <w:p>
            <w:r>
              <w:rPr>
                <w:rFonts w:ascii="Calibri" w:hAnsi="Calibri"/>
                <w:color w:val="334155"/>
                <w:sz w:val="17"/>
              </w:rPr>
              <w:t>Configuración centralizada de rutas y protección de accesos.</w:t>
            </w:r>
          </w:p>
        </w:tc>
        <w:tc>
          <w:tcPr>
            <w:tcW w:type="dxa" w:w="3600"/>
            <w:shd w:fill="F8FAFC"/>
            <w:tcMar>
              <w:top w:w="100" w:type="dxa"/>
              <w:bottom w:w="100" w:type="dxa"/>
              <w:left w:w="140" w:type="dxa"/>
              <w:right w:w="140" w:type="dxa"/>
            </w:tcMar>
          </w:tcPr>
          <w:p>
            <w:r>
              <w:rPr>
                <w:rFonts w:ascii="Calibri" w:hAnsi="Calibri"/>
                <w:color w:val="334155"/>
                <w:sz w:val="17"/>
              </w:rPr>
              <w:t>PublicRoutes.jsx, SystemRoutes.jsx, CompanyRoutes.jsx, ProtectedRoute.jsx</w:t>
            </w:r>
          </w:p>
        </w:tc>
      </w:tr>
      <w:tr>
        <w:tc>
          <w:tcPr>
            <w:tcW w:type="dxa" w:w="2304"/>
            <w:shd w:fill="FFFFFF"/>
            <w:tcMar>
              <w:top w:w="100" w:type="dxa"/>
              <w:bottom w:w="100" w:type="dxa"/>
              <w:left w:w="140" w:type="dxa"/>
              <w:right w:w="140" w:type="dxa"/>
            </w:tcMar>
          </w:tcPr>
          <w:p>
            <w:r>
              <w:rPr>
                <w:rFonts w:ascii="Calibri" w:hAnsi="Calibri"/>
                <w:color w:val="334155"/>
                <w:sz w:val="17"/>
              </w:rPr>
              <w:t>src/components/</w:t>
            </w:r>
          </w:p>
        </w:tc>
        <w:tc>
          <w:tcPr>
            <w:tcW w:type="dxa" w:w="3456"/>
            <w:shd w:fill="FFFFFF"/>
            <w:tcMar>
              <w:top w:w="100" w:type="dxa"/>
              <w:bottom w:w="100" w:type="dxa"/>
              <w:left w:w="140" w:type="dxa"/>
              <w:right w:w="140" w:type="dxa"/>
            </w:tcMar>
          </w:tcPr>
          <w:p>
            <w:r>
              <w:rPr>
                <w:rFonts w:ascii="Calibri" w:hAnsi="Calibri"/>
                <w:color w:val="334155"/>
                <w:sz w:val="17"/>
              </w:rPr>
              <w:t>Elementos visuales genéricos y reutilizables.</w:t>
            </w:r>
          </w:p>
        </w:tc>
        <w:tc>
          <w:tcPr>
            <w:tcW w:type="dxa" w:w="3600"/>
            <w:shd w:fill="FFFFFF"/>
            <w:tcMar>
              <w:top w:w="100" w:type="dxa"/>
              <w:bottom w:w="100" w:type="dxa"/>
              <w:left w:w="140" w:type="dxa"/>
              <w:right w:w="140" w:type="dxa"/>
            </w:tcMar>
          </w:tcPr>
          <w:p>
            <w:r>
              <w:rPr>
                <w:rFonts w:ascii="Calibri" w:hAnsi="Calibri"/>
                <w:color w:val="334155"/>
                <w:sz w:val="17"/>
              </w:rPr>
              <w:t>ui/ (Botones, Modales, Inputs), common/ (Pagination, LimitAlert)</w:t>
            </w:r>
          </w:p>
        </w:tc>
      </w:tr>
    </w:tbl>
    <w:p>
      <w:pPr>
        <w:pStyle w:val="Heading2"/>
      </w:pPr>
      <w:r>
        <w:t>2.3 Catálogo de rutas del frontend y niveles de acceso</w:t>
      </w:r>
    </w:p>
    <w:tbl>
      <w:tblPr>
        <w:tblW w:type="auto" w:w="0"/>
        <w:jc w:val="center"/>
        <w:tblLook w:firstColumn="1" w:firstRow="1" w:lastColumn="0" w:lastRow="0" w:noHBand="0" w:noVBand="1" w:val="04A0"/>
      </w:tblPr>
      <w:tblGrid>
        <w:gridCol w:w="2340"/>
        <w:gridCol w:w="2340"/>
        <w:gridCol w:w="2340"/>
        <w:gridCol w:w="2340"/>
      </w:tblGrid>
      <w:tr>
        <w:tc>
          <w:tcPr>
            <w:tcW w:type="dxa" w:w="2592"/>
            <w:shd w:fill="001F3F"/>
            <w:tcMar>
              <w:top w:w="120" w:type="dxa"/>
              <w:bottom w:w="120" w:type="dxa"/>
              <w:left w:w="140" w:type="dxa"/>
              <w:right w:w="140" w:type="dxa"/>
            </w:tcMar>
          </w:tcPr>
          <w:p>
            <w:pPr>
              <w:jc w:val="left"/>
            </w:pPr>
            <w:r>
              <w:rPr>
                <w:rFonts w:ascii="Calibri" w:hAnsi="Calibri"/>
                <w:b/>
                <w:color w:val="FFFFFF"/>
                <w:sz w:val="18"/>
              </w:rPr>
              <w:t>Ruta del frontend</w:t>
            </w:r>
          </w:p>
        </w:tc>
        <w:tc>
          <w:tcPr>
            <w:tcW w:type="dxa" w:w="1728"/>
            <w:shd w:fill="001F3F"/>
            <w:tcMar>
              <w:top w:w="120" w:type="dxa"/>
              <w:bottom w:w="120" w:type="dxa"/>
              <w:left w:w="140" w:type="dxa"/>
              <w:right w:w="140" w:type="dxa"/>
            </w:tcMar>
          </w:tcPr>
          <w:p>
            <w:pPr>
              <w:jc w:val="left"/>
            </w:pPr>
            <w:r>
              <w:rPr>
                <w:rFonts w:ascii="Calibri" w:hAnsi="Calibri"/>
                <w:b/>
                <w:color w:val="FFFFFF"/>
                <w:sz w:val="18"/>
              </w:rPr>
              <w:t>Nivel de acceso</w:t>
            </w:r>
          </w:p>
        </w:tc>
        <w:tc>
          <w:tcPr>
            <w:tcW w:type="dxa" w:w="1872"/>
            <w:shd w:fill="001F3F"/>
            <w:tcMar>
              <w:top w:w="120" w:type="dxa"/>
              <w:bottom w:w="120" w:type="dxa"/>
              <w:left w:w="140" w:type="dxa"/>
              <w:right w:w="140" w:type="dxa"/>
            </w:tcMar>
          </w:tcPr>
          <w:p>
            <w:pPr>
              <w:jc w:val="left"/>
            </w:pPr>
            <w:r>
              <w:rPr>
                <w:rFonts w:ascii="Calibri" w:hAnsi="Calibri"/>
                <w:b/>
                <w:color w:val="FFFFFF"/>
                <w:sz w:val="18"/>
              </w:rPr>
              <w:t>Estructura de layout</w:t>
            </w:r>
          </w:p>
        </w:tc>
        <w:tc>
          <w:tcPr>
            <w:tcW w:type="dxa" w:w="3168"/>
            <w:shd w:fill="001F3F"/>
            <w:tcMar>
              <w:top w:w="120" w:type="dxa"/>
              <w:bottom w:w="120" w:type="dxa"/>
              <w:left w:w="140" w:type="dxa"/>
              <w:right w:w="140" w:type="dxa"/>
            </w:tcMar>
          </w:tcPr>
          <w:p>
            <w:pPr>
              <w:jc w:val="left"/>
            </w:pPr>
            <w:r>
              <w:rPr>
                <w:rFonts w:ascii="Calibri" w:hAnsi="Calibri"/>
                <w:b/>
                <w:color w:val="FFFFFF"/>
                <w:sz w:val="18"/>
              </w:rPr>
              <w:t>Propósito en el sistema</w:t>
            </w:r>
          </w:p>
        </w:tc>
      </w:tr>
      <w:tr>
        <w:tc>
          <w:tcPr>
            <w:tcW w:type="dxa" w:w="2592"/>
            <w:shd w:fill="FFFFFF"/>
            <w:tcMar>
              <w:top w:w="100" w:type="dxa"/>
              <w:bottom w:w="100" w:type="dxa"/>
              <w:left w:w="140" w:type="dxa"/>
              <w:right w:w="140" w:type="dxa"/>
            </w:tcMar>
          </w:tcPr>
          <w:p>
            <w:r>
              <w:rPr>
                <w:rFonts w:ascii="Calibri" w:hAnsi="Calibri"/>
                <w:color w:val="334155"/>
                <w:sz w:val="17"/>
              </w:rPr>
              <w:t>/</w:t>
            </w:r>
          </w:p>
        </w:tc>
        <w:tc>
          <w:tcPr>
            <w:tcW w:type="dxa" w:w="1728"/>
            <w:shd w:fill="FFFFFF"/>
            <w:tcMar>
              <w:top w:w="100" w:type="dxa"/>
              <w:bottom w:w="100" w:type="dxa"/>
              <w:left w:w="140" w:type="dxa"/>
              <w:right w:w="140" w:type="dxa"/>
            </w:tcMar>
          </w:tcPr>
          <w:p>
            <w:r>
              <w:rPr>
                <w:rFonts w:ascii="Calibri" w:hAnsi="Calibri"/>
                <w:color w:val="334155"/>
                <w:sz w:val="17"/>
              </w:rPr>
              <w:t>Público</w:t>
            </w:r>
          </w:p>
        </w:tc>
        <w:tc>
          <w:tcPr>
            <w:tcW w:type="dxa" w:w="1872"/>
            <w:shd w:fill="FFFFFF"/>
            <w:tcMar>
              <w:top w:w="100" w:type="dxa"/>
              <w:bottom w:w="100" w:type="dxa"/>
              <w:left w:w="140" w:type="dxa"/>
              <w:right w:w="140" w:type="dxa"/>
            </w:tcMar>
          </w:tcPr>
          <w:p>
            <w:r>
              <w:rPr>
                <w:rFonts w:ascii="Calibri" w:hAnsi="Calibri"/>
                <w:color w:val="334155"/>
                <w:sz w:val="17"/>
              </w:rPr>
              <w:t>Public Layout</w:t>
            </w:r>
          </w:p>
        </w:tc>
        <w:tc>
          <w:tcPr>
            <w:tcW w:type="dxa" w:w="3168"/>
            <w:shd w:fill="FFFFFF"/>
            <w:tcMar>
              <w:top w:w="100" w:type="dxa"/>
              <w:bottom w:w="100" w:type="dxa"/>
              <w:left w:w="140" w:type="dxa"/>
              <w:right w:w="140" w:type="dxa"/>
            </w:tcMar>
          </w:tcPr>
          <w:p>
            <w:r>
              <w:rPr>
                <w:rFonts w:ascii="Calibri" w:hAnsi="Calibri"/>
                <w:color w:val="334155"/>
                <w:sz w:val="17"/>
              </w:rPr>
              <w:t>Página principal con catálogo interactivo y propuesta comercial.</w:t>
            </w:r>
          </w:p>
        </w:tc>
      </w:tr>
      <w:tr>
        <w:tc>
          <w:tcPr>
            <w:tcW w:type="dxa" w:w="2592"/>
            <w:shd w:fill="F8FAFC"/>
            <w:tcMar>
              <w:top w:w="100" w:type="dxa"/>
              <w:bottom w:w="100" w:type="dxa"/>
              <w:left w:w="140" w:type="dxa"/>
              <w:right w:w="140" w:type="dxa"/>
            </w:tcMar>
          </w:tcPr>
          <w:p>
            <w:r>
              <w:rPr>
                <w:rFonts w:ascii="Calibri" w:hAnsi="Calibri"/>
                <w:color w:val="334155"/>
                <w:sz w:val="17"/>
              </w:rPr>
              <w:t>/blog</w:t>
            </w:r>
          </w:p>
        </w:tc>
        <w:tc>
          <w:tcPr>
            <w:tcW w:type="dxa" w:w="1728"/>
            <w:shd w:fill="F8FAFC"/>
            <w:tcMar>
              <w:top w:w="100" w:type="dxa"/>
              <w:bottom w:w="100" w:type="dxa"/>
              <w:left w:w="140" w:type="dxa"/>
              <w:right w:w="140" w:type="dxa"/>
            </w:tcMar>
          </w:tcPr>
          <w:p>
            <w:r>
              <w:rPr>
                <w:rFonts w:ascii="Calibri" w:hAnsi="Calibri"/>
                <w:color w:val="334155"/>
                <w:sz w:val="17"/>
              </w:rPr>
              <w:t>Público</w:t>
            </w:r>
          </w:p>
        </w:tc>
        <w:tc>
          <w:tcPr>
            <w:tcW w:type="dxa" w:w="1872"/>
            <w:shd w:fill="F8FAFC"/>
            <w:tcMar>
              <w:top w:w="100" w:type="dxa"/>
              <w:bottom w:w="100" w:type="dxa"/>
              <w:left w:w="140" w:type="dxa"/>
              <w:right w:w="140" w:type="dxa"/>
            </w:tcMar>
          </w:tcPr>
          <w:p>
            <w:r>
              <w:rPr>
                <w:rFonts w:ascii="Calibri" w:hAnsi="Calibri"/>
                <w:color w:val="334155"/>
                <w:sz w:val="17"/>
              </w:rPr>
              <w:t>Public Layout</w:t>
            </w:r>
          </w:p>
        </w:tc>
        <w:tc>
          <w:tcPr>
            <w:tcW w:type="dxa" w:w="3168"/>
            <w:shd w:fill="F8FAFC"/>
            <w:tcMar>
              <w:top w:w="100" w:type="dxa"/>
              <w:bottom w:w="100" w:type="dxa"/>
              <w:left w:w="140" w:type="dxa"/>
              <w:right w:w="140" w:type="dxa"/>
            </w:tcMar>
          </w:tcPr>
          <w:p>
            <w:r>
              <w:rPr>
                <w:rFonts w:ascii="Calibri" w:hAnsi="Calibri"/>
                <w:color w:val="334155"/>
                <w:sz w:val="17"/>
              </w:rPr>
              <w:t>Portal de artículos pedagógicos sobre identificación digital.</w:t>
            </w:r>
          </w:p>
        </w:tc>
      </w:tr>
      <w:tr>
        <w:tc>
          <w:tcPr>
            <w:tcW w:type="dxa" w:w="2592"/>
            <w:shd w:fill="FFFFFF"/>
            <w:tcMar>
              <w:top w:w="100" w:type="dxa"/>
              <w:bottom w:w="100" w:type="dxa"/>
              <w:left w:w="140" w:type="dxa"/>
              <w:right w:w="140" w:type="dxa"/>
            </w:tcMar>
          </w:tcPr>
          <w:p>
            <w:r>
              <w:rPr>
                <w:rFonts w:ascii="Calibri" w:hAnsi="Calibri"/>
                <w:color w:val="334155"/>
                <w:sz w:val="17"/>
              </w:rPr>
              <w:t>/login</w:t>
            </w:r>
          </w:p>
        </w:tc>
        <w:tc>
          <w:tcPr>
            <w:tcW w:type="dxa" w:w="1728"/>
            <w:shd w:fill="FFFFFF"/>
            <w:tcMar>
              <w:top w:w="100" w:type="dxa"/>
              <w:bottom w:w="100" w:type="dxa"/>
              <w:left w:w="140" w:type="dxa"/>
              <w:right w:w="140" w:type="dxa"/>
            </w:tcMar>
          </w:tcPr>
          <w:p>
            <w:r>
              <w:rPr>
                <w:rFonts w:ascii="Calibri" w:hAnsi="Calibri"/>
                <w:color w:val="334155"/>
                <w:sz w:val="17"/>
              </w:rPr>
              <w:t>Público</w:t>
            </w:r>
          </w:p>
        </w:tc>
        <w:tc>
          <w:tcPr>
            <w:tcW w:type="dxa" w:w="1872"/>
            <w:shd w:fill="FFFFFF"/>
            <w:tcMar>
              <w:top w:w="100" w:type="dxa"/>
              <w:bottom w:w="100" w:type="dxa"/>
              <w:left w:w="140" w:type="dxa"/>
              <w:right w:w="140" w:type="dxa"/>
            </w:tcMar>
          </w:tcPr>
          <w:p>
            <w:r>
              <w:rPr>
                <w:rFonts w:ascii="Calibri" w:hAnsi="Calibri"/>
                <w:color w:val="334155"/>
                <w:sz w:val="17"/>
              </w:rPr>
              <w:t>Standalone</w:t>
            </w:r>
          </w:p>
        </w:tc>
        <w:tc>
          <w:tcPr>
            <w:tcW w:type="dxa" w:w="3168"/>
            <w:shd w:fill="FFFFFF"/>
            <w:tcMar>
              <w:top w:w="100" w:type="dxa"/>
              <w:bottom w:w="100" w:type="dxa"/>
              <w:left w:w="140" w:type="dxa"/>
              <w:right w:w="140" w:type="dxa"/>
            </w:tcMar>
          </w:tcPr>
          <w:p>
            <w:r>
              <w:rPr>
                <w:rFonts w:ascii="Calibri" w:hAnsi="Calibri"/>
                <w:color w:val="334155"/>
                <w:sz w:val="17"/>
              </w:rPr>
              <w:t>Formulario de inicio de sesión único para empresas y superusuarios.</w:t>
            </w:r>
          </w:p>
        </w:tc>
      </w:tr>
      <w:tr>
        <w:tc>
          <w:tcPr>
            <w:tcW w:type="dxa" w:w="2592"/>
            <w:shd w:fill="F8FAFC"/>
            <w:tcMar>
              <w:top w:w="100" w:type="dxa"/>
              <w:bottom w:w="100" w:type="dxa"/>
              <w:left w:w="140" w:type="dxa"/>
              <w:right w:w="140" w:type="dxa"/>
            </w:tcMar>
          </w:tcPr>
          <w:p>
            <w:r>
              <w:rPr>
                <w:rFonts w:ascii="Calibri" w:hAnsi="Calibri"/>
                <w:color w:val="334155"/>
                <w:sz w:val="17"/>
              </w:rPr>
              <w:t>/payment-success</w:t>
            </w:r>
          </w:p>
        </w:tc>
        <w:tc>
          <w:tcPr>
            <w:tcW w:type="dxa" w:w="1728"/>
            <w:shd w:fill="F8FAFC"/>
            <w:tcMar>
              <w:top w:w="100" w:type="dxa"/>
              <w:bottom w:w="100" w:type="dxa"/>
              <w:left w:w="140" w:type="dxa"/>
              <w:right w:w="140" w:type="dxa"/>
            </w:tcMar>
          </w:tcPr>
          <w:p>
            <w:r>
              <w:rPr>
                <w:rFonts w:ascii="Calibri" w:hAnsi="Calibri"/>
                <w:color w:val="334155"/>
                <w:sz w:val="17"/>
              </w:rPr>
              <w:t>Público</w:t>
            </w:r>
          </w:p>
        </w:tc>
        <w:tc>
          <w:tcPr>
            <w:tcW w:type="dxa" w:w="1872"/>
            <w:shd w:fill="F8FAFC"/>
            <w:tcMar>
              <w:top w:w="100" w:type="dxa"/>
              <w:bottom w:w="100" w:type="dxa"/>
              <w:left w:w="140" w:type="dxa"/>
              <w:right w:w="140" w:type="dxa"/>
            </w:tcMar>
          </w:tcPr>
          <w:p>
            <w:r>
              <w:rPr>
                <w:rFonts w:ascii="Calibri" w:hAnsi="Calibri"/>
                <w:color w:val="334155"/>
                <w:sz w:val="17"/>
              </w:rPr>
              <w:t>Standalone</w:t>
            </w:r>
          </w:p>
        </w:tc>
        <w:tc>
          <w:tcPr>
            <w:tcW w:type="dxa" w:w="3168"/>
            <w:shd w:fill="F8FAFC"/>
            <w:tcMar>
              <w:top w:w="100" w:type="dxa"/>
              <w:bottom w:w="100" w:type="dxa"/>
              <w:left w:w="140" w:type="dxa"/>
              <w:right w:w="140" w:type="dxa"/>
            </w:tcMar>
          </w:tcPr>
          <w:p>
            <w:r>
              <w:rPr>
                <w:rFonts w:ascii="Calibri" w:hAnsi="Calibri"/>
                <w:color w:val="334155"/>
                <w:sz w:val="17"/>
              </w:rPr>
              <w:t>Confirmación de transacción aprobada y redirección.</w:t>
            </w:r>
          </w:p>
        </w:tc>
      </w:tr>
      <w:tr>
        <w:tc>
          <w:tcPr>
            <w:tcW w:type="dxa" w:w="2592"/>
            <w:shd w:fill="FFFFFF"/>
            <w:tcMar>
              <w:top w:w="100" w:type="dxa"/>
              <w:bottom w:w="100" w:type="dxa"/>
              <w:left w:w="140" w:type="dxa"/>
              <w:right w:w="140" w:type="dxa"/>
            </w:tcMar>
          </w:tcPr>
          <w:p>
            <w:r>
              <w:rPr>
                <w:rFonts w:ascii="Calibri" w:hAnsi="Calibri"/>
                <w:color w:val="334155"/>
                <w:sz w:val="17"/>
              </w:rPr>
              <w:t>/system/home</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1872"/>
            <w:shd w:fill="FFFFFF"/>
            <w:tcMar>
              <w:top w:w="100" w:type="dxa"/>
              <w:bottom w:w="100" w:type="dxa"/>
              <w:left w:w="140" w:type="dxa"/>
              <w:right w:w="140" w:type="dxa"/>
            </w:tcMar>
          </w:tcPr>
          <w:p>
            <w:r>
              <w:rPr>
                <w:rFonts w:ascii="Calibri" w:hAnsi="Calibri"/>
                <w:color w:val="334155"/>
                <w:sz w:val="17"/>
              </w:rPr>
              <w:t>System Layout</w:t>
            </w:r>
          </w:p>
        </w:tc>
        <w:tc>
          <w:tcPr>
            <w:tcW w:type="dxa" w:w="3168"/>
            <w:shd w:fill="FFFFFF"/>
            <w:tcMar>
              <w:top w:w="100" w:type="dxa"/>
              <w:bottom w:w="100" w:type="dxa"/>
              <w:left w:w="140" w:type="dxa"/>
              <w:right w:w="140" w:type="dxa"/>
            </w:tcMar>
          </w:tcPr>
          <w:p>
            <w:r>
              <w:rPr>
                <w:rFonts w:ascii="Calibri" w:hAnsi="Calibri"/>
                <w:color w:val="334155"/>
                <w:sz w:val="17"/>
              </w:rPr>
              <w:t>Panel principal con indicadores macro, cobros y empresas.</w:t>
            </w:r>
          </w:p>
        </w:tc>
      </w:tr>
      <w:tr>
        <w:tc>
          <w:tcPr>
            <w:tcW w:type="dxa" w:w="2592"/>
            <w:shd w:fill="F8FAFC"/>
            <w:tcMar>
              <w:top w:w="100" w:type="dxa"/>
              <w:bottom w:w="100" w:type="dxa"/>
              <w:left w:w="140" w:type="dxa"/>
              <w:right w:w="140" w:type="dxa"/>
            </w:tcMar>
          </w:tcPr>
          <w:p>
            <w:r>
              <w:rPr>
                <w:rFonts w:ascii="Calibri" w:hAnsi="Calibri"/>
                <w:color w:val="334155"/>
                <w:sz w:val="17"/>
              </w:rPr>
              <w:t>/system/companies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1872"/>
            <w:shd w:fill="F8FAFC"/>
            <w:tcMar>
              <w:top w:w="100" w:type="dxa"/>
              <w:bottom w:w="100" w:type="dxa"/>
              <w:left w:w="140" w:type="dxa"/>
              <w:right w:w="140" w:type="dxa"/>
            </w:tcMar>
          </w:tcPr>
          <w:p>
            <w:r>
              <w:rPr>
                <w:rFonts w:ascii="Calibri" w:hAnsi="Calibri"/>
                <w:color w:val="334155"/>
                <w:sz w:val="17"/>
              </w:rPr>
              <w:t>System Layout</w:t>
            </w:r>
          </w:p>
        </w:tc>
        <w:tc>
          <w:tcPr>
            <w:tcW w:type="dxa" w:w="3168"/>
            <w:shd w:fill="F8FAFC"/>
            <w:tcMar>
              <w:top w:w="100" w:type="dxa"/>
              <w:bottom w:w="100" w:type="dxa"/>
              <w:left w:w="140" w:type="dxa"/>
              <w:right w:w="140" w:type="dxa"/>
            </w:tcMar>
          </w:tcPr>
          <w:p>
            <w:r>
              <w:rPr>
                <w:rFonts w:ascii="Calibri" w:hAnsi="Calibri"/>
                <w:color w:val="334155"/>
                <w:sz w:val="17"/>
              </w:rPr>
              <w:t>Directorio maestro de organizaciones suscritas.</w:t>
            </w:r>
          </w:p>
        </w:tc>
      </w:tr>
      <w:tr>
        <w:tc>
          <w:tcPr>
            <w:tcW w:type="dxa" w:w="2592"/>
            <w:shd w:fill="FFFFFF"/>
            <w:tcMar>
              <w:top w:w="100" w:type="dxa"/>
              <w:bottom w:w="100" w:type="dxa"/>
              <w:left w:w="140" w:type="dxa"/>
              <w:right w:w="140" w:type="dxa"/>
            </w:tcMar>
          </w:tcPr>
          <w:p>
            <w:r>
              <w:rPr>
                <w:rFonts w:ascii="Calibri" w:hAnsi="Calibri"/>
                <w:color w:val="334155"/>
                <w:sz w:val="17"/>
              </w:rPr>
              <w:t>/system/plans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1872"/>
            <w:shd w:fill="FFFFFF"/>
            <w:tcMar>
              <w:top w:w="100" w:type="dxa"/>
              <w:bottom w:w="100" w:type="dxa"/>
              <w:left w:w="140" w:type="dxa"/>
              <w:right w:w="140" w:type="dxa"/>
            </w:tcMar>
          </w:tcPr>
          <w:p>
            <w:r>
              <w:rPr>
                <w:rFonts w:ascii="Calibri" w:hAnsi="Calibri"/>
                <w:color w:val="334155"/>
                <w:sz w:val="17"/>
              </w:rPr>
              <w:t>System Layout</w:t>
            </w:r>
          </w:p>
        </w:tc>
        <w:tc>
          <w:tcPr>
            <w:tcW w:type="dxa" w:w="3168"/>
            <w:shd w:fill="FFFFFF"/>
            <w:tcMar>
              <w:top w:w="100" w:type="dxa"/>
              <w:bottom w:w="100" w:type="dxa"/>
              <w:left w:w="140" w:type="dxa"/>
              <w:right w:w="140" w:type="dxa"/>
            </w:tcMar>
          </w:tcPr>
          <w:p>
            <w:r>
              <w:rPr>
                <w:rFonts w:ascii="Calibri" w:hAnsi="Calibri"/>
                <w:color w:val="334155"/>
                <w:sz w:val="17"/>
              </w:rPr>
              <w:t>Administración de tarifas comerciales y cuotas de carnets.</w:t>
            </w:r>
          </w:p>
        </w:tc>
      </w:tr>
      <w:tr>
        <w:tc>
          <w:tcPr>
            <w:tcW w:type="dxa" w:w="2592"/>
            <w:shd w:fill="F8FAFC"/>
            <w:tcMar>
              <w:top w:w="100" w:type="dxa"/>
              <w:bottom w:w="100" w:type="dxa"/>
              <w:left w:w="140" w:type="dxa"/>
              <w:right w:w="140" w:type="dxa"/>
            </w:tcMar>
          </w:tcPr>
          <w:p>
            <w:r>
              <w:rPr>
                <w:rFonts w:ascii="Calibri" w:hAnsi="Calibri"/>
                <w:color w:val="334155"/>
                <w:sz w:val="17"/>
              </w:rPr>
              <w:t>/system/subscriptions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1872"/>
            <w:shd w:fill="F8FAFC"/>
            <w:tcMar>
              <w:top w:w="100" w:type="dxa"/>
              <w:bottom w:w="100" w:type="dxa"/>
              <w:left w:w="140" w:type="dxa"/>
              <w:right w:w="140" w:type="dxa"/>
            </w:tcMar>
          </w:tcPr>
          <w:p>
            <w:r>
              <w:rPr>
                <w:rFonts w:ascii="Calibri" w:hAnsi="Calibri"/>
                <w:color w:val="334155"/>
                <w:sz w:val="17"/>
              </w:rPr>
              <w:t>System Layout</w:t>
            </w:r>
          </w:p>
        </w:tc>
        <w:tc>
          <w:tcPr>
            <w:tcW w:type="dxa" w:w="3168"/>
            <w:shd w:fill="F8FAFC"/>
            <w:tcMar>
              <w:top w:w="100" w:type="dxa"/>
              <w:bottom w:w="100" w:type="dxa"/>
              <w:left w:w="140" w:type="dxa"/>
              <w:right w:w="140" w:type="dxa"/>
            </w:tcMar>
          </w:tcPr>
          <w:p>
            <w:r>
              <w:rPr>
                <w:rFonts w:ascii="Calibri" w:hAnsi="Calibri"/>
                <w:color w:val="334155"/>
                <w:sz w:val="17"/>
              </w:rPr>
              <w:t>Supervisión de transacciones y estados de cobranza.</w:t>
            </w:r>
          </w:p>
        </w:tc>
      </w:tr>
      <w:tr>
        <w:tc>
          <w:tcPr>
            <w:tcW w:type="dxa" w:w="2592"/>
            <w:shd w:fill="FFFFFF"/>
            <w:tcMar>
              <w:top w:w="100" w:type="dxa"/>
              <w:bottom w:w="100" w:type="dxa"/>
              <w:left w:w="140" w:type="dxa"/>
              <w:right w:w="140" w:type="dxa"/>
            </w:tcMar>
          </w:tcPr>
          <w:p>
            <w:r>
              <w:rPr>
                <w:rFonts w:ascii="Calibri" w:hAnsi="Calibri"/>
                <w:color w:val="334155"/>
                <w:sz w:val="17"/>
              </w:rPr>
              <w:t>/system/users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1872"/>
            <w:shd w:fill="FFFFFF"/>
            <w:tcMar>
              <w:top w:w="100" w:type="dxa"/>
              <w:bottom w:w="100" w:type="dxa"/>
              <w:left w:w="140" w:type="dxa"/>
              <w:right w:w="140" w:type="dxa"/>
            </w:tcMar>
          </w:tcPr>
          <w:p>
            <w:r>
              <w:rPr>
                <w:rFonts w:ascii="Calibri" w:hAnsi="Calibri"/>
                <w:color w:val="334155"/>
                <w:sz w:val="17"/>
              </w:rPr>
              <w:t>System Layout</w:t>
            </w:r>
          </w:p>
        </w:tc>
        <w:tc>
          <w:tcPr>
            <w:tcW w:type="dxa" w:w="3168"/>
            <w:shd w:fill="FFFFFF"/>
            <w:tcMar>
              <w:top w:w="100" w:type="dxa"/>
              <w:bottom w:w="100" w:type="dxa"/>
              <w:left w:w="140" w:type="dxa"/>
              <w:right w:w="140" w:type="dxa"/>
            </w:tcMar>
          </w:tcPr>
          <w:p>
            <w:r>
              <w:rPr>
                <w:rFonts w:ascii="Calibri" w:hAnsi="Calibri"/>
                <w:color w:val="334155"/>
                <w:sz w:val="17"/>
              </w:rPr>
              <w:t>Gestión de operadores del núcleo de la plataforma.</w:t>
            </w:r>
          </w:p>
        </w:tc>
      </w:tr>
      <w:tr>
        <w:tc>
          <w:tcPr>
            <w:tcW w:type="dxa" w:w="2592"/>
            <w:shd w:fill="F8FAFC"/>
            <w:tcMar>
              <w:top w:w="100" w:type="dxa"/>
              <w:bottom w:w="100" w:type="dxa"/>
              <w:left w:w="140" w:type="dxa"/>
              <w:right w:w="140" w:type="dxa"/>
            </w:tcMar>
          </w:tcPr>
          <w:p>
            <w:r>
              <w:rPr>
                <w:rFonts w:ascii="Calibri" w:hAnsi="Calibri"/>
                <w:color w:val="334155"/>
                <w:sz w:val="17"/>
              </w:rPr>
              <w:t>/system/roles</w:t>
            </w:r>
          </w:p>
        </w:tc>
        <w:tc>
          <w:tcPr>
            <w:tcW w:type="dxa" w:w="1728"/>
            <w:shd w:fill="F8FAFC"/>
            <w:tcMar>
              <w:top w:w="100" w:type="dxa"/>
              <w:bottom w:w="100" w:type="dxa"/>
              <w:left w:w="140" w:type="dxa"/>
              <w:right w:w="140" w:type="dxa"/>
            </w:tcMar>
          </w:tcPr>
          <w:p>
            <w:r>
              <w:rPr>
                <w:rFonts w:ascii="Calibri" w:hAnsi="Calibri"/>
                <w:color w:val="334155"/>
                <w:sz w:val="17"/>
              </w:rPr>
              <w:t>Admin Sistema</w:t>
            </w:r>
          </w:p>
        </w:tc>
        <w:tc>
          <w:tcPr>
            <w:tcW w:type="dxa" w:w="1872"/>
            <w:shd w:fill="F8FAFC"/>
            <w:tcMar>
              <w:top w:w="100" w:type="dxa"/>
              <w:bottom w:w="100" w:type="dxa"/>
              <w:left w:w="140" w:type="dxa"/>
              <w:right w:w="140" w:type="dxa"/>
            </w:tcMar>
          </w:tcPr>
          <w:p>
            <w:r>
              <w:rPr>
                <w:rFonts w:ascii="Calibri" w:hAnsi="Calibri"/>
                <w:color w:val="334155"/>
                <w:sz w:val="17"/>
              </w:rPr>
              <w:t>System Layout</w:t>
            </w:r>
          </w:p>
        </w:tc>
        <w:tc>
          <w:tcPr>
            <w:tcW w:type="dxa" w:w="3168"/>
            <w:shd w:fill="F8FAFC"/>
            <w:tcMar>
              <w:top w:w="100" w:type="dxa"/>
              <w:bottom w:w="100" w:type="dxa"/>
              <w:left w:w="140" w:type="dxa"/>
              <w:right w:w="140" w:type="dxa"/>
            </w:tcMar>
          </w:tcPr>
          <w:p>
            <w:r>
              <w:rPr>
                <w:rFonts w:ascii="Calibri" w:hAnsi="Calibri"/>
                <w:color w:val="334155"/>
                <w:sz w:val="17"/>
              </w:rPr>
              <w:t>Matriz de privilegios para usuarios del sistema.</w:t>
            </w:r>
          </w:p>
        </w:tc>
      </w:tr>
      <w:tr>
        <w:tc>
          <w:tcPr>
            <w:tcW w:type="dxa" w:w="2592"/>
            <w:shd w:fill="FFFFFF"/>
            <w:tcMar>
              <w:top w:w="100" w:type="dxa"/>
              <w:bottom w:w="100" w:type="dxa"/>
              <w:left w:w="140" w:type="dxa"/>
              <w:right w:w="140" w:type="dxa"/>
            </w:tcMar>
          </w:tcPr>
          <w:p>
            <w:r>
              <w:rPr>
                <w:rFonts w:ascii="Calibri" w:hAnsi="Calibri"/>
                <w:color w:val="334155"/>
                <w:sz w:val="17"/>
              </w:rPr>
              <w:t>/system/parameters</w:t>
            </w:r>
          </w:p>
        </w:tc>
        <w:tc>
          <w:tcPr>
            <w:tcW w:type="dxa" w:w="1728"/>
            <w:shd w:fill="FFFFFF"/>
            <w:tcMar>
              <w:top w:w="100" w:type="dxa"/>
              <w:bottom w:w="100" w:type="dxa"/>
              <w:left w:w="140" w:type="dxa"/>
              <w:right w:w="140" w:type="dxa"/>
            </w:tcMar>
          </w:tcPr>
          <w:p>
            <w:r>
              <w:rPr>
                <w:rFonts w:ascii="Calibri" w:hAnsi="Calibri"/>
                <w:color w:val="334155"/>
                <w:sz w:val="17"/>
              </w:rPr>
              <w:t>Admin Sistema</w:t>
            </w:r>
          </w:p>
        </w:tc>
        <w:tc>
          <w:tcPr>
            <w:tcW w:type="dxa" w:w="1872"/>
            <w:shd w:fill="FFFFFF"/>
            <w:tcMar>
              <w:top w:w="100" w:type="dxa"/>
              <w:bottom w:w="100" w:type="dxa"/>
              <w:left w:w="140" w:type="dxa"/>
              <w:right w:w="140" w:type="dxa"/>
            </w:tcMar>
          </w:tcPr>
          <w:p>
            <w:r>
              <w:rPr>
                <w:rFonts w:ascii="Calibri" w:hAnsi="Calibri"/>
                <w:color w:val="334155"/>
                <w:sz w:val="17"/>
              </w:rPr>
              <w:t>System Layout</w:t>
            </w:r>
          </w:p>
        </w:tc>
        <w:tc>
          <w:tcPr>
            <w:tcW w:type="dxa" w:w="3168"/>
            <w:shd w:fill="FFFFFF"/>
            <w:tcMar>
              <w:top w:w="100" w:type="dxa"/>
              <w:bottom w:w="100" w:type="dxa"/>
              <w:left w:w="140" w:type="dxa"/>
              <w:right w:w="140" w:type="dxa"/>
            </w:tcMar>
          </w:tcPr>
          <w:p>
            <w:r>
              <w:rPr>
                <w:rFonts w:ascii="Calibri" w:hAnsi="Calibri"/>
                <w:color w:val="334155"/>
                <w:sz w:val="17"/>
              </w:rPr>
              <w:t>Control de banners promocionales y modo de mantenimiento.</w:t>
            </w:r>
          </w:p>
        </w:tc>
      </w:tr>
      <w:tr>
        <w:tc>
          <w:tcPr>
            <w:tcW w:type="dxa" w:w="2592"/>
            <w:shd w:fill="F8FAFC"/>
            <w:tcMar>
              <w:top w:w="100" w:type="dxa"/>
              <w:bottom w:w="100" w:type="dxa"/>
              <w:left w:w="140" w:type="dxa"/>
              <w:right w:w="140" w:type="dxa"/>
            </w:tcMar>
          </w:tcPr>
          <w:p>
            <w:r>
              <w:rPr>
                <w:rFonts w:ascii="Calibri" w:hAnsi="Calibri"/>
                <w:color w:val="334155"/>
                <w:sz w:val="17"/>
              </w:rPr>
              <w:t>/company/home</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1872"/>
            <w:shd w:fill="F8FAFC"/>
            <w:tcMar>
              <w:top w:w="100" w:type="dxa"/>
              <w:bottom w:w="100" w:type="dxa"/>
              <w:left w:w="140" w:type="dxa"/>
              <w:right w:w="140" w:type="dxa"/>
            </w:tcMar>
          </w:tcPr>
          <w:p>
            <w:r>
              <w:rPr>
                <w:rFonts w:ascii="Calibri" w:hAnsi="Calibri"/>
                <w:color w:val="334155"/>
                <w:sz w:val="17"/>
              </w:rPr>
              <w:t>Company Layout</w:t>
            </w:r>
          </w:p>
        </w:tc>
        <w:tc>
          <w:tcPr>
            <w:tcW w:type="dxa" w:w="3168"/>
            <w:shd w:fill="F8FAFC"/>
            <w:tcMar>
              <w:top w:w="100" w:type="dxa"/>
              <w:bottom w:w="100" w:type="dxa"/>
              <w:left w:w="140" w:type="dxa"/>
              <w:right w:w="140" w:type="dxa"/>
            </w:tcMar>
          </w:tcPr>
          <w:p>
            <w:r>
              <w:rPr>
                <w:rFonts w:ascii="Calibri" w:hAnsi="Calibri"/>
                <w:color w:val="334155"/>
                <w:sz w:val="17"/>
              </w:rPr>
              <w:t>Panel de bienvenida, estadísticas internas y consumo de cupos.</w:t>
            </w:r>
          </w:p>
        </w:tc>
      </w:tr>
      <w:tr>
        <w:tc>
          <w:tcPr>
            <w:tcW w:type="dxa" w:w="2592"/>
            <w:shd w:fill="FFFFFF"/>
            <w:tcMar>
              <w:top w:w="100" w:type="dxa"/>
              <w:bottom w:w="100" w:type="dxa"/>
              <w:left w:w="140" w:type="dxa"/>
              <w:right w:w="140" w:type="dxa"/>
            </w:tcMar>
          </w:tcPr>
          <w:p>
            <w:r>
              <w:rPr>
                <w:rFonts w:ascii="Calibri" w:hAnsi="Calibri"/>
                <w:color w:val="334155"/>
                <w:sz w:val="17"/>
              </w:rPr>
              <w:t>/company/headquarters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1872"/>
            <w:shd w:fill="FFFFFF"/>
            <w:tcMar>
              <w:top w:w="100" w:type="dxa"/>
              <w:bottom w:w="100" w:type="dxa"/>
              <w:left w:w="140" w:type="dxa"/>
              <w:right w:w="140" w:type="dxa"/>
            </w:tcMar>
          </w:tcPr>
          <w:p>
            <w:r>
              <w:rPr>
                <w:rFonts w:ascii="Calibri" w:hAnsi="Calibri"/>
                <w:color w:val="334155"/>
                <w:sz w:val="17"/>
              </w:rPr>
              <w:t>Company Layout</w:t>
            </w:r>
          </w:p>
        </w:tc>
        <w:tc>
          <w:tcPr>
            <w:tcW w:type="dxa" w:w="3168"/>
            <w:shd w:fill="FFFFFF"/>
            <w:tcMar>
              <w:top w:w="100" w:type="dxa"/>
              <w:bottom w:w="100" w:type="dxa"/>
              <w:left w:w="140" w:type="dxa"/>
              <w:right w:w="140" w:type="dxa"/>
            </w:tcMar>
          </w:tcPr>
          <w:p>
            <w:r>
              <w:rPr>
                <w:rFonts w:ascii="Calibri" w:hAnsi="Calibri"/>
                <w:color w:val="334155"/>
                <w:sz w:val="17"/>
              </w:rPr>
              <w:t>Registro y administración de sedes físicas.</w:t>
            </w:r>
          </w:p>
        </w:tc>
      </w:tr>
      <w:tr>
        <w:tc>
          <w:tcPr>
            <w:tcW w:type="dxa" w:w="2592"/>
            <w:shd w:fill="F8FAFC"/>
            <w:tcMar>
              <w:top w:w="100" w:type="dxa"/>
              <w:bottom w:w="100" w:type="dxa"/>
              <w:left w:w="140" w:type="dxa"/>
              <w:right w:w="140" w:type="dxa"/>
            </w:tcMar>
          </w:tcPr>
          <w:p>
            <w:r>
              <w:rPr>
                <w:rFonts w:ascii="Calibri" w:hAnsi="Calibri"/>
                <w:color w:val="334155"/>
                <w:sz w:val="17"/>
              </w:rPr>
              <w:t>/company/areas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1872"/>
            <w:shd w:fill="F8FAFC"/>
            <w:tcMar>
              <w:top w:w="100" w:type="dxa"/>
              <w:bottom w:w="100" w:type="dxa"/>
              <w:left w:w="140" w:type="dxa"/>
              <w:right w:w="140" w:type="dxa"/>
            </w:tcMar>
          </w:tcPr>
          <w:p>
            <w:r>
              <w:rPr>
                <w:rFonts w:ascii="Calibri" w:hAnsi="Calibri"/>
                <w:color w:val="334155"/>
                <w:sz w:val="17"/>
              </w:rPr>
              <w:t>Company Layout</w:t>
            </w:r>
          </w:p>
        </w:tc>
        <w:tc>
          <w:tcPr>
            <w:tcW w:type="dxa" w:w="3168"/>
            <w:shd w:fill="F8FAFC"/>
            <w:tcMar>
              <w:top w:w="100" w:type="dxa"/>
              <w:bottom w:w="100" w:type="dxa"/>
              <w:left w:w="140" w:type="dxa"/>
              <w:right w:w="140" w:type="dxa"/>
            </w:tcMar>
          </w:tcPr>
          <w:p>
            <w:r>
              <w:rPr>
                <w:rFonts w:ascii="Calibri" w:hAnsi="Calibri"/>
                <w:color w:val="334155"/>
                <w:sz w:val="17"/>
              </w:rPr>
              <w:t>Estructura departamental asociada a sedes.</w:t>
            </w:r>
          </w:p>
        </w:tc>
      </w:tr>
      <w:tr>
        <w:tc>
          <w:tcPr>
            <w:tcW w:type="dxa" w:w="2592"/>
            <w:shd w:fill="FFFFFF"/>
            <w:tcMar>
              <w:top w:w="100" w:type="dxa"/>
              <w:bottom w:w="100" w:type="dxa"/>
              <w:left w:w="140" w:type="dxa"/>
              <w:right w:w="140" w:type="dxa"/>
            </w:tcMar>
          </w:tcPr>
          <w:p>
            <w:r>
              <w:rPr>
                <w:rFonts w:ascii="Calibri" w:hAnsi="Calibri"/>
                <w:color w:val="334155"/>
                <w:sz w:val="17"/>
              </w:rPr>
              <w:t>/company/cargos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1872"/>
            <w:shd w:fill="FFFFFF"/>
            <w:tcMar>
              <w:top w:w="100" w:type="dxa"/>
              <w:bottom w:w="100" w:type="dxa"/>
              <w:left w:w="140" w:type="dxa"/>
              <w:right w:w="140" w:type="dxa"/>
            </w:tcMar>
          </w:tcPr>
          <w:p>
            <w:r>
              <w:rPr>
                <w:rFonts w:ascii="Calibri" w:hAnsi="Calibri"/>
                <w:color w:val="334155"/>
                <w:sz w:val="17"/>
              </w:rPr>
              <w:t>Company Layout</w:t>
            </w:r>
          </w:p>
        </w:tc>
        <w:tc>
          <w:tcPr>
            <w:tcW w:type="dxa" w:w="3168"/>
            <w:shd w:fill="FFFFFF"/>
            <w:tcMar>
              <w:top w:w="100" w:type="dxa"/>
              <w:bottom w:w="100" w:type="dxa"/>
              <w:left w:w="140" w:type="dxa"/>
              <w:right w:w="140" w:type="dxa"/>
            </w:tcMar>
          </w:tcPr>
          <w:p>
            <w:r>
              <w:rPr>
                <w:rFonts w:ascii="Calibri" w:hAnsi="Calibri"/>
                <w:color w:val="334155"/>
                <w:sz w:val="17"/>
              </w:rPr>
              <w:t>Catálogo de puestos de trabajo organizacionales.</w:t>
            </w:r>
          </w:p>
        </w:tc>
      </w:tr>
      <w:tr>
        <w:tc>
          <w:tcPr>
            <w:tcW w:type="dxa" w:w="2592"/>
            <w:shd w:fill="F8FAFC"/>
            <w:tcMar>
              <w:top w:w="100" w:type="dxa"/>
              <w:bottom w:w="100" w:type="dxa"/>
              <w:left w:w="140" w:type="dxa"/>
              <w:right w:w="140" w:type="dxa"/>
            </w:tcMar>
          </w:tcPr>
          <w:p>
            <w:r>
              <w:rPr>
                <w:rFonts w:ascii="Calibri" w:hAnsi="Calibri"/>
                <w:color w:val="334155"/>
                <w:sz w:val="17"/>
              </w:rPr>
              <w:t>/company/users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1872"/>
            <w:shd w:fill="F8FAFC"/>
            <w:tcMar>
              <w:top w:w="100" w:type="dxa"/>
              <w:bottom w:w="100" w:type="dxa"/>
              <w:left w:w="140" w:type="dxa"/>
              <w:right w:w="140" w:type="dxa"/>
            </w:tcMar>
          </w:tcPr>
          <w:p>
            <w:r>
              <w:rPr>
                <w:rFonts w:ascii="Calibri" w:hAnsi="Calibri"/>
                <w:color w:val="334155"/>
                <w:sz w:val="17"/>
              </w:rPr>
              <w:t>Company Layout</w:t>
            </w:r>
          </w:p>
        </w:tc>
        <w:tc>
          <w:tcPr>
            <w:tcW w:type="dxa" w:w="3168"/>
            <w:shd w:fill="F8FAFC"/>
            <w:tcMar>
              <w:top w:w="100" w:type="dxa"/>
              <w:bottom w:w="100" w:type="dxa"/>
              <w:left w:w="140" w:type="dxa"/>
              <w:right w:w="140" w:type="dxa"/>
            </w:tcMar>
          </w:tcPr>
          <w:p>
            <w:r>
              <w:rPr>
                <w:rFonts w:ascii="Calibri" w:hAnsi="Calibri"/>
                <w:color w:val="334155"/>
                <w:sz w:val="17"/>
              </w:rPr>
              <w:t>Directorio completo de colaboradores y personal.</w:t>
            </w:r>
          </w:p>
        </w:tc>
      </w:tr>
      <w:tr>
        <w:tc>
          <w:tcPr>
            <w:tcW w:type="dxa" w:w="2592"/>
            <w:shd w:fill="FFFFFF"/>
            <w:tcMar>
              <w:top w:w="100" w:type="dxa"/>
              <w:bottom w:w="100" w:type="dxa"/>
              <w:left w:w="140" w:type="dxa"/>
              <w:right w:w="140" w:type="dxa"/>
            </w:tcMar>
          </w:tcPr>
          <w:p>
            <w:r>
              <w:rPr>
                <w:rFonts w:ascii="Calibri" w:hAnsi="Calibri"/>
                <w:color w:val="334155"/>
                <w:sz w:val="17"/>
              </w:rPr>
              <w:t>/company/templates</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1872"/>
            <w:shd w:fill="FFFFFF"/>
            <w:tcMar>
              <w:top w:w="100" w:type="dxa"/>
              <w:bottom w:w="100" w:type="dxa"/>
              <w:left w:w="140" w:type="dxa"/>
              <w:right w:w="140" w:type="dxa"/>
            </w:tcMar>
          </w:tcPr>
          <w:p>
            <w:r>
              <w:rPr>
                <w:rFonts w:ascii="Calibri" w:hAnsi="Calibri"/>
                <w:color w:val="334155"/>
                <w:sz w:val="17"/>
              </w:rPr>
              <w:t>Company Layout</w:t>
            </w:r>
          </w:p>
        </w:tc>
        <w:tc>
          <w:tcPr>
            <w:tcW w:type="dxa" w:w="3168"/>
            <w:shd w:fill="FFFFFF"/>
            <w:tcMar>
              <w:top w:w="100" w:type="dxa"/>
              <w:bottom w:w="100" w:type="dxa"/>
              <w:left w:w="140" w:type="dxa"/>
              <w:right w:w="140" w:type="dxa"/>
            </w:tcMar>
          </w:tcPr>
          <w:p>
            <w:r>
              <w:rPr>
                <w:rFonts w:ascii="Calibri" w:hAnsi="Calibri"/>
                <w:color w:val="334155"/>
                <w:sz w:val="17"/>
              </w:rPr>
              <w:t>Galería de plantillas y acceso al editor Canvas.</w:t>
            </w:r>
          </w:p>
        </w:tc>
      </w:tr>
      <w:tr>
        <w:tc>
          <w:tcPr>
            <w:tcW w:type="dxa" w:w="2592"/>
            <w:shd w:fill="F8FAFC"/>
            <w:tcMar>
              <w:top w:w="100" w:type="dxa"/>
              <w:bottom w:w="100" w:type="dxa"/>
              <w:left w:w="140" w:type="dxa"/>
              <w:right w:w="140" w:type="dxa"/>
            </w:tcMar>
          </w:tcPr>
          <w:p>
            <w:r>
              <w:rPr>
                <w:rFonts w:ascii="Calibri" w:hAnsi="Calibri"/>
                <w:color w:val="334155"/>
                <w:sz w:val="17"/>
              </w:rPr>
              <w:t>/company/carnets</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1872"/>
            <w:shd w:fill="F8FAFC"/>
            <w:tcMar>
              <w:top w:w="100" w:type="dxa"/>
              <w:bottom w:w="100" w:type="dxa"/>
              <w:left w:w="140" w:type="dxa"/>
              <w:right w:w="140" w:type="dxa"/>
            </w:tcMar>
          </w:tcPr>
          <w:p>
            <w:r>
              <w:rPr>
                <w:rFonts w:ascii="Calibri" w:hAnsi="Calibri"/>
                <w:color w:val="334155"/>
                <w:sz w:val="17"/>
              </w:rPr>
              <w:t>Company Layout</w:t>
            </w:r>
          </w:p>
        </w:tc>
        <w:tc>
          <w:tcPr>
            <w:tcW w:type="dxa" w:w="3168"/>
            <w:shd w:fill="F8FAFC"/>
            <w:tcMar>
              <w:top w:w="100" w:type="dxa"/>
              <w:bottom w:w="100" w:type="dxa"/>
              <w:left w:w="140" w:type="dxa"/>
              <w:right w:w="140" w:type="dxa"/>
            </w:tcMar>
          </w:tcPr>
          <w:p>
            <w:r>
              <w:rPr>
                <w:rFonts w:ascii="Calibri" w:hAnsi="Calibri"/>
                <w:color w:val="334155"/>
                <w:sz w:val="17"/>
              </w:rPr>
              <w:t>Emisión masiva o individual, descarga en PDF y revocaciones.</w:t>
            </w:r>
          </w:p>
        </w:tc>
      </w:tr>
      <w:tr>
        <w:tc>
          <w:tcPr>
            <w:tcW w:type="dxa" w:w="2592"/>
            <w:shd w:fill="FFFFFF"/>
            <w:tcMar>
              <w:top w:w="100" w:type="dxa"/>
              <w:bottom w:w="100" w:type="dxa"/>
              <w:left w:w="140" w:type="dxa"/>
              <w:right w:w="140" w:type="dxa"/>
            </w:tcMar>
          </w:tcPr>
          <w:p>
            <w:r>
              <w:rPr>
                <w:rFonts w:ascii="Calibri" w:hAnsi="Calibri"/>
                <w:color w:val="334155"/>
                <w:sz w:val="17"/>
              </w:rPr>
              <w:t>/company/parameter</w:t>
            </w:r>
          </w:p>
        </w:tc>
        <w:tc>
          <w:tcPr>
            <w:tcW w:type="dxa" w:w="1728"/>
            <w:shd w:fill="FFFFFF"/>
            <w:tcMar>
              <w:top w:w="100" w:type="dxa"/>
              <w:bottom w:w="100" w:type="dxa"/>
              <w:left w:w="140" w:type="dxa"/>
              <w:right w:w="140" w:type="dxa"/>
            </w:tcMar>
          </w:tcPr>
          <w:p>
            <w:r>
              <w:rPr>
                <w:rFonts w:ascii="Calibri" w:hAnsi="Calibri"/>
                <w:color w:val="334155"/>
                <w:sz w:val="17"/>
              </w:rPr>
              <w:t>Admin Empresa</w:t>
            </w:r>
          </w:p>
        </w:tc>
        <w:tc>
          <w:tcPr>
            <w:tcW w:type="dxa" w:w="1872"/>
            <w:shd w:fill="FFFFFF"/>
            <w:tcMar>
              <w:top w:w="100" w:type="dxa"/>
              <w:bottom w:w="100" w:type="dxa"/>
              <w:left w:w="140" w:type="dxa"/>
              <w:right w:w="140" w:type="dxa"/>
            </w:tcMar>
          </w:tcPr>
          <w:p>
            <w:r>
              <w:rPr>
                <w:rFonts w:ascii="Calibri" w:hAnsi="Calibri"/>
                <w:color w:val="334155"/>
                <w:sz w:val="17"/>
              </w:rPr>
              <w:t>Company Layout</w:t>
            </w:r>
          </w:p>
        </w:tc>
        <w:tc>
          <w:tcPr>
            <w:tcW w:type="dxa" w:w="3168"/>
            <w:shd w:fill="FFFFFF"/>
            <w:tcMar>
              <w:top w:w="100" w:type="dxa"/>
              <w:bottom w:w="100" w:type="dxa"/>
              <w:left w:w="140" w:type="dxa"/>
              <w:right w:w="140" w:type="dxa"/>
            </w:tcMar>
          </w:tcPr>
          <w:p>
            <w:r>
              <w:rPr>
                <w:rFonts w:ascii="Calibri" w:hAnsi="Calibri"/>
                <w:color w:val="334155"/>
                <w:sz w:val="17"/>
              </w:rPr>
              <w:t>Personalización de marca corporativa (white-labeling).</w:t>
            </w:r>
          </w:p>
        </w:tc>
      </w:tr>
      <w:tr>
        <w:tc>
          <w:tcPr>
            <w:tcW w:type="dxa" w:w="2592"/>
            <w:shd w:fill="F8FAFC"/>
            <w:tcMar>
              <w:top w:w="100" w:type="dxa"/>
              <w:bottom w:w="100" w:type="dxa"/>
              <w:left w:w="140" w:type="dxa"/>
              <w:right w:w="140" w:type="dxa"/>
            </w:tcMar>
          </w:tcPr>
          <w:p>
            <w:r>
              <w:rPr>
                <w:rFonts w:ascii="Calibri" w:hAnsi="Calibri"/>
                <w:color w:val="334155"/>
                <w:sz w:val="17"/>
              </w:rPr>
              <w:t>/company/subscription</w:t>
            </w:r>
          </w:p>
        </w:tc>
        <w:tc>
          <w:tcPr>
            <w:tcW w:type="dxa" w:w="1728"/>
            <w:shd w:fill="F8FAFC"/>
            <w:tcMar>
              <w:top w:w="100" w:type="dxa"/>
              <w:bottom w:w="100" w:type="dxa"/>
              <w:left w:w="140" w:type="dxa"/>
              <w:right w:w="140" w:type="dxa"/>
            </w:tcMar>
          </w:tcPr>
          <w:p>
            <w:r>
              <w:rPr>
                <w:rFonts w:ascii="Calibri" w:hAnsi="Calibri"/>
                <w:color w:val="334155"/>
                <w:sz w:val="17"/>
              </w:rPr>
              <w:t>Admin Empresa</w:t>
            </w:r>
          </w:p>
        </w:tc>
        <w:tc>
          <w:tcPr>
            <w:tcW w:type="dxa" w:w="1872"/>
            <w:shd w:fill="F8FAFC"/>
            <w:tcMar>
              <w:top w:w="100" w:type="dxa"/>
              <w:bottom w:w="100" w:type="dxa"/>
              <w:left w:w="140" w:type="dxa"/>
              <w:right w:w="140" w:type="dxa"/>
            </w:tcMar>
          </w:tcPr>
          <w:p>
            <w:r>
              <w:rPr>
                <w:rFonts w:ascii="Calibri" w:hAnsi="Calibri"/>
                <w:color w:val="334155"/>
                <w:sz w:val="17"/>
              </w:rPr>
              <w:t>Company Layout</w:t>
            </w:r>
          </w:p>
        </w:tc>
        <w:tc>
          <w:tcPr>
            <w:tcW w:type="dxa" w:w="3168"/>
            <w:shd w:fill="F8FAFC"/>
            <w:tcMar>
              <w:top w:w="100" w:type="dxa"/>
              <w:bottom w:w="100" w:type="dxa"/>
              <w:left w:w="140" w:type="dxa"/>
              <w:right w:w="140" w:type="dxa"/>
            </w:tcMar>
          </w:tcPr>
          <w:p>
            <w:r>
              <w:rPr>
                <w:rFonts w:ascii="Calibri" w:hAnsi="Calibri"/>
                <w:color w:val="334155"/>
                <w:sz w:val="17"/>
              </w:rPr>
              <w:t>Consulta del plan contratado y recarga de cuotas.</w:t>
            </w:r>
          </w:p>
        </w:tc>
      </w:tr>
    </w:tbl>
    <w:p>
      <w:pPr>
        <w:pStyle w:val="Heading2"/>
      </w:pPr>
      <w:r>
        <w:t>2.4 Motor gráfico de credenciales (Canvas Engine)</w:t>
      </w:r>
    </w:p>
    <w:p>
      <w:r>
        <w:t>El módulo CanvasDesigner (`CanvasDesigner.jsx`) opera con un motor gráfico nativo sobre el elemento `&lt;canvas&gt;` de HTML5:</w:t>
        <w:br/>
        <w:t>• Sistema de capas ordenadas: Capa de fondo corporativo, logos vectoriales, fotografía del colaborador, textos y código QR.</w:t>
        <w:br/>
        <w:t>• Marcadores dinámicos: Etiquetas como `{{nombres}}`, `{{apellidos}}`, `{{documento}}`, `{{cargo}}` y `{{sede}}` que el sistema reemplaza en tiempo real durante la emisión.</w:t>
        <w:br/>
        <w:t>• Generación de código QR seguro: Dibujado de códigos bidimensionales que contienen la dirección URL pública de verificación criptográfica.</w:t>
        <w:br/>
        <w:t>• Exportación de alta resolución: Salida gráfica rasterizada a 300 DPI adecuada para impresión física o visualización en teléfonos inteligentes.</w:t>
      </w:r>
    </w:p>
    <w:p>
      <w:r>
        <w:br w:type="page"/>
      </w:r>
    </w:p>
    <w:p>
      <w:pPr>
        <w:pStyle w:val="Heading1"/>
      </w:pPr>
      <w:r>
        <w:t>Parte 3. Manual de usuario e instructivo paso a paso</w:t>
      </w:r>
    </w:p>
    <w:p>
      <w:r>
        <w:t>Esta sección describe el funcionamiento de cada una de las 35 pantallas y ventanas modales de Carnet Digital. Sigue las instrucciones descritas según el numeral y la figura correspondiente.</w:t>
      </w:r>
    </w:p>
    <w:p>
      <w:pPr>
        <w:pStyle w:val="Heading2"/>
      </w:pPr>
      <w:r>
        <w:t>Módulo 1. Ingreso, registro y pasarela de pago</w:t>
      </w:r>
    </w:p>
    <w:p>
      <w:pPr>
        <w:pStyle w:val="Heading3"/>
      </w:pPr>
      <w:r>
        <w:t>1. Portada principal y bienvenida comercial</w:t>
      </w:r>
    </w:p>
    <w:p>
      <w:r>
        <w:t>1. Abre tu navegador web favorito (Google Chrome, Microsoft Edge o Mozilla Firefox).</w:t>
        <w:br/>
        <w:t>2. Ingresa la dirección URL oficial de la plataforma: `http://localhost:5173/`.</w:t>
        <w:br/>
        <w:t>3. Observa la propuesta de valor y las opciones del menú de navegación superior.</w:t>
      </w:r>
    </w:p>
    <w:p>
      <w:pPr>
        <w:spacing w:before="160" w:after="40"/>
        <w:jc w:val="center"/>
      </w:pPr>
      <w:r>
        <w:drawing>
          <wp:inline xmlns:a="http://schemas.openxmlformats.org/drawingml/2006/main" xmlns:pic="http://schemas.openxmlformats.org/drawingml/2006/picture">
            <wp:extent cx="5669280" cy="1651680"/>
            <wp:docPr id="1" name="Picture 1"/>
            <wp:cNvGraphicFramePr>
              <a:graphicFrameLocks noChangeAspect="1"/>
            </wp:cNvGraphicFramePr>
            <a:graphic>
              <a:graphicData uri="http://schemas.openxmlformats.org/drawingml/2006/picture">
                <pic:pic>
                  <pic:nvPicPr>
                    <pic:cNvPr id="0" name="01_public_landing_hero.png"/>
                    <pic:cNvPicPr/>
                  </pic:nvPicPr>
                  <pic:blipFill>
                    <a:blip r:embed="rId9"/>
                    <a:stretch>
                      <a:fillRect/>
                    </a:stretch>
                  </pic:blipFill>
                  <pic:spPr>
                    <a:xfrm>
                      <a:off x="0" y="0"/>
                      <a:ext cx="5669280" cy="1651680"/>
                    </a:xfrm>
                    <a:prstGeom prst="rect"/>
                  </pic:spPr>
                </pic:pic>
              </a:graphicData>
            </a:graphic>
          </wp:inline>
        </w:drawing>
      </w:r>
    </w:p>
    <w:p>
      <w:pPr>
        <w:spacing w:after="200"/>
        <w:jc w:val="center"/>
      </w:pPr>
      <w:r>
        <w:rPr>
          <w:b/>
          <w:color w:val="001F3F"/>
          <w:sz w:val="17"/>
        </w:rPr>
        <w:t xml:space="preserve">Figura 1. </w:t>
      </w:r>
      <w:r>
        <w:rPr>
          <w:color w:val="64748B"/>
          <w:sz w:val="17"/>
        </w:rPr>
        <w:t>Pantalla de ingreso al portal web de Carnet Digital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40" w:after="40"/>
            </w:pPr>
            <w:r>
              <w:rPr>
                <w:b/>
                <w:color w:val="001F3F"/>
                <w:sz w:val="19"/>
              </w:rPr>
              <w:t xml:space="preserve">Sugerencia: </w:t>
            </w:r>
            <w:r>
              <w:rPr>
                <w:color w:val="334155"/>
                <w:sz w:val="19"/>
              </w:rPr>
              <w:t>Haz clic en el botón 'Empezar Ahora' para comunicarte vía WhatsApp con un asesor de servicio.</w:t>
            </w:r>
          </w:p>
        </w:tc>
      </w:tr>
    </w:tbl>
    <w:p>
      <w:pPr>
        <w:spacing w:after="80"/>
      </w:pPr>
    </w:p>
    <w:p>
      <w:pPr>
        <w:pStyle w:val="Heading3"/>
      </w:pPr>
      <w:r>
        <w:t>2. Catálogo interactivo de servicios y soluciones</w:t>
      </w:r>
    </w:p>
    <w:p>
      <w:r>
        <w:t>1. Desplázate hacia abajo en la página de inicio hasta la sección 'Servicios'.</w:t>
        <w:br/>
        <w:t>2. Explora las soluciones de credencialización disponibles: Identificación Digital, Control de Asistencia, Acceso a Sedes, Eventos y Certificaciones.</w:t>
      </w:r>
    </w:p>
    <w:p>
      <w:pPr>
        <w:spacing w:before="160" w:after="40"/>
        <w:jc w:val="center"/>
      </w:pPr>
      <w:r>
        <w:drawing>
          <wp:inline xmlns:a="http://schemas.openxmlformats.org/drawingml/2006/main" xmlns:pic="http://schemas.openxmlformats.org/drawingml/2006/picture">
            <wp:extent cx="5303520" cy="4198272"/>
            <wp:docPr id="2" name="Picture 2"/>
            <wp:cNvGraphicFramePr>
              <a:graphicFrameLocks noChangeAspect="1"/>
            </wp:cNvGraphicFramePr>
            <a:graphic>
              <a:graphicData uri="http://schemas.openxmlformats.org/drawingml/2006/picture">
                <pic:pic>
                  <pic:nvPicPr>
                    <pic:cNvPr id="0" name="02_public_landing_servicios.png"/>
                    <pic:cNvPicPr/>
                  </pic:nvPicPr>
                  <pic:blipFill>
                    <a:blip r:embed="rId10"/>
                    <a:stretch>
                      <a:fillRect/>
                    </a:stretch>
                  </pic:blipFill>
                  <pic:spPr>
                    <a:xfrm>
                      <a:off x="0" y="0"/>
                      <a:ext cx="5303520" cy="4198272"/>
                    </a:xfrm>
                    <a:prstGeom prst="rect"/>
                  </pic:spPr>
                </pic:pic>
              </a:graphicData>
            </a:graphic>
          </wp:inline>
        </w:drawing>
      </w:r>
    </w:p>
    <w:p>
      <w:pPr>
        <w:spacing w:after="200"/>
        <w:jc w:val="center"/>
      </w:pPr>
      <w:r>
        <w:rPr>
          <w:b/>
          <w:color w:val="001F3F"/>
          <w:sz w:val="17"/>
        </w:rPr>
        <w:t xml:space="preserve">Figura 2. </w:t>
      </w:r>
      <w:r>
        <w:rPr>
          <w:color w:val="64748B"/>
          <w:sz w:val="17"/>
        </w:rPr>
        <w:t>Catálogo de soluciones y funciones de credencialización</w:t>
      </w:r>
    </w:p>
    <w:p>
      <w:pPr>
        <w:pStyle w:val="Heading3"/>
      </w:pPr>
      <w:r>
        <w:t>3. Consulta de planes y tarifas comerciales</w:t>
      </w:r>
    </w:p>
    <w:p>
      <w:r>
        <w:t>1. Dirígete a la sección 'Suscripciones' mediante el menú superior.</w:t>
        <w:br/>
        <w:t>2. Alterna entre facturación mensual o anual con descuento especial.</w:t>
        <w:br/>
        <w:t>3. Elige el plan que mejor se adapte al volumen de colaboradores de tu organización.</w:t>
      </w:r>
    </w:p>
    <w:p>
      <w:pPr>
        <w:spacing w:before="160" w:after="40"/>
        <w:jc w:val="center"/>
      </w:pPr>
      <w:r>
        <w:drawing>
          <wp:inline xmlns:a="http://schemas.openxmlformats.org/drawingml/2006/main" xmlns:pic="http://schemas.openxmlformats.org/drawingml/2006/picture">
            <wp:extent cx="5303520" cy="3059723"/>
            <wp:docPr id="3" name="Picture 3"/>
            <wp:cNvGraphicFramePr>
              <a:graphicFrameLocks noChangeAspect="1"/>
            </wp:cNvGraphicFramePr>
            <a:graphic>
              <a:graphicData uri="http://schemas.openxmlformats.org/drawingml/2006/picture">
                <pic:pic>
                  <pic:nvPicPr>
                    <pic:cNvPr id="0" name="03_public_landing_planes.png"/>
                    <pic:cNvPicPr/>
                  </pic:nvPicPr>
                  <pic:blipFill>
                    <a:blip r:embed="rId11"/>
                    <a:stretch>
                      <a:fillRect/>
                    </a:stretch>
                  </pic:blipFill>
                  <pic:spPr>
                    <a:xfrm>
                      <a:off x="0" y="0"/>
                      <a:ext cx="5303520" cy="3059723"/>
                    </a:xfrm>
                    <a:prstGeom prst="rect"/>
                  </pic:spPr>
                </pic:pic>
              </a:graphicData>
            </a:graphic>
          </wp:inline>
        </w:drawing>
      </w:r>
    </w:p>
    <w:p>
      <w:pPr>
        <w:spacing w:after="200"/>
        <w:jc w:val="center"/>
      </w:pPr>
      <w:r>
        <w:rPr>
          <w:b/>
          <w:color w:val="001F3F"/>
          <w:sz w:val="17"/>
        </w:rPr>
        <w:t xml:space="preserve">Figura 3. </w:t>
      </w:r>
      <w:r>
        <w:rPr>
          <w:color w:val="64748B"/>
          <w:sz w:val="17"/>
        </w:rPr>
        <w:t>Selector de planes y tarifas de suscripción</w:t>
      </w:r>
    </w:p>
    <w:p>
      <w:pPr>
        <w:pStyle w:val="Heading3"/>
      </w:pPr>
      <w:r>
        <w:t>4. Opciones de arquitectura e infraestructura</w:t>
      </w:r>
    </w:p>
    <w:p>
      <w:r>
        <w:t>1. Revisa las modalidades de hospedaje técnico.</w:t>
        <w:br/>
        <w:t>2. Compara la solución Cloud SaaS gestionada frente al despliegue On-Premises en los servidores privados de tu institución.</w:t>
      </w:r>
    </w:p>
    <w:p>
      <w:pPr>
        <w:spacing w:before="160" w:after="40"/>
        <w:jc w:val="center"/>
      </w:pPr>
      <w:r>
        <w:drawing>
          <wp:inline xmlns:a="http://schemas.openxmlformats.org/drawingml/2006/main" xmlns:pic="http://schemas.openxmlformats.org/drawingml/2006/picture">
            <wp:extent cx="5303520" cy="2469408"/>
            <wp:docPr id="4" name="Picture 4"/>
            <wp:cNvGraphicFramePr>
              <a:graphicFrameLocks noChangeAspect="1"/>
            </wp:cNvGraphicFramePr>
            <a:graphic>
              <a:graphicData uri="http://schemas.openxmlformats.org/drawingml/2006/picture">
                <pic:pic>
                  <pic:nvPicPr>
                    <pic:cNvPr id="0" name="04_public_landing_despliegue.png"/>
                    <pic:cNvPicPr/>
                  </pic:nvPicPr>
                  <pic:blipFill>
                    <a:blip r:embed="rId12"/>
                    <a:stretch>
                      <a:fillRect/>
                    </a:stretch>
                  </pic:blipFill>
                  <pic:spPr>
                    <a:xfrm>
                      <a:off x="0" y="0"/>
                      <a:ext cx="5303520" cy="2469408"/>
                    </a:xfrm>
                    <a:prstGeom prst="rect"/>
                  </pic:spPr>
                </pic:pic>
              </a:graphicData>
            </a:graphic>
          </wp:inline>
        </w:drawing>
      </w:r>
    </w:p>
    <w:p>
      <w:pPr>
        <w:spacing w:after="200"/>
        <w:jc w:val="center"/>
      </w:pPr>
      <w:r>
        <w:rPr>
          <w:b/>
          <w:color w:val="001F3F"/>
          <w:sz w:val="17"/>
        </w:rPr>
        <w:t xml:space="preserve">Figura 4. </w:t>
      </w:r>
      <w:r>
        <w:rPr>
          <w:color w:val="64748B"/>
          <w:sz w:val="17"/>
        </w:rPr>
        <w:t>Comparativa de arquitectura Cloud SaaS frente a On-Premises</w:t>
      </w:r>
    </w:p>
    <w:p>
      <w:pPr>
        <w:pStyle w:val="Heading3"/>
      </w:pPr>
      <w:r>
        <w:t>5. Contacto comercial y pie de página</w:t>
      </w:r>
    </w:p>
    <w:p>
      <w:r>
        <w:t>1. Utiliza los canales directos del pie de página para resolver inquietudes técnicas o comerciales.</w:t>
        <w:br/>
        <w:t>2. Consulta las políticas de tratamiento de datos y términos de servicio institucional.</w:t>
      </w:r>
    </w:p>
    <w:p>
      <w:pPr>
        <w:spacing w:before="160" w:after="40"/>
        <w:jc w:val="center"/>
      </w:pPr>
      <w:r>
        <w:drawing>
          <wp:inline xmlns:a="http://schemas.openxmlformats.org/drawingml/2006/main" xmlns:pic="http://schemas.openxmlformats.org/drawingml/2006/picture">
            <wp:extent cx="5486400" cy="1235520"/>
            <wp:docPr id="5" name="Picture 5"/>
            <wp:cNvGraphicFramePr>
              <a:graphicFrameLocks noChangeAspect="1"/>
            </wp:cNvGraphicFramePr>
            <a:graphic>
              <a:graphicData uri="http://schemas.openxmlformats.org/drawingml/2006/picture">
                <pic:pic>
                  <pic:nvPicPr>
                    <pic:cNvPr id="0" name="05_public_landing_cta.png"/>
                    <pic:cNvPicPr/>
                  </pic:nvPicPr>
                  <pic:blipFill>
                    <a:blip r:embed="rId13"/>
                    <a:stretch>
                      <a:fillRect/>
                    </a:stretch>
                  </pic:blipFill>
                  <pic:spPr>
                    <a:xfrm>
                      <a:off x="0" y="0"/>
                      <a:ext cx="5486400" cy="1235520"/>
                    </a:xfrm>
                    <a:prstGeom prst="rect"/>
                  </pic:spPr>
                </pic:pic>
              </a:graphicData>
            </a:graphic>
          </wp:inline>
        </w:drawing>
      </w:r>
    </w:p>
    <w:p>
      <w:pPr>
        <w:spacing w:after="200"/>
        <w:jc w:val="center"/>
      </w:pPr>
      <w:r>
        <w:rPr>
          <w:b/>
          <w:color w:val="001F3F"/>
          <w:sz w:val="17"/>
        </w:rPr>
        <w:t xml:space="preserve">Figura 5. </w:t>
      </w:r>
      <w:r>
        <w:rPr>
          <w:color w:val="64748B"/>
          <w:sz w:val="17"/>
        </w:rPr>
        <w:t>Sección de llamado a la acción y enlaces institucionales</w:t>
      </w:r>
    </w:p>
    <w:p>
      <w:pPr>
        <w:pStyle w:val="Heading3"/>
      </w:pPr>
      <w:r>
        <w:t>6. Portal de novedades y artículos técnicos</w:t>
      </w:r>
    </w:p>
    <w:p>
      <w:r>
        <w:t>1. Haz clic en la opción 'Blog' de la barra superior.</w:t>
        <w:br/>
        <w:t>2. Filtra por categorías como 'Seguridad', 'Innovación' o 'Gestión' para consultar artículos de interés.</w:t>
      </w:r>
    </w:p>
    <w:p>
      <w:pPr>
        <w:spacing w:before="160" w:after="40"/>
        <w:jc w:val="center"/>
      </w:pPr>
      <w:r>
        <w:drawing>
          <wp:inline xmlns:a="http://schemas.openxmlformats.org/drawingml/2006/main" xmlns:pic="http://schemas.openxmlformats.org/drawingml/2006/picture">
            <wp:extent cx="5120640" cy="4787328"/>
            <wp:docPr id="6" name="Picture 6"/>
            <wp:cNvGraphicFramePr>
              <a:graphicFrameLocks noChangeAspect="1"/>
            </wp:cNvGraphicFramePr>
            <a:graphic>
              <a:graphicData uri="http://schemas.openxmlformats.org/drawingml/2006/picture">
                <pic:pic>
                  <pic:nvPicPr>
                    <pic:cNvPr id="0" name="06_public_blog.png"/>
                    <pic:cNvPicPr/>
                  </pic:nvPicPr>
                  <pic:blipFill>
                    <a:blip r:embed="rId14"/>
                    <a:stretch>
                      <a:fillRect/>
                    </a:stretch>
                  </pic:blipFill>
                  <pic:spPr>
                    <a:xfrm>
                      <a:off x="0" y="0"/>
                      <a:ext cx="5120640" cy="4787328"/>
                    </a:xfrm>
                    <a:prstGeom prst="rect"/>
                  </pic:spPr>
                </pic:pic>
              </a:graphicData>
            </a:graphic>
          </wp:inline>
        </w:drawing>
      </w:r>
    </w:p>
    <w:p>
      <w:pPr>
        <w:spacing w:after="200"/>
        <w:jc w:val="center"/>
      </w:pPr>
      <w:r>
        <w:rPr>
          <w:b/>
          <w:color w:val="001F3F"/>
          <w:sz w:val="17"/>
        </w:rPr>
        <w:t xml:space="preserve">Figura 6. </w:t>
      </w:r>
      <w:r>
        <w:rPr>
          <w:color w:val="64748B"/>
          <w:sz w:val="17"/>
        </w:rPr>
        <w:t>Directorio de publicaciones y artículos del blog institucional</w:t>
      </w:r>
    </w:p>
    <w:p>
      <w:pPr>
        <w:pStyle w:val="Heading3"/>
      </w:pPr>
      <w:r>
        <w:t>7. Inicio de sesión en la plataforma</w:t>
      </w:r>
    </w:p>
    <w:p>
      <w:r>
        <w:t>1. Haz clic en el botón 'Entrar' ubicado en la esquina superior derecha.</w:t>
        <w:br/>
        <w:t>2. Escribe tu correo electrónico corporativo registrado.</w:t>
        <w:br/>
        <w:t>3. Escribe tu contraseña de acceso asignada.</w:t>
        <w:br/>
        <w:t>4. Haz clic en el botón **Iniciar Sesión**.</w:t>
      </w:r>
    </w:p>
    <w:p>
      <w:pPr>
        <w:spacing w:before="160" w:after="40"/>
        <w:jc w:val="center"/>
      </w:pPr>
      <w:r>
        <w:drawing>
          <wp:inline xmlns:a="http://schemas.openxmlformats.org/drawingml/2006/main" xmlns:pic="http://schemas.openxmlformats.org/drawingml/2006/picture">
            <wp:extent cx="3291840" cy="4996282"/>
            <wp:docPr id="7" name="Picture 7"/>
            <wp:cNvGraphicFramePr>
              <a:graphicFrameLocks noChangeAspect="1"/>
            </wp:cNvGraphicFramePr>
            <a:graphic>
              <a:graphicData uri="http://schemas.openxmlformats.org/drawingml/2006/picture">
                <pic:pic>
                  <pic:nvPicPr>
                    <pic:cNvPr id="0" name="07_auth_login.png"/>
                    <pic:cNvPicPr/>
                  </pic:nvPicPr>
                  <pic:blipFill>
                    <a:blip r:embed="rId15"/>
                    <a:stretch>
                      <a:fillRect/>
                    </a:stretch>
                  </pic:blipFill>
                  <pic:spPr>
                    <a:xfrm>
                      <a:off x="0" y="0"/>
                      <a:ext cx="3291840" cy="4996282"/>
                    </a:xfrm>
                    <a:prstGeom prst="rect"/>
                  </pic:spPr>
                </pic:pic>
              </a:graphicData>
            </a:graphic>
          </wp:inline>
        </w:drawing>
      </w:r>
    </w:p>
    <w:p>
      <w:pPr>
        <w:spacing w:after="200"/>
        <w:jc w:val="center"/>
      </w:pPr>
      <w:r>
        <w:rPr>
          <w:b/>
          <w:color w:val="001F3F"/>
          <w:sz w:val="17"/>
        </w:rPr>
        <w:t xml:space="preserve">Figura 7. </w:t>
      </w:r>
      <w:r>
        <w:rPr>
          <w:color w:val="64748B"/>
          <w:sz w:val="17"/>
        </w:rPr>
        <w:t>Ventana de autenticación e inicio de sesión seguro</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before="40" w:after="40"/>
            </w:pPr>
            <w:r>
              <w:rPr>
                <w:b/>
                <w:color w:val="001F3F"/>
                <w:sz w:val="19"/>
              </w:rPr>
              <w:t xml:space="preserve">Nota técnica: </w:t>
            </w:r>
            <w:r>
              <w:rPr>
                <w:color w:val="334155"/>
                <w:sz w:val="19"/>
              </w:rPr>
              <w:t>Si la plataforma se encuentra en ventana de mantenimiento técnico, el sistema mostrará un aviso informativo antes de permitir el ingreso.</w:t>
            </w:r>
          </w:p>
        </w:tc>
      </w:tr>
    </w:tbl>
    <w:p>
      <w:pPr>
        <w:spacing w:after="80"/>
      </w:pPr>
    </w:p>
    <w:p>
      <w:pPr>
        <w:pStyle w:val="Heading3"/>
      </w:pPr>
      <w:r>
        <w:t>8. Registro de una nueva empresa cliente</w:t>
      </w:r>
    </w:p>
    <w:p>
      <w:r>
        <w:t>1. En la tarjeta de acceso, haz clic en el enlace '¿No tienes cuenta? Regístrate aquí'.</w:t>
        <w:br/>
        <w:t>2. Diligencia la razón social completa de tu empresa y el número de identificación tributaria (NIT).</w:t>
        <w:br/>
        <w:t>3. Escribe los datos de contacto del administrador y define una contraseña segura.</w:t>
      </w:r>
    </w:p>
    <w:p>
      <w:pPr>
        <w:spacing w:before="160" w:after="40"/>
        <w:jc w:val="center"/>
      </w:pPr>
      <w:r>
        <w:drawing>
          <wp:inline xmlns:a="http://schemas.openxmlformats.org/drawingml/2006/main" xmlns:pic="http://schemas.openxmlformats.org/drawingml/2006/picture">
            <wp:extent cx="3291840" cy="5003597"/>
            <wp:docPr id="8" name="Picture 8"/>
            <wp:cNvGraphicFramePr>
              <a:graphicFrameLocks noChangeAspect="1"/>
            </wp:cNvGraphicFramePr>
            <a:graphic>
              <a:graphicData uri="http://schemas.openxmlformats.org/drawingml/2006/picture">
                <pic:pic>
                  <pic:nvPicPr>
                    <pic:cNvPr id="0" name="08_auth_registro_paso1.png"/>
                    <pic:cNvPicPr/>
                  </pic:nvPicPr>
                  <pic:blipFill>
                    <a:blip r:embed="rId16"/>
                    <a:stretch>
                      <a:fillRect/>
                    </a:stretch>
                  </pic:blipFill>
                  <pic:spPr>
                    <a:xfrm>
                      <a:off x="0" y="0"/>
                      <a:ext cx="3291840" cy="5003597"/>
                    </a:xfrm>
                    <a:prstGeom prst="rect"/>
                  </pic:spPr>
                </pic:pic>
              </a:graphicData>
            </a:graphic>
          </wp:inline>
        </w:drawing>
      </w:r>
    </w:p>
    <w:p>
      <w:pPr>
        <w:spacing w:after="200"/>
        <w:jc w:val="center"/>
      </w:pPr>
      <w:r>
        <w:rPr>
          <w:b/>
          <w:color w:val="001F3F"/>
          <w:sz w:val="17"/>
        </w:rPr>
        <w:t xml:space="preserve">Figura 8. </w:t>
      </w:r>
      <w:r>
        <w:rPr>
          <w:color w:val="64748B"/>
          <w:sz w:val="17"/>
        </w:rPr>
        <w:t>Formulario inicial para dar de alta una nueva organización</w:t>
      </w:r>
    </w:p>
    <w:p>
      <w:pPr>
        <w:pStyle w:val="Heading3"/>
      </w:pPr>
      <w:r>
        <w:t>9. Confirmación de suscripción exitosa</w:t>
      </w:r>
    </w:p>
    <w:p>
      <w:r>
        <w:t>1. Al finalizar el pago en la pasarela, el sistema mostrará la pantalla de confirmación exitosa con tu identificador de transacción.</w:t>
        <w:br/>
        <w:t>2. Haz clic en **Ir al Login** para iniciar sesión y acceder inmediatamente al panel corporativo.</w:t>
      </w:r>
    </w:p>
    <w:p>
      <w:pPr>
        <w:spacing w:before="160" w:after="40"/>
        <w:jc w:val="center"/>
      </w:pPr>
      <w:r>
        <w:drawing>
          <wp:inline xmlns:a="http://schemas.openxmlformats.org/drawingml/2006/main" xmlns:pic="http://schemas.openxmlformats.org/drawingml/2006/picture">
            <wp:extent cx="3840480" cy="2588484"/>
            <wp:docPr id="9" name="Picture 9"/>
            <wp:cNvGraphicFramePr>
              <a:graphicFrameLocks noChangeAspect="1"/>
            </wp:cNvGraphicFramePr>
            <a:graphic>
              <a:graphicData uri="http://schemas.openxmlformats.org/drawingml/2006/picture">
                <pic:pic>
                  <pic:nvPicPr>
                    <pic:cNvPr id="0" name="09_auth_pago_aprobado.png"/>
                    <pic:cNvPicPr/>
                  </pic:nvPicPr>
                  <pic:blipFill>
                    <a:blip r:embed="rId17"/>
                    <a:stretch>
                      <a:fillRect/>
                    </a:stretch>
                  </pic:blipFill>
                  <pic:spPr>
                    <a:xfrm>
                      <a:off x="0" y="0"/>
                      <a:ext cx="3840480" cy="2588484"/>
                    </a:xfrm>
                    <a:prstGeom prst="rect"/>
                  </pic:spPr>
                </pic:pic>
              </a:graphicData>
            </a:graphic>
          </wp:inline>
        </w:drawing>
      </w:r>
    </w:p>
    <w:p>
      <w:pPr>
        <w:spacing w:after="200"/>
        <w:jc w:val="center"/>
      </w:pPr>
      <w:r>
        <w:rPr>
          <w:b/>
          <w:color w:val="001F3F"/>
          <w:sz w:val="17"/>
        </w:rPr>
        <w:t xml:space="preserve">Figura 9. </w:t>
      </w:r>
      <w:r>
        <w:rPr>
          <w:color w:val="64748B"/>
          <w:sz w:val="17"/>
        </w:rPr>
        <w:t>Comprobante oficial de pago aprobado y activación de cuenta</w:t>
      </w:r>
    </w:p>
    <w:p>
      <w:r>
        <w:br w:type="page"/>
      </w:r>
    </w:p>
    <w:p>
      <w:pPr>
        <w:pStyle w:val="Heading2"/>
      </w:pPr>
      <w:r>
        <w:t>Módulo 2. Consola SuperAdmin de plataforma</w:t>
      </w:r>
    </w:p>
    <w:p>
      <w:pPr>
        <w:pStyle w:val="Heading3"/>
      </w:pPr>
      <w:r>
        <w:t>10. Tablero de control y métricas globales</w:t>
      </w:r>
    </w:p>
    <w:p>
      <w:r>
        <w:t>1. Revisa los indicadores clave de desempeño: Empresas activas, ingresos mensuales recurrentes (MRR) y total de carnets emitidos.</w:t>
        <w:br/>
        <w:t>2. Examina la gráfica de crecimiento intermensual y el registro de eventos recientes.</w:t>
      </w:r>
    </w:p>
    <w:p>
      <w:pPr>
        <w:spacing w:before="160" w:after="40"/>
        <w:jc w:val="center"/>
      </w:pPr>
      <w:r>
        <w:drawing>
          <wp:inline xmlns:a="http://schemas.openxmlformats.org/drawingml/2006/main" xmlns:pic="http://schemas.openxmlformats.org/drawingml/2006/picture">
            <wp:extent cx="5303520" cy="3233854"/>
            <wp:docPr id="10" name="Picture 10"/>
            <wp:cNvGraphicFramePr>
              <a:graphicFrameLocks noChangeAspect="1"/>
            </wp:cNvGraphicFramePr>
            <a:graphic>
              <a:graphicData uri="http://schemas.openxmlformats.org/drawingml/2006/picture">
                <pic:pic>
                  <pic:nvPicPr>
                    <pic:cNvPr id="0" name="10_system_dashboard.png"/>
                    <pic:cNvPicPr/>
                  </pic:nvPicPr>
                  <pic:blipFill>
                    <a:blip r:embed="rId18"/>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10. </w:t>
      </w:r>
      <w:r>
        <w:rPr>
          <w:color w:val="64748B"/>
          <w:sz w:val="17"/>
        </w:rPr>
        <w:t>Tablero de control principal de la plataforma central</w:t>
      </w:r>
    </w:p>
    <w:p>
      <w:pPr>
        <w:pStyle w:val="Heading3"/>
      </w:pPr>
      <w:r>
        <w:t>11. Directorio de empresas suscritas</w:t>
      </w:r>
    </w:p>
    <w:p>
      <w:r>
        <w:t>1. Haz clic en la opción 'Empresas' del menú lateral izquierdo.</w:t>
        <w:br/>
        <w:t>2. Consulta el listado de empresas con su plan activo, fecha de expiración y estado operativo.</w:t>
        <w:br/>
        <w:t>3. Utiliza la barra de búsqueda para ubicar rápidamente una empresa por su nombre o NIT.</w:t>
      </w:r>
    </w:p>
    <w:p>
      <w:pPr>
        <w:spacing w:before="160" w:after="40"/>
        <w:jc w:val="center"/>
      </w:pPr>
      <w:r>
        <w:drawing>
          <wp:inline xmlns:a="http://schemas.openxmlformats.org/drawingml/2006/main" xmlns:pic="http://schemas.openxmlformats.org/drawingml/2006/picture">
            <wp:extent cx="5303520" cy="3233854"/>
            <wp:docPr id="11" name="Picture 11"/>
            <wp:cNvGraphicFramePr>
              <a:graphicFrameLocks noChangeAspect="1"/>
            </wp:cNvGraphicFramePr>
            <a:graphic>
              <a:graphicData uri="http://schemas.openxmlformats.org/drawingml/2006/picture">
                <pic:pic>
                  <pic:nvPicPr>
                    <pic:cNvPr id="0" name="11_system_empresas.png"/>
                    <pic:cNvPicPr/>
                  </pic:nvPicPr>
                  <pic:blipFill>
                    <a:blip r:embed="rId19"/>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11. </w:t>
      </w:r>
      <w:r>
        <w:rPr>
          <w:color w:val="64748B"/>
          <w:sz w:val="17"/>
        </w:rPr>
        <w:t>Directorio maestro y buscador de empresas suscritas</w:t>
      </w:r>
    </w:p>
    <w:p>
      <w:pPr>
        <w:pStyle w:val="Heading3"/>
      </w:pPr>
      <w:r>
        <w:t>12. Registro manual de una nueva empresa</w:t>
      </w:r>
    </w:p>
    <w:p>
      <w:r>
        <w:t>1. Haz clic en el botón superior **+ Nueva Empresa**.</w:t>
        <w:br/>
        <w:t>2. Completa los campos: Razón social, NIT, correo del administrador y teléfono.</w:t>
        <w:br/>
        <w:t>3. Selecciona el plan comercial inicial contratado.</w:t>
        <w:br/>
        <w:t>4. Haz clic en **Guardar Empresa** para crear el inquilino (tenant) en la base de datos.</w:t>
      </w:r>
    </w:p>
    <w:p>
      <w:pPr>
        <w:spacing w:before="160" w:after="40"/>
        <w:jc w:val="center"/>
      </w:pPr>
      <w:r>
        <w:drawing>
          <wp:inline xmlns:a="http://schemas.openxmlformats.org/drawingml/2006/main" xmlns:pic="http://schemas.openxmlformats.org/drawingml/2006/picture">
            <wp:extent cx="4389120" cy="3133085"/>
            <wp:docPr id="12" name="Picture 12"/>
            <wp:cNvGraphicFramePr>
              <a:graphicFrameLocks noChangeAspect="1"/>
            </wp:cNvGraphicFramePr>
            <a:graphic>
              <a:graphicData uri="http://schemas.openxmlformats.org/drawingml/2006/picture">
                <pic:pic>
                  <pic:nvPicPr>
                    <pic:cNvPr id="0" name="12_system_modal_crear_empresa.png"/>
                    <pic:cNvPicPr/>
                  </pic:nvPicPr>
                  <pic:blipFill>
                    <a:blip r:embed="rId20"/>
                    <a:stretch>
                      <a:fillRect/>
                    </a:stretch>
                  </pic:blipFill>
                  <pic:spPr>
                    <a:xfrm>
                      <a:off x="0" y="0"/>
                      <a:ext cx="4389120" cy="3133085"/>
                    </a:xfrm>
                    <a:prstGeom prst="rect"/>
                  </pic:spPr>
                </pic:pic>
              </a:graphicData>
            </a:graphic>
          </wp:inline>
        </w:drawing>
      </w:r>
    </w:p>
    <w:p>
      <w:pPr>
        <w:spacing w:after="200"/>
        <w:jc w:val="center"/>
      </w:pPr>
      <w:r>
        <w:rPr>
          <w:b/>
          <w:color w:val="001F3F"/>
          <w:sz w:val="17"/>
        </w:rPr>
        <w:t xml:space="preserve">Figura 12. </w:t>
      </w:r>
      <w:r>
        <w:rPr>
          <w:color w:val="64748B"/>
          <w:sz w:val="17"/>
        </w:rPr>
        <w:t>Ventana modal para registrar manualmente una organización</w:t>
      </w:r>
    </w:p>
    <w:p>
      <w:pPr>
        <w:pStyle w:val="Heading3"/>
      </w:pPr>
      <w:r>
        <w:t>13. Catálogo de planes comerciales</w:t>
      </w:r>
    </w:p>
    <w:p>
      <w:r>
        <w:t>1. Haz clic en 'Planes' en el menú lateral.</w:t>
        <w:br/>
        <w:t>2. Visualiza las tarifas vigentes, el límite de colaboradores y el número máximo de plantillas autorizadas.</w:t>
      </w:r>
    </w:p>
    <w:p>
      <w:pPr>
        <w:spacing w:before="160" w:after="40"/>
        <w:jc w:val="center"/>
      </w:pPr>
      <w:r>
        <w:drawing>
          <wp:inline xmlns:a="http://schemas.openxmlformats.org/drawingml/2006/main" xmlns:pic="http://schemas.openxmlformats.org/drawingml/2006/picture">
            <wp:extent cx="5303520" cy="3233854"/>
            <wp:docPr id="13" name="Picture 13"/>
            <wp:cNvGraphicFramePr>
              <a:graphicFrameLocks noChangeAspect="1"/>
            </wp:cNvGraphicFramePr>
            <a:graphic>
              <a:graphicData uri="http://schemas.openxmlformats.org/drawingml/2006/picture">
                <pic:pic>
                  <pic:nvPicPr>
                    <pic:cNvPr id="0" name="13_system_planes.png"/>
                    <pic:cNvPicPr/>
                  </pic:nvPicPr>
                  <pic:blipFill>
                    <a:blip r:embed="rId21"/>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13. </w:t>
      </w:r>
      <w:r>
        <w:rPr>
          <w:color w:val="64748B"/>
          <w:sz w:val="17"/>
        </w:rPr>
        <w:t>Directorio de planes y condiciones comerciales del sistema</w:t>
      </w:r>
    </w:p>
    <w:p>
      <w:pPr>
        <w:pStyle w:val="Heading3"/>
      </w:pPr>
      <w:r>
        <w:t>14. Creación y edición de condiciones de plan</w:t>
      </w:r>
    </w:p>
    <w:p>
      <w:r>
        <w:t>1. Haz clic en el botón **+ Nuevo Plan**.</w:t>
        <w:br/>
        <w:t>2. Define el nombre del plan (ejemplo: Enterprise Pro), precio mensual y precio anual.</w:t>
        <w:br/>
        <w:t>3. Especifica el límite estricto de colaboradores y de plantillas.</w:t>
        <w:br/>
        <w:t>4. Haz clic en **Crear Plan**.</w:t>
      </w:r>
    </w:p>
    <w:p>
      <w:pPr>
        <w:spacing w:before="160" w:after="40"/>
        <w:jc w:val="center"/>
      </w:pPr>
      <w:r>
        <w:drawing>
          <wp:inline xmlns:a="http://schemas.openxmlformats.org/drawingml/2006/main" xmlns:pic="http://schemas.openxmlformats.org/drawingml/2006/picture">
            <wp:extent cx="4023360" cy="4163303"/>
            <wp:docPr id="14" name="Picture 14"/>
            <wp:cNvGraphicFramePr>
              <a:graphicFrameLocks noChangeAspect="1"/>
            </wp:cNvGraphicFramePr>
            <a:graphic>
              <a:graphicData uri="http://schemas.openxmlformats.org/drawingml/2006/picture">
                <pic:pic>
                  <pic:nvPicPr>
                    <pic:cNvPr id="0" name="13b_system_modal_crear_plan.png"/>
                    <pic:cNvPicPr/>
                  </pic:nvPicPr>
                  <pic:blipFill>
                    <a:blip r:embed="rId22"/>
                    <a:stretch>
                      <a:fillRect/>
                    </a:stretch>
                  </pic:blipFill>
                  <pic:spPr>
                    <a:xfrm>
                      <a:off x="0" y="0"/>
                      <a:ext cx="4023360" cy="4163303"/>
                    </a:xfrm>
                    <a:prstGeom prst="rect"/>
                  </pic:spPr>
                </pic:pic>
              </a:graphicData>
            </a:graphic>
          </wp:inline>
        </w:drawing>
      </w:r>
    </w:p>
    <w:p>
      <w:pPr>
        <w:spacing w:after="200"/>
        <w:jc w:val="center"/>
      </w:pPr>
      <w:r>
        <w:rPr>
          <w:b/>
          <w:color w:val="001F3F"/>
          <w:sz w:val="17"/>
        </w:rPr>
        <w:t xml:space="preserve">Figura 14. </w:t>
      </w:r>
      <w:r>
        <w:rPr>
          <w:color w:val="64748B"/>
          <w:sz w:val="17"/>
        </w:rPr>
        <w:t>Modal para parametrizar costos y cuotas de un plan</w:t>
      </w:r>
    </w:p>
    <w:p>
      <w:pPr>
        <w:pStyle w:val="Heading3"/>
      </w:pPr>
      <w:r>
        <w:t>15. Auditoría de suscripciones y transacciones</w:t>
      </w:r>
    </w:p>
    <w:p>
      <w:r>
        <w:t>1. Ingresa a la sección 'Suscripciones'.</w:t>
        <w:br/>
        <w:t>2. Supervisa las renovaciones automáticas, estados de cuenta (al día, vencido) y facturas generadas.</w:t>
      </w:r>
    </w:p>
    <w:p>
      <w:pPr>
        <w:spacing w:before="160" w:after="40"/>
        <w:jc w:val="center"/>
      </w:pPr>
      <w:r>
        <w:drawing>
          <wp:inline xmlns:a="http://schemas.openxmlformats.org/drawingml/2006/main" xmlns:pic="http://schemas.openxmlformats.org/drawingml/2006/picture">
            <wp:extent cx="5303520" cy="3233854"/>
            <wp:docPr id="15" name="Picture 15"/>
            <wp:cNvGraphicFramePr>
              <a:graphicFrameLocks noChangeAspect="1"/>
            </wp:cNvGraphicFramePr>
            <a:graphic>
              <a:graphicData uri="http://schemas.openxmlformats.org/drawingml/2006/picture">
                <pic:pic>
                  <pic:nvPicPr>
                    <pic:cNvPr id="0" name="14_system_suscripciones.png"/>
                    <pic:cNvPicPr/>
                  </pic:nvPicPr>
                  <pic:blipFill>
                    <a:blip r:embed="rId23"/>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15. </w:t>
      </w:r>
      <w:r>
        <w:rPr>
          <w:color w:val="64748B"/>
          <w:sz w:val="17"/>
        </w:rPr>
        <w:t>Monitor de facturación y transacciones de suscripción</w:t>
      </w:r>
    </w:p>
    <w:p>
      <w:pPr>
        <w:pStyle w:val="Heading3"/>
      </w:pPr>
      <w:r>
        <w:t>16. Administración de operadores del sistema</w:t>
      </w:r>
    </w:p>
    <w:p>
      <w:r>
        <w:t>1. Haz clic en 'Usuarios' dentro de la consola del sistema.</w:t>
        <w:br/>
        <w:t>2. Observa la nómina de operadores con privilegios de superadministrador.</w:t>
      </w:r>
    </w:p>
    <w:p>
      <w:pPr>
        <w:spacing w:before="160" w:after="40"/>
        <w:jc w:val="center"/>
      </w:pPr>
      <w:r>
        <w:drawing>
          <wp:inline xmlns:a="http://schemas.openxmlformats.org/drawingml/2006/main" xmlns:pic="http://schemas.openxmlformats.org/drawingml/2006/picture">
            <wp:extent cx="5303520" cy="3233854"/>
            <wp:docPr id="16" name="Picture 16"/>
            <wp:cNvGraphicFramePr>
              <a:graphicFrameLocks noChangeAspect="1"/>
            </wp:cNvGraphicFramePr>
            <a:graphic>
              <a:graphicData uri="http://schemas.openxmlformats.org/drawingml/2006/picture">
                <pic:pic>
                  <pic:nvPicPr>
                    <pic:cNvPr id="0" name="15_system_usuarios.png"/>
                    <pic:cNvPicPr/>
                  </pic:nvPicPr>
                  <pic:blipFill>
                    <a:blip r:embed="rId24"/>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16. </w:t>
      </w:r>
      <w:r>
        <w:rPr>
          <w:color w:val="64748B"/>
          <w:sz w:val="17"/>
        </w:rPr>
        <w:t>Listado de operadores y técnicos del núcleo central</w:t>
      </w:r>
    </w:p>
    <w:p>
      <w:pPr>
        <w:pStyle w:val="Heading3"/>
      </w:pPr>
      <w:r>
        <w:t>17. Alta de operador del sistema</w:t>
      </w:r>
    </w:p>
    <w:p>
      <w:r>
        <w:t>1. Haz clic en **+ Nuevo Usuario**.</w:t>
        <w:br/>
        <w:t>2. Escribe los nombres, correo institucional y contraseña temporal.</w:t>
        <w:br/>
        <w:t>3. Asigna el rol correspondiente (ejemplo: Administrador o Soporte).</w:t>
        <w:br/>
        <w:t>4. Haz clic en **Guardar Usuario**.</w:t>
      </w:r>
    </w:p>
    <w:p>
      <w:pPr>
        <w:spacing w:before="160" w:after="40"/>
        <w:jc w:val="center"/>
      </w:pPr>
      <w:r>
        <w:drawing>
          <wp:inline xmlns:a="http://schemas.openxmlformats.org/drawingml/2006/main" xmlns:pic="http://schemas.openxmlformats.org/drawingml/2006/picture">
            <wp:extent cx="3840480" cy="3222098"/>
            <wp:docPr id="17" name="Picture 17"/>
            <wp:cNvGraphicFramePr>
              <a:graphicFrameLocks noChangeAspect="1"/>
            </wp:cNvGraphicFramePr>
            <a:graphic>
              <a:graphicData uri="http://schemas.openxmlformats.org/drawingml/2006/picture">
                <pic:pic>
                  <pic:nvPicPr>
                    <pic:cNvPr id="0" name="15b_system_modal_crear_usuario.png"/>
                    <pic:cNvPicPr/>
                  </pic:nvPicPr>
                  <pic:blipFill>
                    <a:blip r:embed="rId25"/>
                    <a:stretch>
                      <a:fillRect/>
                    </a:stretch>
                  </pic:blipFill>
                  <pic:spPr>
                    <a:xfrm>
                      <a:off x="0" y="0"/>
                      <a:ext cx="3840480" cy="3222098"/>
                    </a:xfrm>
                    <a:prstGeom prst="rect"/>
                  </pic:spPr>
                </pic:pic>
              </a:graphicData>
            </a:graphic>
          </wp:inline>
        </w:drawing>
      </w:r>
    </w:p>
    <w:p>
      <w:pPr>
        <w:spacing w:after="200"/>
        <w:jc w:val="center"/>
      </w:pPr>
      <w:r>
        <w:rPr>
          <w:b/>
          <w:color w:val="001F3F"/>
          <w:sz w:val="17"/>
        </w:rPr>
        <w:t xml:space="preserve">Figura 17. </w:t>
      </w:r>
      <w:r>
        <w:rPr>
          <w:color w:val="64748B"/>
          <w:sz w:val="17"/>
        </w:rPr>
        <w:t>Ventana para crear cuentas de operadores técnicos</w:t>
      </w:r>
    </w:p>
    <w:p>
      <w:pPr>
        <w:pStyle w:val="Heading3"/>
      </w:pPr>
      <w:r>
        <w:t>18. Matriz de roles y privilegios</w:t>
      </w:r>
    </w:p>
    <w:p>
      <w:r>
        <w:t>1. Ingresa a la opción 'Roles'.</w:t>
        <w:br/>
        <w:t>2. Consulta las definiciones de perfiles del sistema y su alcance de gestión.</w:t>
      </w:r>
    </w:p>
    <w:p>
      <w:pPr>
        <w:spacing w:before="160" w:after="40"/>
        <w:jc w:val="center"/>
      </w:pPr>
      <w:r>
        <w:drawing>
          <wp:inline xmlns:a="http://schemas.openxmlformats.org/drawingml/2006/main" xmlns:pic="http://schemas.openxmlformats.org/drawingml/2006/picture">
            <wp:extent cx="5303520" cy="3233854"/>
            <wp:docPr id="18" name="Picture 18"/>
            <wp:cNvGraphicFramePr>
              <a:graphicFrameLocks noChangeAspect="1"/>
            </wp:cNvGraphicFramePr>
            <a:graphic>
              <a:graphicData uri="http://schemas.openxmlformats.org/drawingml/2006/picture">
                <pic:pic>
                  <pic:nvPicPr>
                    <pic:cNvPr id="0" name="16_system_roles.png"/>
                    <pic:cNvPicPr/>
                  </pic:nvPicPr>
                  <pic:blipFill>
                    <a:blip r:embed="rId26"/>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18. </w:t>
      </w:r>
      <w:r>
        <w:rPr>
          <w:color w:val="64748B"/>
          <w:sz w:val="17"/>
        </w:rPr>
        <w:t>Matriz de privilegios y perfiles de usuario del sistema</w:t>
      </w:r>
    </w:p>
    <w:p>
      <w:pPr>
        <w:pStyle w:val="Heading3"/>
      </w:pPr>
      <w:r>
        <w:t>19. Creación de un nuevo rol de sistema</w:t>
      </w:r>
    </w:p>
    <w:p>
      <w:r>
        <w:t>1. Haz clic en **+ Nuevo Rol**.</w:t>
        <w:br/>
        <w:t>2. Ingresa el identificador único y una descripción de responsabilidades.</w:t>
        <w:br/>
        <w:t>3. Guarda la configuración para aplicarla de inmediato a los operadores.</w:t>
      </w:r>
    </w:p>
    <w:p>
      <w:pPr>
        <w:spacing w:before="160" w:after="40"/>
        <w:jc w:val="center"/>
      </w:pPr>
      <w:r>
        <w:drawing>
          <wp:inline xmlns:a="http://schemas.openxmlformats.org/drawingml/2006/main" xmlns:pic="http://schemas.openxmlformats.org/drawingml/2006/picture">
            <wp:extent cx="3840480" cy="3235116"/>
            <wp:docPr id="19" name="Picture 19"/>
            <wp:cNvGraphicFramePr>
              <a:graphicFrameLocks noChangeAspect="1"/>
            </wp:cNvGraphicFramePr>
            <a:graphic>
              <a:graphicData uri="http://schemas.openxmlformats.org/drawingml/2006/picture">
                <pic:pic>
                  <pic:nvPicPr>
                    <pic:cNvPr id="0" name="16b_system_modal_crear_rol.png"/>
                    <pic:cNvPicPr/>
                  </pic:nvPicPr>
                  <pic:blipFill>
                    <a:blip r:embed="rId27"/>
                    <a:stretch>
                      <a:fillRect/>
                    </a:stretch>
                  </pic:blipFill>
                  <pic:spPr>
                    <a:xfrm>
                      <a:off x="0" y="0"/>
                      <a:ext cx="3840480" cy="3235116"/>
                    </a:xfrm>
                    <a:prstGeom prst="rect"/>
                  </pic:spPr>
                </pic:pic>
              </a:graphicData>
            </a:graphic>
          </wp:inline>
        </w:drawing>
      </w:r>
    </w:p>
    <w:p>
      <w:pPr>
        <w:spacing w:after="200"/>
        <w:jc w:val="center"/>
      </w:pPr>
      <w:r>
        <w:rPr>
          <w:b/>
          <w:color w:val="001F3F"/>
          <w:sz w:val="17"/>
        </w:rPr>
        <w:t xml:space="preserve">Figura 19. </w:t>
      </w:r>
      <w:r>
        <w:rPr>
          <w:color w:val="64748B"/>
          <w:sz w:val="17"/>
        </w:rPr>
        <w:t>Formulario modal para registrar un nuevo rol administrativo</w:t>
      </w:r>
    </w:p>
    <w:p>
      <w:pPr>
        <w:pStyle w:val="Heading3"/>
      </w:pPr>
      <w:r>
        <w:t>20. Parámetros globales y banners institucionales</w:t>
      </w:r>
    </w:p>
    <w:p>
      <w:r>
        <w:t>1. Haz clic en 'Parámetros' en el menú lateral.</w:t>
        <w:br/>
        <w:t>2. Activa o desactiva el switch de 'Permitir Inicio de Sesión' para labores de mantenimiento.</w:t>
        <w:br/>
        <w:t>3. Carga nuevas imágenes de banner y verifica su previsualización en tiempo real.</w:t>
      </w:r>
    </w:p>
    <w:p>
      <w:pPr>
        <w:spacing w:before="160" w:after="40"/>
        <w:jc w:val="center"/>
      </w:pPr>
      <w:r>
        <w:drawing>
          <wp:inline xmlns:a="http://schemas.openxmlformats.org/drawingml/2006/main" xmlns:pic="http://schemas.openxmlformats.org/drawingml/2006/picture">
            <wp:extent cx="5303520" cy="3233854"/>
            <wp:docPr id="20" name="Picture 20"/>
            <wp:cNvGraphicFramePr>
              <a:graphicFrameLocks noChangeAspect="1"/>
            </wp:cNvGraphicFramePr>
            <a:graphic>
              <a:graphicData uri="http://schemas.openxmlformats.org/drawingml/2006/picture">
                <pic:pic>
                  <pic:nvPicPr>
                    <pic:cNvPr id="0" name="17_system_parametros_banners.png"/>
                    <pic:cNvPicPr/>
                  </pic:nvPicPr>
                  <pic:blipFill>
                    <a:blip r:embed="rId28"/>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20. </w:t>
      </w:r>
      <w:r>
        <w:rPr>
          <w:color w:val="64748B"/>
          <w:sz w:val="17"/>
        </w:rPr>
        <w:t>Panel de control de modo mantenimiento y banners informativos</w:t>
      </w:r>
    </w:p>
    <w:p>
      <w:r>
        <w:br w:type="page"/>
      </w:r>
    </w:p>
    <w:p>
      <w:pPr>
        <w:pStyle w:val="Heading2"/>
      </w:pPr>
      <w:r>
        <w:t>Módulo 3. Panel corporativo de la empresa cliente</w:t>
      </w:r>
    </w:p>
    <w:p>
      <w:pPr>
        <w:pStyle w:val="Heading3"/>
      </w:pPr>
      <w:r>
        <w:t>21. Tablero principal de la empresa</w:t>
      </w:r>
    </w:p>
    <w:p>
      <w:r>
        <w:t>1. Accede con tus credenciales de empresa.</w:t>
        <w:br/>
        <w:t>2. Observa el saludo institucional, el resumen de colaboradores activos y la distribución por sedes.</w:t>
        <w:br/>
        <w:t>3. Verifica la barra de progreso de cupos de carnets disponibles.</w:t>
      </w:r>
    </w:p>
    <w:p>
      <w:pPr>
        <w:spacing w:before="160" w:after="40"/>
        <w:jc w:val="center"/>
      </w:pPr>
      <w:r>
        <w:drawing>
          <wp:inline xmlns:a="http://schemas.openxmlformats.org/drawingml/2006/main" xmlns:pic="http://schemas.openxmlformats.org/drawingml/2006/picture">
            <wp:extent cx="5303520" cy="3233854"/>
            <wp:docPr id="21" name="Picture 21"/>
            <wp:cNvGraphicFramePr>
              <a:graphicFrameLocks noChangeAspect="1"/>
            </wp:cNvGraphicFramePr>
            <a:graphic>
              <a:graphicData uri="http://schemas.openxmlformats.org/drawingml/2006/picture">
                <pic:pic>
                  <pic:nvPicPr>
                    <pic:cNvPr id="0" name="18_company_dashboard.png"/>
                    <pic:cNvPicPr/>
                  </pic:nvPicPr>
                  <pic:blipFill>
                    <a:blip r:embed="rId29"/>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21. </w:t>
      </w:r>
      <w:r>
        <w:rPr>
          <w:color w:val="64748B"/>
          <w:sz w:val="17"/>
        </w:rPr>
        <w:t>Tablero de control corporativo de la organización</w:t>
      </w:r>
    </w:p>
    <w:p>
      <w:pPr>
        <w:pStyle w:val="Heading3"/>
      </w:pPr>
      <w:r>
        <w:t>22. Gestión de sedes y sucursales físicas</w:t>
      </w:r>
    </w:p>
    <w:p>
      <w:r>
        <w:t>1. Haz clic en la opción 'Sedes' del menú corporativo.</w:t>
        <w:br/>
        <w:t>2. Consulta las instalaciones físicas registradas (oficinas principales, plantas o sucursales).</w:t>
      </w:r>
    </w:p>
    <w:p>
      <w:pPr>
        <w:spacing w:before="160" w:after="40"/>
        <w:jc w:val="center"/>
      </w:pPr>
      <w:r>
        <w:drawing>
          <wp:inline xmlns:a="http://schemas.openxmlformats.org/drawingml/2006/main" xmlns:pic="http://schemas.openxmlformats.org/drawingml/2006/picture">
            <wp:extent cx="5303520" cy="3233854"/>
            <wp:docPr id="22" name="Picture 22"/>
            <wp:cNvGraphicFramePr>
              <a:graphicFrameLocks noChangeAspect="1"/>
            </wp:cNvGraphicFramePr>
            <a:graphic>
              <a:graphicData uri="http://schemas.openxmlformats.org/drawingml/2006/picture">
                <pic:pic>
                  <pic:nvPicPr>
                    <pic:cNvPr id="0" name="19_company_sedes.png"/>
                    <pic:cNvPicPr/>
                  </pic:nvPicPr>
                  <pic:blipFill>
                    <a:blip r:embed="rId30"/>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22. </w:t>
      </w:r>
      <w:r>
        <w:rPr>
          <w:color w:val="64748B"/>
          <w:sz w:val="17"/>
        </w:rPr>
        <w:t>Directorio maestro de sedes físicas registradas</w:t>
      </w:r>
    </w:p>
    <w:p>
      <w:pPr>
        <w:pStyle w:val="Heading3"/>
      </w:pPr>
      <w:r>
        <w:t>23. Registro de una nueva sede</w:t>
      </w:r>
    </w:p>
    <w:p>
      <w:r>
        <w:t>1. Haz clic en el botón **+ Nueva Sede**.</w:t>
        <w:br/>
        <w:t>2. Escribe el nombre de la sede (ejemplo: Sede Principal Calle 100), ciudad y dirección exacta.</w:t>
        <w:br/>
        <w:t>3. Haz clic en **Guardar Sede**.</w:t>
      </w:r>
    </w:p>
    <w:p>
      <w:pPr>
        <w:spacing w:before="160" w:after="40"/>
        <w:jc w:val="center"/>
      </w:pPr>
      <w:r>
        <w:drawing>
          <wp:inline xmlns:a="http://schemas.openxmlformats.org/drawingml/2006/main" xmlns:pic="http://schemas.openxmlformats.org/drawingml/2006/picture">
            <wp:extent cx="3840480" cy="3644537"/>
            <wp:docPr id="23" name="Picture 23"/>
            <wp:cNvGraphicFramePr>
              <a:graphicFrameLocks noChangeAspect="1"/>
            </wp:cNvGraphicFramePr>
            <a:graphic>
              <a:graphicData uri="http://schemas.openxmlformats.org/drawingml/2006/picture">
                <pic:pic>
                  <pic:nvPicPr>
                    <pic:cNvPr id="0" name="20_company_modal_crear_sede.png"/>
                    <pic:cNvPicPr/>
                  </pic:nvPicPr>
                  <pic:blipFill>
                    <a:blip r:embed="rId31"/>
                    <a:stretch>
                      <a:fillRect/>
                    </a:stretch>
                  </pic:blipFill>
                  <pic:spPr>
                    <a:xfrm>
                      <a:off x="0" y="0"/>
                      <a:ext cx="3840480" cy="3644537"/>
                    </a:xfrm>
                    <a:prstGeom prst="rect"/>
                  </pic:spPr>
                </pic:pic>
              </a:graphicData>
            </a:graphic>
          </wp:inline>
        </w:drawing>
      </w:r>
    </w:p>
    <w:p>
      <w:pPr>
        <w:spacing w:after="200"/>
        <w:jc w:val="center"/>
      </w:pPr>
      <w:r>
        <w:rPr>
          <w:b/>
          <w:color w:val="001F3F"/>
          <w:sz w:val="17"/>
        </w:rPr>
        <w:t xml:space="preserve">Figura 23. </w:t>
      </w:r>
      <w:r>
        <w:rPr>
          <w:color w:val="64748B"/>
          <w:sz w:val="17"/>
        </w:rPr>
        <w:t>Modal de ingreso de datos de una sede física</w:t>
      </w:r>
    </w:p>
    <w:p>
      <w:pPr>
        <w:pStyle w:val="Heading3"/>
      </w:pPr>
      <w:r>
        <w:t>24. Estructura de áreas y departamentos</w:t>
      </w:r>
    </w:p>
    <w:p>
      <w:r>
        <w:t>1. Dirígete a la opción 'Áreas'.</w:t>
        <w:br/>
        <w:t>2. Examina los departamentos funcionales (Tecnología, Operaciones, Ventas) adscritos a cada sede.</w:t>
      </w:r>
    </w:p>
    <w:p>
      <w:pPr>
        <w:spacing w:before="160" w:after="40"/>
        <w:jc w:val="center"/>
      </w:pPr>
      <w:r>
        <w:drawing>
          <wp:inline xmlns:a="http://schemas.openxmlformats.org/drawingml/2006/main" xmlns:pic="http://schemas.openxmlformats.org/drawingml/2006/picture">
            <wp:extent cx="5303520" cy="3233854"/>
            <wp:docPr id="24" name="Picture 24"/>
            <wp:cNvGraphicFramePr>
              <a:graphicFrameLocks noChangeAspect="1"/>
            </wp:cNvGraphicFramePr>
            <a:graphic>
              <a:graphicData uri="http://schemas.openxmlformats.org/drawingml/2006/picture">
                <pic:pic>
                  <pic:nvPicPr>
                    <pic:cNvPr id="0" name="21_company_areas.png"/>
                    <pic:cNvPicPr/>
                  </pic:nvPicPr>
                  <pic:blipFill>
                    <a:blip r:embed="rId32"/>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24. </w:t>
      </w:r>
      <w:r>
        <w:rPr>
          <w:color w:val="64748B"/>
          <w:sz w:val="17"/>
        </w:rPr>
        <w:t>Estructura departamental y áreas de trabajo de la empresa</w:t>
      </w:r>
    </w:p>
    <w:p>
      <w:pPr>
        <w:pStyle w:val="Heading3"/>
      </w:pPr>
      <w:r>
        <w:t>25. Creación de un área o departamento</w:t>
      </w:r>
    </w:p>
    <w:p>
      <w:r>
        <w:t>1. Haz clic en **+ Nueva Área**.</w:t>
        <w:br/>
        <w:t>2. Escribe la denominación del área.</w:t>
        <w:br/>
        <w:t>3. Selecciona en el menú desplegable la sede física a la cual pertenece.</w:t>
        <w:br/>
        <w:t>4. Haz clic en **Guardar Área**.</w:t>
      </w:r>
    </w:p>
    <w:p>
      <w:pPr>
        <w:spacing w:before="160" w:after="40"/>
        <w:jc w:val="center"/>
      </w:pPr>
      <w:r>
        <w:drawing>
          <wp:inline xmlns:a="http://schemas.openxmlformats.org/drawingml/2006/main" xmlns:pic="http://schemas.openxmlformats.org/drawingml/2006/picture">
            <wp:extent cx="3840480" cy="2446528"/>
            <wp:docPr id="25" name="Picture 25"/>
            <wp:cNvGraphicFramePr>
              <a:graphicFrameLocks noChangeAspect="1"/>
            </wp:cNvGraphicFramePr>
            <a:graphic>
              <a:graphicData uri="http://schemas.openxmlformats.org/drawingml/2006/picture">
                <pic:pic>
                  <pic:nvPicPr>
                    <pic:cNvPr id="0" name="22_company_modal_crear_area.png"/>
                    <pic:cNvPicPr/>
                  </pic:nvPicPr>
                  <pic:blipFill>
                    <a:blip r:embed="rId33"/>
                    <a:stretch>
                      <a:fillRect/>
                    </a:stretch>
                  </pic:blipFill>
                  <pic:spPr>
                    <a:xfrm>
                      <a:off x="0" y="0"/>
                      <a:ext cx="3840480" cy="2446528"/>
                    </a:xfrm>
                    <a:prstGeom prst="rect"/>
                  </pic:spPr>
                </pic:pic>
              </a:graphicData>
            </a:graphic>
          </wp:inline>
        </w:drawing>
      </w:r>
    </w:p>
    <w:p>
      <w:pPr>
        <w:spacing w:after="200"/>
        <w:jc w:val="center"/>
      </w:pPr>
      <w:r>
        <w:rPr>
          <w:b/>
          <w:color w:val="001F3F"/>
          <w:sz w:val="17"/>
        </w:rPr>
        <w:t xml:space="preserve">Figura 25. </w:t>
      </w:r>
      <w:r>
        <w:rPr>
          <w:color w:val="64748B"/>
          <w:sz w:val="17"/>
        </w:rPr>
        <w:t>Formulario modal para crear y asociar un área</w:t>
      </w:r>
    </w:p>
    <w:p>
      <w:pPr>
        <w:pStyle w:val="Heading3"/>
      </w:pPr>
      <w:r>
        <w:t>26. Catálogo de cargos y puestos de trabajo</w:t>
      </w:r>
    </w:p>
    <w:p>
      <w:r>
        <w:t>1. Haz clic en 'Cargos' en el menú lateral.</w:t>
        <w:br/>
        <w:t>2. Consulta el listado de cargos laborales organizados por área funcional.</w:t>
      </w:r>
    </w:p>
    <w:p>
      <w:pPr>
        <w:spacing w:before="160" w:after="40"/>
        <w:jc w:val="center"/>
      </w:pPr>
      <w:r>
        <w:drawing>
          <wp:inline xmlns:a="http://schemas.openxmlformats.org/drawingml/2006/main" xmlns:pic="http://schemas.openxmlformats.org/drawingml/2006/picture">
            <wp:extent cx="5303520" cy="3233854"/>
            <wp:docPr id="26" name="Picture 26"/>
            <wp:cNvGraphicFramePr>
              <a:graphicFrameLocks noChangeAspect="1"/>
            </wp:cNvGraphicFramePr>
            <a:graphic>
              <a:graphicData uri="http://schemas.openxmlformats.org/drawingml/2006/picture">
                <pic:pic>
                  <pic:nvPicPr>
                    <pic:cNvPr id="0" name="23_company_cargos.png"/>
                    <pic:cNvPicPr/>
                  </pic:nvPicPr>
                  <pic:blipFill>
                    <a:blip r:embed="rId34"/>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26. </w:t>
      </w:r>
      <w:r>
        <w:rPr>
          <w:color w:val="64748B"/>
          <w:sz w:val="17"/>
        </w:rPr>
        <w:t>Catálogo de cargos laborales activos en la organización</w:t>
      </w:r>
    </w:p>
    <w:p>
      <w:pPr>
        <w:pStyle w:val="Heading3"/>
      </w:pPr>
      <w:r>
        <w:t>27. Alta de un nuevo cargo</w:t>
      </w:r>
    </w:p>
    <w:p>
      <w:r>
        <w:t>1. Haz clic en **+ Nuevo Cargo**.</w:t>
        <w:br/>
        <w:t>2. Ingresa el título del puesto (ejemplo: Ingeniero de Software Senior).</w:t>
        <w:br/>
        <w:t>3. Selecciona el área a la que pertenece.</w:t>
        <w:br/>
        <w:t>4. Haz clic en **Guardar Cargo**.</w:t>
      </w:r>
    </w:p>
    <w:p>
      <w:pPr>
        <w:spacing w:before="160" w:after="40"/>
        <w:jc w:val="center"/>
      </w:pPr>
      <w:r>
        <w:drawing>
          <wp:inline xmlns:a="http://schemas.openxmlformats.org/drawingml/2006/main" xmlns:pic="http://schemas.openxmlformats.org/drawingml/2006/picture">
            <wp:extent cx="3840480" cy="2446528"/>
            <wp:docPr id="27" name="Picture 27"/>
            <wp:cNvGraphicFramePr>
              <a:graphicFrameLocks noChangeAspect="1"/>
            </wp:cNvGraphicFramePr>
            <a:graphic>
              <a:graphicData uri="http://schemas.openxmlformats.org/drawingml/2006/picture">
                <pic:pic>
                  <pic:nvPicPr>
                    <pic:cNvPr id="0" name="24_company_modal_crear_cargo.png"/>
                    <pic:cNvPicPr/>
                  </pic:nvPicPr>
                  <pic:blipFill>
                    <a:blip r:embed="rId35"/>
                    <a:stretch>
                      <a:fillRect/>
                    </a:stretch>
                  </pic:blipFill>
                  <pic:spPr>
                    <a:xfrm>
                      <a:off x="0" y="0"/>
                      <a:ext cx="3840480" cy="2446528"/>
                    </a:xfrm>
                    <a:prstGeom prst="rect"/>
                  </pic:spPr>
                </pic:pic>
              </a:graphicData>
            </a:graphic>
          </wp:inline>
        </w:drawing>
      </w:r>
    </w:p>
    <w:p>
      <w:pPr>
        <w:spacing w:after="200"/>
        <w:jc w:val="center"/>
      </w:pPr>
      <w:r>
        <w:rPr>
          <w:b/>
          <w:color w:val="001F3F"/>
          <w:sz w:val="17"/>
        </w:rPr>
        <w:t xml:space="preserve">Figura 27. </w:t>
      </w:r>
      <w:r>
        <w:rPr>
          <w:color w:val="64748B"/>
          <w:sz w:val="17"/>
        </w:rPr>
        <w:t>Ventana modal para registrar un cargo laboral</w:t>
      </w:r>
    </w:p>
    <w:p>
      <w:pPr>
        <w:pStyle w:val="Heading3"/>
      </w:pPr>
      <w:r>
        <w:t>28. Directorio maestro de colaboradores</w:t>
      </w:r>
    </w:p>
    <w:p>
      <w:r>
        <w:t>1. Haz clic en la opción 'Colaboradores'.</w:t>
        <w:br/>
        <w:t>2. Visualiza a todo el personal con su fotografía, documento de identidad, cargo, sede y estado de carnetización.</w:t>
        <w:br/>
        <w:t>3. Utiliza los filtros superiores para segmentar por área o cargo.</w:t>
      </w:r>
    </w:p>
    <w:p>
      <w:pPr>
        <w:spacing w:before="160" w:after="40"/>
        <w:jc w:val="center"/>
      </w:pPr>
      <w:r>
        <w:drawing>
          <wp:inline xmlns:a="http://schemas.openxmlformats.org/drawingml/2006/main" xmlns:pic="http://schemas.openxmlformats.org/drawingml/2006/picture">
            <wp:extent cx="5303520" cy="3233854"/>
            <wp:docPr id="28" name="Picture 28"/>
            <wp:cNvGraphicFramePr>
              <a:graphicFrameLocks noChangeAspect="1"/>
            </wp:cNvGraphicFramePr>
            <a:graphic>
              <a:graphicData uri="http://schemas.openxmlformats.org/drawingml/2006/picture">
                <pic:pic>
                  <pic:nvPicPr>
                    <pic:cNvPr id="0" name="25_company_colaboradores.png"/>
                    <pic:cNvPicPr/>
                  </pic:nvPicPr>
                  <pic:blipFill>
                    <a:blip r:embed="rId36"/>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28. </w:t>
      </w:r>
      <w:r>
        <w:rPr>
          <w:color w:val="64748B"/>
          <w:sz w:val="17"/>
        </w:rPr>
        <w:t>Directorio general de colaboradores con opciones de búsqueda</w:t>
      </w:r>
    </w:p>
    <w:p>
      <w:pPr>
        <w:pStyle w:val="Heading3"/>
      </w:pPr>
      <w:r>
        <w:t>29. Registro completo de un colaborador</w:t>
      </w:r>
    </w:p>
    <w:p>
      <w:r>
        <w:t>1. Haz clic en el botón superior **+ Nuevo Colaborador**.</w:t>
        <w:br/>
        <w:t>2. Selecciona el tipo de documento (Cédula de Ciudadanía, Pasaporte o Cédula de Extranjería) e ingresa el número.</w:t>
        <w:br/>
        <w:t>3. Escribe los nombres, apellidos, correo corporativo y número de celular.</w:t>
        <w:br/>
        <w:t>4. Asigna la sede, área y cargo correspondientes.</w:t>
        <w:br/>
        <w:t>5. Carga la fotografía formal del colaborador en formato JPG o PNG.</w:t>
        <w:br/>
        <w:t>6. Haz clic en **Guardar Colaborador**.</w:t>
      </w:r>
    </w:p>
    <w:p>
      <w:pPr>
        <w:spacing w:before="160" w:after="40"/>
        <w:jc w:val="center"/>
      </w:pPr>
      <w:r>
        <w:drawing>
          <wp:inline xmlns:a="http://schemas.openxmlformats.org/drawingml/2006/main" xmlns:pic="http://schemas.openxmlformats.org/drawingml/2006/picture">
            <wp:extent cx="4572000" cy="3371273"/>
            <wp:docPr id="29" name="Picture 29"/>
            <wp:cNvGraphicFramePr>
              <a:graphicFrameLocks noChangeAspect="1"/>
            </wp:cNvGraphicFramePr>
            <a:graphic>
              <a:graphicData uri="http://schemas.openxmlformats.org/drawingml/2006/picture">
                <pic:pic>
                  <pic:nvPicPr>
                    <pic:cNvPr id="0" name="26_company_modal_colaborador.png"/>
                    <pic:cNvPicPr/>
                  </pic:nvPicPr>
                  <pic:blipFill>
                    <a:blip r:embed="rId37"/>
                    <a:stretch>
                      <a:fillRect/>
                    </a:stretch>
                  </pic:blipFill>
                  <pic:spPr>
                    <a:xfrm>
                      <a:off x="0" y="0"/>
                      <a:ext cx="4572000" cy="3371273"/>
                    </a:xfrm>
                    <a:prstGeom prst="rect"/>
                  </pic:spPr>
                </pic:pic>
              </a:graphicData>
            </a:graphic>
          </wp:inline>
        </w:drawing>
      </w:r>
    </w:p>
    <w:p>
      <w:pPr>
        <w:spacing w:after="200"/>
        <w:jc w:val="center"/>
      </w:pPr>
      <w:r>
        <w:rPr>
          <w:b/>
          <w:color w:val="001F3F"/>
          <w:sz w:val="17"/>
        </w:rPr>
        <w:t xml:space="preserve">Figura 29. </w:t>
      </w:r>
      <w:r>
        <w:rPr>
          <w:color w:val="64748B"/>
          <w:sz w:val="17"/>
        </w:rPr>
        <w:t>Formulario modal integral para el registro de colaboradores</w:t>
      </w:r>
    </w:p>
    <w:p>
      <w:pPr>
        <w:pStyle w:val="Heading3"/>
      </w:pPr>
      <w:r>
        <w:t>30. Galería de plantillas de credenciales</w:t>
      </w:r>
    </w:p>
    <w:p>
      <w:r>
        <w:t>1. Haz clic en 'Plantillas' en el menú corporativo.</w:t>
        <w:br/>
        <w:t>2. Revisa los diseños creados para personal de planta, contratistas, directivos o eventos especiales.</w:t>
      </w:r>
    </w:p>
    <w:p>
      <w:pPr>
        <w:spacing w:before="160" w:after="40"/>
        <w:jc w:val="center"/>
      </w:pPr>
      <w:r>
        <w:drawing>
          <wp:inline xmlns:a="http://schemas.openxmlformats.org/drawingml/2006/main" xmlns:pic="http://schemas.openxmlformats.org/drawingml/2006/picture">
            <wp:extent cx="5303520" cy="3233854"/>
            <wp:docPr id="30" name="Picture 30"/>
            <wp:cNvGraphicFramePr>
              <a:graphicFrameLocks noChangeAspect="1"/>
            </wp:cNvGraphicFramePr>
            <a:graphic>
              <a:graphicData uri="http://schemas.openxmlformats.org/drawingml/2006/picture">
                <pic:pic>
                  <pic:nvPicPr>
                    <pic:cNvPr id="0" name="27_company_plantillas.png"/>
                    <pic:cNvPicPr/>
                  </pic:nvPicPr>
                  <pic:blipFill>
                    <a:blip r:embed="rId38"/>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30. </w:t>
      </w:r>
      <w:r>
        <w:rPr>
          <w:color w:val="64748B"/>
          <w:sz w:val="17"/>
        </w:rPr>
        <w:t>Galería de plantillas visuales de carnetización</w:t>
      </w:r>
    </w:p>
    <w:p>
      <w:pPr>
        <w:pStyle w:val="Heading3"/>
      </w:pPr>
      <w:r>
        <w:t>31. Diseñador interactivo de plantillas de carnet</w:t>
      </w:r>
    </w:p>
    <w:p>
      <w:r>
        <w:t>1. Haz clic en **+ Nueva Plantilla** o selecciona una existente para editarla.</w:t>
        <w:br/>
        <w:t>2. Sube la imagen de fondo institucional de tu organización.</w:t>
        <w:br/>
        <w:t>3. Arrastra y ubica las capas de texto dinámico: `{{nombres}}`, `{{apellidos}}`, `{{cargo}}` y `{{sede}}`.</w:t>
        <w:br/>
        <w:t>4. Ajusta la posición y tamaño del recuadro para el código QR y la fotografía.</w:t>
        <w:br/>
        <w:t>5. Haz clic en **Guardar Plantilla** para habilitarla en las emisiones.</w:t>
      </w:r>
    </w:p>
    <w:p>
      <w:pPr>
        <w:spacing w:before="160" w:after="40"/>
        <w:jc w:val="center"/>
      </w:pPr>
      <w:r>
        <w:drawing>
          <wp:inline xmlns:a="http://schemas.openxmlformats.org/drawingml/2006/main" xmlns:pic="http://schemas.openxmlformats.org/drawingml/2006/picture">
            <wp:extent cx="5029200" cy="4073652"/>
            <wp:docPr id="31" name="Picture 31"/>
            <wp:cNvGraphicFramePr>
              <a:graphicFrameLocks noChangeAspect="1"/>
            </wp:cNvGraphicFramePr>
            <a:graphic>
              <a:graphicData uri="http://schemas.openxmlformats.org/drawingml/2006/picture">
                <pic:pic>
                  <pic:nvPicPr>
                    <pic:cNvPr id="0" name="28_company_disenador_canvas.png"/>
                    <pic:cNvPicPr/>
                  </pic:nvPicPr>
                  <pic:blipFill>
                    <a:blip r:embed="rId39"/>
                    <a:stretch>
                      <a:fillRect/>
                    </a:stretch>
                  </pic:blipFill>
                  <pic:spPr>
                    <a:xfrm>
                      <a:off x="0" y="0"/>
                      <a:ext cx="5029200" cy="4073652"/>
                    </a:xfrm>
                    <a:prstGeom prst="rect"/>
                  </pic:spPr>
                </pic:pic>
              </a:graphicData>
            </a:graphic>
          </wp:inline>
        </w:drawing>
      </w:r>
    </w:p>
    <w:p>
      <w:pPr>
        <w:spacing w:after="200"/>
        <w:jc w:val="center"/>
      </w:pPr>
      <w:r>
        <w:rPr>
          <w:b/>
          <w:color w:val="001F3F"/>
          <w:sz w:val="17"/>
        </w:rPr>
        <w:t xml:space="preserve">Figura 31. </w:t>
      </w:r>
      <w:r>
        <w:rPr>
          <w:color w:val="64748B"/>
          <w:sz w:val="17"/>
        </w:rPr>
        <w:t>Editor gráfico interactivo Canvas para diseñar credenciales</w:t>
      </w:r>
    </w:p>
    <w:p>
      <w:pPr>
        <w:pStyle w:val="Heading3"/>
      </w:pPr>
      <w:r>
        <w:t>32. Control de emisión y descarga de carnets</w:t>
      </w:r>
    </w:p>
    <w:p>
      <w:r>
        <w:t>1. Haz clic en la opción 'Carnetización'.</w:t>
        <w:br/>
        <w:t>2. Consulta los carnets emitidos, vigencias y fechas de expedición.</w:t>
        <w:br/>
        <w:t>3. Haz clic en el ícono de descarga para obtener la credencial en PDF de alta resolución.</w:t>
        <w:br/>
        <w:t>4. En caso de retiro del funcionario o pérdida del carnet, utiliza la opción **Revocar**.</w:t>
      </w:r>
    </w:p>
    <w:p>
      <w:pPr>
        <w:spacing w:before="160" w:after="40"/>
        <w:jc w:val="center"/>
      </w:pPr>
      <w:r>
        <w:drawing>
          <wp:inline xmlns:a="http://schemas.openxmlformats.org/drawingml/2006/main" xmlns:pic="http://schemas.openxmlformats.org/drawingml/2006/picture">
            <wp:extent cx="5303520" cy="3233854"/>
            <wp:docPr id="32" name="Picture 32"/>
            <wp:cNvGraphicFramePr>
              <a:graphicFrameLocks noChangeAspect="1"/>
            </wp:cNvGraphicFramePr>
            <a:graphic>
              <a:graphicData uri="http://schemas.openxmlformats.org/drawingml/2006/picture">
                <pic:pic>
                  <pic:nvPicPr>
                    <pic:cNvPr id="0" name="29_company_carnetizacion.png"/>
                    <pic:cNvPicPr/>
                  </pic:nvPicPr>
                  <pic:blipFill>
                    <a:blip r:embed="rId40"/>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32. </w:t>
      </w:r>
      <w:r>
        <w:rPr>
          <w:color w:val="64748B"/>
          <w:sz w:val="17"/>
        </w:rPr>
        <w:t>Listado de carnets emitidos con opciones de descarga y revocación</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36" w:space="0" w:color="D97706"/>
              <w:bottom w:val="none"/>
              <w:right w:val="none"/>
            </w:tcBorders>
          </w:tcPr>
          <w:p>
            <w:pPr>
              <w:spacing w:before="40" w:after="40"/>
            </w:pPr>
            <w:r>
              <w:rPr>
                <w:b/>
                <w:color w:val="001F3F"/>
                <w:sz w:val="19"/>
              </w:rPr>
              <w:t xml:space="preserve">Advertencia: </w:t>
            </w:r>
            <w:r>
              <w:rPr>
                <w:color w:val="334155"/>
                <w:sz w:val="19"/>
              </w:rPr>
              <w:t>La revocación de una credencial invalida de inmediato el código QR ante cualquier lector de control de acceso físico.</w:t>
            </w:r>
          </w:p>
        </w:tc>
      </w:tr>
    </w:tbl>
    <w:p>
      <w:pPr>
        <w:spacing w:after="80"/>
      </w:pPr>
    </w:p>
    <w:p>
      <w:pPr>
        <w:pStyle w:val="Heading3"/>
      </w:pPr>
      <w:r>
        <w:t>33. Emisión individual de credencial</w:t>
      </w:r>
    </w:p>
    <w:p>
      <w:r>
        <w:t>1. Haz clic en el botón **+ Emitir Carnet**.</w:t>
        <w:br/>
        <w:t>2. Elige el colaborador en el selector desplegable.</w:t>
        <w:br/>
        <w:t>3. Elige la plantilla visual aprobada.</w:t>
        <w:br/>
        <w:t>4. Fija la fecha de expiración del carnet.</w:t>
        <w:br/>
        <w:t>5. Haz clic en **Emitir Credencial**.</w:t>
      </w:r>
    </w:p>
    <w:p>
      <w:pPr>
        <w:spacing w:before="160" w:after="40"/>
        <w:jc w:val="center"/>
      </w:pPr>
      <w:r>
        <w:drawing>
          <wp:inline xmlns:a="http://schemas.openxmlformats.org/drawingml/2006/main" xmlns:pic="http://schemas.openxmlformats.org/drawingml/2006/picture">
            <wp:extent cx="4023360" cy="3933952"/>
            <wp:docPr id="33" name="Picture 33"/>
            <wp:cNvGraphicFramePr>
              <a:graphicFrameLocks noChangeAspect="1"/>
            </wp:cNvGraphicFramePr>
            <a:graphic>
              <a:graphicData uri="http://schemas.openxmlformats.org/drawingml/2006/picture">
                <pic:pic>
                  <pic:nvPicPr>
                    <pic:cNvPr id="0" name="29b_company_modal_emitir_carnet.png"/>
                    <pic:cNvPicPr/>
                  </pic:nvPicPr>
                  <pic:blipFill>
                    <a:blip r:embed="rId41"/>
                    <a:stretch>
                      <a:fillRect/>
                    </a:stretch>
                  </pic:blipFill>
                  <pic:spPr>
                    <a:xfrm>
                      <a:off x="0" y="0"/>
                      <a:ext cx="4023360" cy="3933952"/>
                    </a:xfrm>
                    <a:prstGeom prst="rect"/>
                  </pic:spPr>
                </pic:pic>
              </a:graphicData>
            </a:graphic>
          </wp:inline>
        </w:drawing>
      </w:r>
    </w:p>
    <w:p>
      <w:pPr>
        <w:spacing w:after="200"/>
        <w:jc w:val="center"/>
      </w:pPr>
      <w:r>
        <w:rPr>
          <w:b/>
          <w:color w:val="001F3F"/>
          <w:sz w:val="17"/>
        </w:rPr>
        <w:t xml:space="preserve">Figura 33. </w:t>
      </w:r>
      <w:r>
        <w:rPr>
          <w:color w:val="64748B"/>
          <w:sz w:val="17"/>
        </w:rPr>
        <w:t>Modal de emisión individual y generación de código QR</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36" w:space="0" w:color="DC2626"/>
              <w:bottom w:val="none"/>
              <w:right w:val="none"/>
            </w:tcBorders>
          </w:tcPr>
          <w:p>
            <w:pPr>
              <w:spacing w:before="40" w:after="40"/>
            </w:pPr>
            <w:r>
              <w:rPr>
                <w:b/>
                <w:color w:val="001F3F"/>
                <w:sz w:val="19"/>
              </w:rPr>
              <w:t xml:space="preserve">Acción crítica: </w:t>
            </w:r>
            <w:r>
              <w:rPr>
                <w:color w:val="334155"/>
                <w:sz w:val="19"/>
              </w:rPr>
              <w:t>Si la cuota de carnets contratados se encuentra agotada, el sistema bloqueará la emisión y te solicitará contactar a tu asesor para recargar cupos.</w:t>
            </w:r>
          </w:p>
        </w:tc>
      </w:tr>
    </w:tbl>
    <w:p>
      <w:pPr>
        <w:spacing w:after="80"/>
      </w:pPr>
    </w:p>
    <w:p>
      <w:pPr>
        <w:pStyle w:val="Heading3"/>
      </w:pPr>
      <w:r>
        <w:t>34. Configuración de marca corporativa (White-Labeling)</w:t>
      </w:r>
    </w:p>
    <w:p>
      <w:r>
        <w:t>1. Ingresa a la opción 'Configuración de Marca'.</w:t>
        <w:br/>
        <w:t>2. Personaliza el color primario y secundario con el selector de color o código hexadecimal.</w:t>
        <w:br/>
        <w:t>3. Elige la tipografía institucional preferida.</w:t>
        <w:br/>
        <w:t>4. Carga el archivo del logotipo oficial de tu empresa.</w:t>
        <w:br/>
        <w:t>5. Haz clic en **Guardar Cambios** para aplicar la identidad visual en todo tu entorno.</w:t>
      </w:r>
    </w:p>
    <w:p>
      <w:pPr>
        <w:spacing w:before="160" w:after="40"/>
        <w:jc w:val="center"/>
      </w:pPr>
      <w:r>
        <w:drawing>
          <wp:inline xmlns:a="http://schemas.openxmlformats.org/drawingml/2006/main" xmlns:pic="http://schemas.openxmlformats.org/drawingml/2006/picture">
            <wp:extent cx="5303520" cy="3233854"/>
            <wp:docPr id="34" name="Picture 34"/>
            <wp:cNvGraphicFramePr>
              <a:graphicFrameLocks noChangeAspect="1"/>
            </wp:cNvGraphicFramePr>
            <a:graphic>
              <a:graphicData uri="http://schemas.openxmlformats.org/drawingml/2006/picture">
                <pic:pic>
                  <pic:nvPicPr>
                    <pic:cNvPr id="0" name="30_company_branding_parametros.png"/>
                    <pic:cNvPicPr/>
                  </pic:nvPicPr>
                  <pic:blipFill>
                    <a:blip r:embed="rId42"/>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34. </w:t>
      </w:r>
      <w:r>
        <w:rPr>
          <w:color w:val="64748B"/>
          <w:sz w:val="17"/>
        </w:rPr>
        <w:t>Módulo de configuración de marca, colores y logotipo de empresa</w:t>
      </w:r>
    </w:p>
    <w:p>
      <w:pPr>
        <w:pStyle w:val="Heading3"/>
      </w:pPr>
      <w:r>
        <w:t>35. Consulta de plan, cuotas y recarga de cupos</w:t>
      </w:r>
    </w:p>
    <w:p>
      <w:r>
        <w:t>1. Haz clic en la opción 'Suscripción'.</w:t>
        <w:br/>
        <w:t>2. Verifica el plan vigente, costo y fecha de renovación programada.</w:t>
        <w:br/>
        <w:t>3. Consulta la barra de consumo de carnets emitidos sobre el límite total permitido.</w:t>
        <w:br/>
        <w:t>4. Haz clic en **Actualizar Plan / Recargar Cupos** si requieres emitir credenciales adicionales.</w:t>
      </w:r>
    </w:p>
    <w:p>
      <w:pPr>
        <w:spacing w:before="160" w:after="40"/>
        <w:jc w:val="center"/>
      </w:pPr>
      <w:r>
        <w:drawing>
          <wp:inline xmlns:a="http://schemas.openxmlformats.org/drawingml/2006/main" xmlns:pic="http://schemas.openxmlformats.org/drawingml/2006/picture">
            <wp:extent cx="5303520" cy="3233854"/>
            <wp:docPr id="35" name="Picture 35"/>
            <wp:cNvGraphicFramePr>
              <a:graphicFrameLocks noChangeAspect="1"/>
            </wp:cNvGraphicFramePr>
            <a:graphic>
              <a:graphicData uri="http://schemas.openxmlformats.org/drawingml/2006/picture">
                <pic:pic>
                  <pic:nvPicPr>
                    <pic:cNvPr id="0" name="31_company_suscripcion.png"/>
                    <pic:cNvPicPr/>
                  </pic:nvPicPr>
                  <pic:blipFill>
                    <a:blip r:embed="rId43"/>
                    <a:stretch>
                      <a:fillRect/>
                    </a:stretch>
                  </pic:blipFill>
                  <pic:spPr>
                    <a:xfrm>
                      <a:off x="0" y="0"/>
                      <a:ext cx="5303520" cy="3233854"/>
                    </a:xfrm>
                    <a:prstGeom prst="rect"/>
                  </pic:spPr>
                </pic:pic>
              </a:graphicData>
            </a:graphic>
          </wp:inline>
        </w:drawing>
      </w:r>
    </w:p>
    <w:p>
      <w:pPr>
        <w:spacing w:after="200"/>
        <w:jc w:val="center"/>
      </w:pPr>
      <w:r>
        <w:rPr>
          <w:b/>
          <w:color w:val="001F3F"/>
          <w:sz w:val="17"/>
        </w:rPr>
        <w:t xml:space="preserve">Figura 35. </w:t>
      </w:r>
      <w:r>
        <w:rPr>
          <w:color w:val="64748B"/>
          <w:sz w:val="17"/>
        </w:rPr>
        <w:t>Panel de control del plan contratado y consumo de cupos</w:t>
      </w:r>
    </w:p>
    <w:p>
      <w:r>
        <w:br w:type="page"/>
      </w:r>
    </w:p>
    <w:p>
      <w:pPr>
        <w:pStyle w:val="Heading1"/>
      </w:pPr>
      <w:r>
        <w:t>Anexo. Preguntas frecuentes y solución de problemas</w:t>
      </w:r>
    </w:p>
    <w:p>
      <w:r>
        <w:t>A continuación se presentan las situaciones operativas y técnicas más habituales con su solución paso a paso:</w:t>
      </w:r>
    </w:p>
    <w:tbl>
      <w:tblPr>
        <w:tblW w:type="auto" w:w="0"/>
        <w:jc w:val="center"/>
        <w:tblLook w:firstColumn="1" w:firstRow="1" w:lastColumn="0" w:lastRow="0" w:noHBand="0" w:noVBand="1" w:val="04A0"/>
      </w:tblPr>
      <w:tblGrid>
        <w:gridCol w:w="3120"/>
        <w:gridCol w:w="3120"/>
        <w:gridCol w:w="3120"/>
      </w:tblGrid>
      <w:tr>
        <w:tc>
          <w:tcPr>
            <w:tcW w:type="dxa" w:w="2592"/>
            <w:shd w:fill="001F3F"/>
            <w:tcMar>
              <w:top w:w="120" w:type="dxa"/>
              <w:bottom w:w="120" w:type="dxa"/>
              <w:left w:w="140" w:type="dxa"/>
              <w:right w:w="140" w:type="dxa"/>
            </w:tcMar>
          </w:tcPr>
          <w:p>
            <w:pPr>
              <w:jc w:val="left"/>
            </w:pPr>
            <w:r>
              <w:rPr>
                <w:rFonts w:ascii="Calibri" w:hAnsi="Calibri"/>
                <w:b/>
                <w:color w:val="FFFFFF"/>
                <w:sz w:val="18"/>
              </w:rPr>
              <w:t>Situación o duda frecuente</w:t>
            </w:r>
          </w:p>
        </w:tc>
        <w:tc>
          <w:tcPr>
            <w:tcW w:type="dxa" w:w="2880"/>
            <w:shd w:fill="001F3F"/>
            <w:tcMar>
              <w:top w:w="120" w:type="dxa"/>
              <w:bottom w:w="120" w:type="dxa"/>
              <w:left w:w="140" w:type="dxa"/>
              <w:right w:w="140" w:type="dxa"/>
            </w:tcMar>
          </w:tcPr>
          <w:p>
            <w:pPr>
              <w:jc w:val="left"/>
            </w:pPr>
            <w:r>
              <w:rPr>
                <w:rFonts w:ascii="Calibri" w:hAnsi="Calibri"/>
                <w:b/>
                <w:color w:val="FFFFFF"/>
                <w:sz w:val="18"/>
              </w:rPr>
              <w:t>Causa probable</w:t>
            </w:r>
          </w:p>
        </w:tc>
        <w:tc>
          <w:tcPr>
            <w:tcW w:type="dxa" w:w="3888"/>
            <w:shd w:fill="001F3F"/>
            <w:tcMar>
              <w:top w:w="120" w:type="dxa"/>
              <w:bottom w:w="120" w:type="dxa"/>
              <w:left w:w="140" w:type="dxa"/>
              <w:right w:w="140" w:type="dxa"/>
            </w:tcMar>
          </w:tcPr>
          <w:p>
            <w:pPr>
              <w:jc w:val="left"/>
            </w:pPr>
            <w:r>
              <w:rPr>
                <w:rFonts w:ascii="Calibri" w:hAnsi="Calibri"/>
                <w:b/>
                <w:color w:val="FFFFFF"/>
                <w:sz w:val="18"/>
              </w:rPr>
              <w:t>Solución recomendada paso a paso</w:t>
            </w:r>
          </w:p>
        </w:tc>
      </w:tr>
      <w:tr>
        <w:tc>
          <w:tcPr>
            <w:tcW w:type="dxa" w:w="2592"/>
            <w:shd w:fill="FFFFFF"/>
            <w:tcMar>
              <w:top w:w="100" w:type="dxa"/>
              <w:bottom w:w="100" w:type="dxa"/>
              <w:left w:w="140" w:type="dxa"/>
              <w:right w:w="140" w:type="dxa"/>
            </w:tcMar>
          </w:tcPr>
          <w:p>
            <w:r>
              <w:rPr>
                <w:rFonts w:ascii="Calibri" w:hAnsi="Calibri"/>
                <w:color w:val="334155"/>
                <w:sz w:val="17"/>
              </w:rPr>
              <w:t>El botón 'Emitir Carnet' se encuentra inhabilitado</w:t>
            </w:r>
          </w:p>
        </w:tc>
        <w:tc>
          <w:tcPr>
            <w:tcW w:type="dxa" w:w="2880"/>
            <w:shd w:fill="FFFFFF"/>
            <w:tcMar>
              <w:top w:w="100" w:type="dxa"/>
              <w:bottom w:w="100" w:type="dxa"/>
              <w:left w:w="140" w:type="dxa"/>
              <w:right w:w="140" w:type="dxa"/>
            </w:tcMar>
          </w:tcPr>
          <w:p>
            <w:r>
              <w:rPr>
                <w:rFonts w:ascii="Calibri" w:hAnsi="Calibri"/>
                <w:color w:val="334155"/>
                <w:sz w:val="17"/>
              </w:rPr>
              <w:t>La empresa ha alcanzado el límite máximo de carnets contratados en su plan.</w:t>
            </w:r>
          </w:p>
        </w:tc>
        <w:tc>
          <w:tcPr>
            <w:tcW w:type="dxa" w:w="3888"/>
            <w:shd w:fill="FFFFFF"/>
            <w:tcMar>
              <w:top w:w="100" w:type="dxa"/>
              <w:bottom w:w="100" w:type="dxa"/>
              <w:left w:w="140" w:type="dxa"/>
              <w:right w:w="140" w:type="dxa"/>
            </w:tcMar>
          </w:tcPr>
          <w:p>
            <w:r>
              <w:rPr>
                <w:rFonts w:ascii="Calibri" w:hAnsi="Calibri"/>
                <w:color w:val="334155"/>
                <w:sz w:val="17"/>
              </w:rPr>
              <w:t>Ingresa al módulo 'Suscripción' y selecciona la opción de recarga de cupos o cambio a un plan superior.</w:t>
            </w:r>
          </w:p>
        </w:tc>
      </w:tr>
      <w:tr>
        <w:tc>
          <w:tcPr>
            <w:tcW w:type="dxa" w:w="2592"/>
            <w:shd w:fill="F8FAFC"/>
            <w:tcMar>
              <w:top w:w="100" w:type="dxa"/>
              <w:bottom w:w="100" w:type="dxa"/>
              <w:left w:w="140" w:type="dxa"/>
              <w:right w:w="140" w:type="dxa"/>
            </w:tcMar>
          </w:tcPr>
          <w:p>
            <w:r>
              <w:rPr>
                <w:rFonts w:ascii="Calibri" w:hAnsi="Calibri"/>
                <w:color w:val="334155"/>
                <w:sz w:val="17"/>
              </w:rPr>
              <w:t>Al escanear el carnet con el teléfono, se indica credencial inválida</w:t>
            </w:r>
          </w:p>
        </w:tc>
        <w:tc>
          <w:tcPr>
            <w:tcW w:type="dxa" w:w="2880"/>
            <w:shd w:fill="F8FAFC"/>
            <w:tcMar>
              <w:top w:w="100" w:type="dxa"/>
              <w:bottom w:w="100" w:type="dxa"/>
              <w:left w:w="140" w:type="dxa"/>
              <w:right w:w="140" w:type="dxa"/>
            </w:tcMar>
          </w:tcPr>
          <w:p>
            <w:r>
              <w:rPr>
                <w:rFonts w:ascii="Calibri" w:hAnsi="Calibri"/>
                <w:color w:val="334155"/>
                <w:sz w:val="17"/>
              </w:rPr>
              <w:t>El carnet ha superado su fecha de expiración o fue revocado por el administrador.</w:t>
            </w:r>
          </w:p>
        </w:tc>
        <w:tc>
          <w:tcPr>
            <w:tcW w:type="dxa" w:w="3888"/>
            <w:shd w:fill="F8FAFC"/>
            <w:tcMar>
              <w:top w:w="100" w:type="dxa"/>
              <w:bottom w:w="100" w:type="dxa"/>
              <w:left w:w="140" w:type="dxa"/>
              <w:right w:w="140" w:type="dxa"/>
            </w:tcMar>
          </w:tcPr>
          <w:p>
            <w:r>
              <w:rPr>
                <w:rFonts w:ascii="Calibri" w:hAnsi="Calibri"/>
                <w:color w:val="334155"/>
                <w:sz w:val="17"/>
              </w:rPr>
              <w:t>Verifica el estado en el módulo 'Carnetización'. Si está revocado, emite una nueva credencial con fecha vigente.</w:t>
            </w:r>
          </w:p>
        </w:tc>
      </w:tr>
      <w:tr>
        <w:tc>
          <w:tcPr>
            <w:tcW w:type="dxa" w:w="2592"/>
            <w:shd w:fill="FFFFFF"/>
            <w:tcMar>
              <w:top w:w="100" w:type="dxa"/>
              <w:bottom w:w="100" w:type="dxa"/>
              <w:left w:w="140" w:type="dxa"/>
              <w:right w:w="140" w:type="dxa"/>
            </w:tcMar>
          </w:tcPr>
          <w:p>
            <w:r>
              <w:rPr>
                <w:rFonts w:ascii="Calibri" w:hAnsi="Calibri"/>
                <w:color w:val="334155"/>
                <w:sz w:val="17"/>
              </w:rPr>
              <w:t>Error HTTP 401 al invocar endpoints de API</w:t>
            </w:r>
          </w:p>
        </w:tc>
        <w:tc>
          <w:tcPr>
            <w:tcW w:type="dxa" w:w="2880"/>
            <w:shd w:fill="FFFFFF"/>
            <w:tcMar>
              <w:top w:w="100" w:type="dxa"/>
              <w:bottom w:w="100" w:type="dxa"/>
              <w:left w:w="140" w:type="dxa"/>
              <w:right w:w="140" w:type="dxa"/>
            </w:tcMar>
          </w:tcPr>
          <w:p>
            <w:r>
              <w:rPr>
                <w:rFonts w:ascii="Calibri" w:hAnsi="Calibri"/>
                <w:color w:val="334155"/>
                <w:sz w:val="17"/>
              </w:rPr>
              <w:t>El token JWT ha expirado o la cabecera Authorization está ausente.</w:t>
            </w:r>
          </w:p>
        </w:tc>
        <w:tc>
          <w:tcPr>
            <w:tcW w:type="dxa" w:w="3888"/>
            <w:shd w:fill="FFFFFF"/>
            <w:tcMar>
              <w:top w:w="100" w:type="dxa"/>
              <w:bottom w:w="100" w:type="dxa"/>
              <w:left w:w="140" w:type="dxa"/>
              <w:right w:w="140" w:type="dxa"/>
            </w:tcMar>
          </w:tcPr>
          <w:p>
            <w:r>
              <w:rPr>
                <w:rFonts w:ascii="Calibri" w:hAnsi="Calibri"/>
                <w:color w:val="334155"/>
                <w:sz w:val="17"/>
              </w:rPr>
              <w:t>Inicia sesión nuevamente para renovar el token en localStorage o genera uno nuevo con la clave JWT_SECRET.</w:t>
            </w:r>
          </w:p>
        </w:tc>
      </w:tr>
      <w:tr>
        <w:tc>
          <w:tcPr>
            <w:tcW w:type="dxa" w:w="2592"/>
            <w:shd w:fill="F8FAFC"/>
            <w:tcMar>
              <w:top w:w="100" w:type="dxa"/>
              <w:bottom w:w="100" w:type="dxa"/>
              <w:left w:w="140" w:type="dxa"/>
              <w:right w:w="140" w:type="dxa"/>
            </w:tcMar>
          </w:tcPr>
          <w:p>
            <w:r>
              <w:rPr>
                <w:rFonts w:ascii="Calibri" w:hAnsi="Calibri"/>
                <w:color w:val="334155"/>
                <w:sz w:val="17"/>
              </w:rPr>
              <w:t>No se visualizan las sedes al crear un área</w:t>
            </w:r>
          </w:p>
        </w:tc>
        <w:tc>
          <w:tcPr>
            <w:tcW w:type="dxa" w:w="2880"/>
            <w:shd w:fill="F8FAFC"/>
            <w:tcMar>
              <w:top w:w="100" w:type="dxa"/>
              <w:bottom w:w="100" w:type="dxa"/>
              <w:left w:w="140" w:type="dxa"/>
              <w:right w:w="140" w:type="dxa"/>
            </w:tcMar>
          </w:tcPr>
          <w:p>
            <w:r>
              <w:rPr>
                <w:rFonts w:ascii="Calibri" w:hAnsi="Calibri"/>
                <w:color w:val="334155"/>
                <w:sz w:val="17"/>
              </w:rPr>
              <w:t>No existen sedes creadas previamente en la organización.</w:t>
            </w:r>
          </w:p>
        </w:tc>
        <w:tc>
          <w:tcPr>
            <w:tcW w:type="dxa" w:w="3888"/>
            <w:shd w:fill="F8FAFC"/>
            <w:tcMar>
              <w:top w:w="100" w:type="dxa"/>
              <w:bottom w:w="100" w:type="dxa"/>
              <w:left w:w="140" w:type="dxa"/>
              <w:right w:w="140" w:type="dxa"/>
            </w:tcMar>
          </w:tcPr>
          <w:p>
            <w:r>
              <w:rPr>
                <w:rFonts w:ascii="Calibri" w:hAnsi="Calibri"/>
                <w:color w:val="334155"/>
                <w:sz w:val="17"/>
              </w:rPr>
              <w:t>Ingresa primero al módulo 'Sedes', registra al menos una sucursal física y posteriormente asocia el área.</w:t>
            </w:r>
          </w:p>
        </w:tc>
      </w:tr>
      <w:tr>
        <w:tc>
          <w:tcPr>
            <w:tcW w:type="dxa" w:w="2592"/>
            <w:shd w:fill="FFFFFF"/>
            <w:tcMar>
              <w:top w:w="100" w:type="dxa"/>
              <w:bottom w:w="100" w:type="dxa"/>
              <w:left w:w="140" w:type="dxa"/>
              <w:right w:w="140" w:type="dxa"/>
            </w:tcMar>
          </w:tcPr>
          <w:p>
            <w:r>
              <w:rPr>
                <w:rFonts w:ascii="Calibri" w:hAnsi="Calibri"/>
                <w:color w:val="334155"/>
                <w:sz w:val="17"/>
              </w:rPr>
              <w:t>El logotipo no se visualiza correctamente en el carnet</w:t>
            </w:r>
          </w:p>
        </w:tc>
        <w:tc>
          <w:tcPr>
            <w:tcW w:type="dxa" w:w="2880"/>
            <w:shd w:fill="FFFFFF"/>
            <w:tcMar>
              <w:top w:w="100" w:type="dxa"/>
              <w:bottom w:w="100" w:type="dxa"/>
              <w:left w:w="140" w:type="dxa"/>
              <w:right w:w="140" w:type="dxa"/>
            </w:tcMar>
          </w:tcPr>
          <w:p>
            <w:r>
              <w:rPr>
                <w:rFonts w:ascii="Calibri" w:hAnsi="Calibri"/>
                <w:color w:val="334155"/>
                <w:sz w:val="17"/>
              </w:rPr>
              <w:t>El formato o las dimensiones de la imagen cargada no son transparentes o superan el tamaño sugerido.</w:t>
            </w:r>
          </w:p>
        </w:tc>
        <w:tc>
          <w:tcPr>
            <w:tcW w:type="dxa" w:w="3888"/>
            <w:shd w:fill="FFFFFF"/>
            <w:tcMar>
              <w:top w:w="100" w:type="dxa"/>
              <w:bottom w:w="100" w:type="dxa"/>
              <w:left w:w="140" w:type="dxa"/>
              <w:right w:w="140" w:type="dxa"/>
            </w:tcMar>
          </w:tcPr>
          <w:p>
            <w:r>
              <w:rPr>
                <w:rFonts w:ascii="Calibri" w:hAnsi="Calibri"/>
                <w:color w:val="334155"/>
                <w:sz w:val="17"/>
              </w:rPr>
              <w:t>Sube el logotipo en formato PNG con fondo transparente y resolución de 500x500 píxeles desde el módulo 'Configuración de Marca'.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