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BRIDS.IO — EXECUTIVE ONE-PAGER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rFonts w:ascii="Arial" w:cs="Arial" w:eastAsia="Arial" w:hAnsi="Arial"/>
          <w:b w:val="1"/>
          <w:bCs w:val="1"/>
          <w:color w:val="0284c7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2"/>
          <w:szCs w:val="22"/>
          <w:rtl w:val="0"/>
        </w:rPr>
        <w:t xml:space="preserve">Infraestructura Tecnológica Web3 para Inversión Inmobiliaria Fraccionada (RWA)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  <w:rtl w:val="0"/>
              </w:rPr>
              <w:t xml:space="preserve">$100 USD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  <w:rtl w:val="0"/>
              </w:rPr>
              <w:t xml:space="preserve">Ticket de Entrada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  <w:rtl w:val="0"/>
              </w:rPr>
              <w:t xml:space="preserve">Solana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  <w:rtl w:val="0"/>
              </w:rPr>
              <w:t xml:space="preserve">Blockchain L1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  <w:rtl w:val="0"/>
              </w:rPr>
              <w:t xml:space="preserve">SPV Dedicado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  <w:rtl w:val="0"/>
              </w:rPr>
              <w:t xml:space="preserve">Respaldo Legal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84c7"/>
                <w:sz w:val="24"/>
                <w:szCs w:val="24"/>
                <w:shd w:fill="auto" w:val="clear"/>
                <w:rtl w:val="0"/>
              </w:rPr>
              <w:t xml:space="preserve">Metaplex Core + Squads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shd w:fill="auto" w:val="clear"/>
                <w:rtl w:val="0"/>
              </w:rPr>
              <w:t xml:space="preserve">Estándar &amp; Tesorería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="300" w:lineRule="auto"/>
        <w:ind w:left="150" w:right="150" w:firstLine="0"/>
        <w:rPr>
          <w:rFonts w:ascii="Arial" w:cs="Arial" w:eastAsia="Arial" w:hAnsi="Arial"/>
          <w:color w:val="334155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18"/>
          <w:szCs w:val="18"/>
          <w:shd w:fill="f8fafc" w:val="clear"/>
          <w:rtl w:val="0"/>
        </w:rPr>
        <w:t xml:space="preserve">Tesis Institucional:</w:t>
      </w:r>
      <w:r w:rsidDel="00000000" w:rsidR="00000000" w:rsidRPr="00000000">
        <w:rPr>
          <w:rFonts w:ascii="Arial" w:cs="Arial" w:eastAsia="Arial" w:hAnsi="Arial"/>
          <w:color w:val="334155"/>
          <w:sz w:val="18"/>
          <w:szCs w:val="18"/>
          <w:shd w:fill="f8fafc" w:val="clear"/>
          <w:rtl w:val="0"/>
        </w:rPr>
        <w:t xml:space="preserve"> BRIDS es una plataforma de software que reduce la fricción tecnológica de acceso a oportunidades inmobiliarias estructuradas en EE.UU. BRIDS actúa estrictamente como proveedor de software, experiencia de usuario e infraestructura de representación digital en Solana, manteniendo una separación taxativa frente a las funciones fiduciarias, inmobiliarias y de intermediación financiera.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="300" w:lineRule="auto"/>
        <w:rPr>
          <w:rFonts w:ascii="Arial" w:cs="Arial" w:eastAsia="Arial" w:hAnsi="Arial"/>
          <w:color w:val="0369a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369a1"/>
          <w:sz w:val="24"/>
          <w:szCs w:val="24"/>
          <w:rtl w:val="0"/>
        </w:rPr>
        <w:t xml:space="preserve">1. Modelos de Inversión Inmobiliaria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369a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088.8"/>
        <w:gridCol w:w="3088.8"/>
        <w:gridCol w:w="3182.4"/>
        <w:tblGridChange w:id="0">
          <w:tblGrid>
            <w:gridCol w:w="3088.8"/>
            <w:gridCol w:w="3088.8"/>
            <w:gridCol w:w="3182.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1. Fix &amp; Flip (Rotación Rápida)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2. Fix &amp; Hold (Renta Pasiva)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3. Desarrollo (Green-field)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Horizonte: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6 a 12 meses.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Adquisición, remodelación y venta en ciclos cortos.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Enfoque: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Margen y rotación eficiente de capital.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Horizonte: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Mediano a largo plazo.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Compra, renovación, renta y refinanciamiento.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Enfoque: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Flujo de caja recurrente y plusvalía del activo.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Horizonte: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Largo plazo.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Estrategia: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Estructuración, edificación y comercialización integral desde cero.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vertAlign w:val="baseline"/>
                <w:rtl w:val="0"/>
              </w:rPr>
              <w:t xml:space="preserve">Enfoque: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vertAlign w:val="baseline"/>
                <w:rtl w:val="0"/>
              </w:rPr>
              <w:t xml:space="preserve"> Máximo potencial de valorización patrimonial.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70" w:line="300" w:lineRule="auto"/>
        <w:rPr>
          <w:rFonts w:ascii="Arial" w:cs="Arial" w:eastAsia="Arial" w:hAnsi="Arial"/>
          <w:color w:val="0369a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369a1"/>
          <w:sz w:val="24"/>
          <w:szCs w:val="24"/>
          <w:rtl w:val="0"/>
        </w:rPr>
        <w:t xml:space="preserve">2. Infraestructura Web3 &amp; Plugins de Metaplex Core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Estándar Metaplex Core: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Utilización del estándar de siguiente generación en Solana para RWAs, optimizando el costo computacional y almacenamiento on-chain.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Plugins de Congelamiento (Freeze Plugin):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Mecanismo de restricción de transferencias programáticas para garantizar el cumplimiento normativo del SPV, bloqueos por ventanas de venta o resoluciones de disputa.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Protocolo de Recuperación y Corrección de Wallets: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En caso de extravío de llaves privadas, compromiso de seguridad o error de dirección de destino por parte del usuario, se implementa un flujo institucional de recuperación: (i) validación de identidad KYC mediante proveedor externo, (ii) verificación contra el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e293b"/>
          <w:rtl w:val="0"/>
        </w:rPr>
        <w:t xml:space="preserve">Master Securityholder File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del SPV, y (iii) quema/reemisión o transferencia controlada del NFT hacia la nueva wallet verificada.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rtl w:val="0"/>
        </w:rPr>
        <w:t xml:space="preserve">Tesorería Multifirma (Squads Protocol):</w: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 Dispersión segura y transparente de fondos y dividendos mediante bóvedas multifirma (Developer + Tech Verification) sin custodia fiduciaria discrecional.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line="300" w:lineRule="auto"/>
        <w:rPr>
          <w:rFonts w:ascii="Arial" w:cs="Arial" w:eastAsia="Arial" w:hAnsi="Arial"/>
          <w:color w:val="0369a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369a1"/>
          <w:sz w:val="24"/>
          <w:szCs w:val="24"/>
          <w:rtl w:val="0"/>
        </w:rPr>
        <w:t xml:space="preserve">3. Matriz de Responsabilidades y Cumplimiento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369a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Participante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Alcance Operativo y Legal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rtl w:val="0"/>
              </w:rPr>
              <w:t xml:space="preserve">BRIDS.io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Software, UI/UX, arquitectura Metaplex Core (plugins de freeze y recovery), integraciones técnicas y dashboards de trazabilidad. Monetiza mediante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18"/>
                <w:szCs w:val="18"/>
                <w:rtl w:val="0"/>
              </w:rPr>
              <w:t xml:space="preserve">Processing / Software Fees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(modelo freemium).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Blue Brick Capital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Partner inmobiliario: originación, valuación, desarrollo de obra, administración de rentas y ejecución operativa del activo en el mundo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rtl w:val="0"/>
              </w:rPr>
              <w:t xml:space="preserve">Issuer / SPV Dedicado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Titular jurídico del inmueble, emisor de las participaciones legales, responsable exclusivo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18"/>
                <w:szCs w:val="18"/>
                <w:rtl w:val="0"/>
              </w:rPr>
              <w:t xml:space="preserve">Master Securityholder File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rtl w:val="0"/>
              </w:rPr>
              <w:t xml:space="preserve"> y autorización formal de recuperación de títulos.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8"/>
                <w:szCs w:val="18"/>
                <w:shd w:fill="auto" w:val="clear"/>
                <w:rtl w:val="0"/>
              </w:rPr>
              <w:t xml:space="preserve">Proveedores Externos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8"/>
                <w:szCs w:val="18"/>
                <w:shd w:fill="auto" w:val="clear"/>
                <w:rtl w:val="0"/>
              </w:rPr>
              <w:t xml:space="preserve">Validación de identidad KYC/AML/CIP, procesadores de rampa de entrada fiat (Sphere, Tarjetas, Apple Pay) e infraestructura bancaria.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300" w:lineRule="auto"/>
        <w:jc w:val="center"/>
        <w:rPr>
          <w:rFonts w:ascii="Arial" w:cs="Arial" w:eastAsia="Arial" w:hAnsi="Arial"/>
          <w:color w:val="64748b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64748b"/>
          <w:sz w:val="16"/>
          <w:szCs w:val="16"/>
          <w:rtl w:val="0"/>
        </w:rPr>
        <w:t xml:space="preserve">BRIDS.io es una plataforma de software e infraestructura digital y no actúa como broker-dealer, funding portal ni asesor financiero. | Contacto: https://brids.io</w:t>
      </w:r>
    </w:p>
    <w:sectPr>
      <w:pgSz w:h="15840" w:w="1224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