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90" w:line="300" w:lineRule="auto"/>
        <w:jc w:val="center"/>
        <w:rPr>
          <w:rFonts w:ascii="Arial" w:cs="Arial" w:eastAsia="Arial" w:hAnsi="Arial"/>
          <w:color w:val="0f172a"/>
        </w:rPr>
      </w:pPr>
      <w:r w:rsidDel="00000000" w:rsidR="00000000" w:rsidRPr="00000000">
        <w:rPr>
          <w:rFonts w:ascii="Arial" w:cs="Arial" w:eastAsia="Arial" w:hAnsi="Arial"/>
          <w:color w:val="0f172a"/>
          <w:rtl w:val="0"/>
        </w:rPr>
        <w:t xml:space="preserve">TÉRMINOS Y CONDICIONES DE USO DE LA PLATAFORMA BRIDS.IO (VERSIÓN 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64748b"/>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64748b"/>
          <w:sz w:val="22"/>
          <w:szCs w:val="22"/>
          <w:rtl w:val="0"/>
        </w:rPr>
        <w:t xml:space="preserve">Última actualización:</w:t>
      </w:r>
      <w:r w:rsidDel="00000000" w:rsidR="00000000" w:rsidRPr="00000000">
        <w:rPr>
          <w:rFonts w:ascii="Arial" w:cs="Arial" w:eastAsia="Arial" w:hAnsi="Arial"/>
          <w:color w:val="64748b"/>
          <w:sz w:val="22"/>
          <w:szCs w:val="22"/>
          <w:rtl w:val="0"/>
        </w:rPr>
        <w:t xml:space="preserve"> 20 de agosto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80" w:before="180" w:line="300" w:lineRule="auto"/>
        <w:ind w:left="180" w:right="180" w:firstLine="0"/>
        <w:rPr>
          <w:rFonts w:ascii="Arial" w:cs="Arial" w:eastAsia="Arial" w:hAnsi="Arial"/>
          <w:color w:val="64748b"/>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ind w:left="180" w:right="180" w:firstLine="0"/>
        <w:rPr>
          <w:rFonts w:ascii="Arial" w:cs="Arial" w:eastAsia="Arial" w:hAnsi="Arial"/>
          <w:color w:val="334155"/>
          <w:sz w:val="20"/>
          <w:szCs w:val="20"/>
          <w:shd w:fill="f8fafc" w:val="clear"/>
        </w:rPr>
      </w:pPr>
      <w:r w:rsidDel="00000000" w:rsidR="00000000" w:rsidRPr="00000000">
        <w:rPr>
          <w:rFonts w:ascii="Arial" w:cs="Arial" w:eastAsia="Arial" w:hAnsi="Arial"/>
          <w:b w:val="1"/>
          <w:bCs w:val="1"/>
          <w:color w:val="334155"/>
          <w:sz w:val="20"/>
          <w:szCs w:val="20"/>
          <w:shd w:fill="f8fafc" w:val="clear"/>
          <w:rtl w:val="0"/>
        </w:rPr>
        <w:t xml:space="preserve">AVISO LEGAL IMPORTANTE:</w:t>
      </w:r>
      <w:r w:rsidDel="00000000" w:rsidR="00000000" w:rsidRPr="00000000">
        <w:rPr>
          <w:rFonts w:ascii="Arial" w:cs="Arial" w:eastAsia="Arial" w:hAnsi="Arial"/>
          <w:color w:val="334155"/>
          <w:sz w:val="20"/>
          <w:szCs w:val="20"/>
          <w:shd w:fill="f8fafc" w:val="clear"/>
          <w:rtl w:val="0"/>
        </w:rPr>
        <w:t xml:space="preserve"> BRIDS.IO ES EXCLUSIVAMENTE UN PROVEEDOR DE INFRAESTRUCTURA TECNOLÓGICA Y SOFTWARE. NO ES UN BROKER-DEALER, FUNDING PORTAL, BANCO, CUSTODIO, ASESOR DE INVERSIONES NI PROCESADOR DE TRANSMISIÓN DE DINERO. EL USO DE ESTA PLATAFORMA IMPLICA LA ACEPTACIÓN PLENA Y SIN RESERVAS DE ESTOS TÉRMINOS Y CONDICIONES Y DEL MARCO DE SEPARACIÓN FUNCIONAL DESCRITO EN EL WHITEPAPER INSTITUCIONAL.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369a1"/>
        </w:rPr>
      </w:pPr>
      <w:r w:rsidDel="00000000" w:rsidR="00000000" w:rsidRPr="00000000">
        <w:rPr>
          <w:rFonts w:ascii="Arial" w:cs="Arial" w:eastAsia="Arial" w:hAnsi="Arial"/>
          <w:color w:val="0369a1"/>
          <w:rtl w:val="0"/>
        </w:rPr>
        <w:t xml:space="preserve">1. Ámbito de Aplicación y Naturaleza del Servicio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Los presentes Términos y Condiciones de Uso (los "Términos") rigen el acceso y uso de la plataforma digital, interfaces web, herramientas de conexión Web3 y servicios de software operados bajo el dominio </w:t>
      </w:r>
      <w:r w:rsidDel="00000000" w:rsidR="00000000" w:rsidRPr="00000000">
        <w:rPr>
          <w:rFonts w:ascii="Arial" w:cs="Arial" w:eastAsia="Arial" w:hAnsi="Arial"/>
          <w:b w:val="1"/>
          <w:bCs w:val="1"/>
          <w:color w:val="1e293b"/>
          <w:rtl w:val="0"/>
        </w:rPr>
        <w:t xml:space="preserve">brids.io</w:t>
      </w:r>
      <w:r w:rsidDel="00000000" w:rsidR="00000000" w:rsidRPr="00000000">
        <w:rPr>
          <w:rFonts w:ascii="Arial" w:cs="Arial" w:eastAsia="Arial" w:hAnsi="Arial"/>
          <w:color w:val="1e293b"/>
          <w:rtl w:val="0"/>
        </w:rPr>
        <w:t xml:space="preserve"> (la "Plataforma"), de propiedad de BRIDS.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1e293b"/>
        </w:rPr>
      </w:pPr>
      <w:r w:rsidDel="00000000" w:rsidR="00000000" w:rsidRPr="00000000">
        <w:rPr>
          <w:rFonts w:ascii="Arial" w:cs="Arial" w:eastAsia="Arial" w:hAnsi="Arial"/>
          <w:color w:val="1e293b"/>
          <w:rtl w:val="0"/>
        </w:rPr>
        <w:t xml:space="preserve">Al acceder, navegar o conectar una billetera digital a la Plataforma, el Usuario reconoce y acepta de manera vinculante estos Términos. Si el Usuario no está de acuerdo con cualquier disposición aquí contenida, debe abstenerse de utilizar la Plataforma y sus servicios.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369a1"/>
        </w:rPr>
      </w:pPr>
      <w:r w:rsidDel="00000000" w:rsidR="00000000" w:rsidRPr="00000000">
        <w:rPr>
          <w:rFonts w:ascii="Arial" w:cs="Arial" w:eastAsia="Arial" w:hAnsi="Arial"/>
          <w:color w:val="0369a1"/>
          <w:rtl w:val="0"/>
        </w:rPr>
        <w:t xml:space="preserve">2. Declaración Expresa de No Intermediación Financiera y Rol Tecnológico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De conformidad con las normativas federales y estatales aplicables en los Estados Unidos de América, incluyendo la </w:t>
      </w:r>
      <w:r w:rsidDel="00000000" w:rsidR="00000000" w:rsidRPr="00000000">
        <w:rPr>
          <w:rFonts w:ascii="Arial" w:cs="Arial" w:eastAsia="Arial" w:hAnsi="Arial"/>
          <w:i w:val="1"/>
          <w:iCs w:val="1"/>
          <w:color w:val="1e293b"/>
          <w:rtl w:val="0"/>
        </w:rPr>
        <w:t xml:space="preserve">Securities Act of 1933</w:t>
      </w:r>
      <w:r w:rsidDel="00000000" w:rsidR="00000000" w:rsidRPr="00000000">
        <w:rPr>
          <w:rFonts w:ascii="Arial" w:cs="Arial" w:eastAsia="Arial" w:hAnsi="Arial"/>
          <w:color w:val="1e293b"/>
          <w:rtl w:val="0"/>
        </w:rPr>
        <w:t xml:space="preserve">, la </w:t>
      </w:r>
      <w:r w:rsidDel="00000000" w:rsidR="00000000" w:rsidRPr="00000000">
        <w:rPr>
          <w:rFonts w:ascii="Arial" w:cs="Arial" w:eastAsia="Arial" w:hAnsi="Arial"/>
          <w:i w:val="1"/>
          <w:iCs w:val="1"/>
          <w:color w:val="1e293b"/>
          <w:rtl w:val="0"/>
        </w:rPr>
        <w:t xml:space="preserve">Securities Exchange Act of 1934</w:t>
      </w:r>
      <w:r w:rsidDel="00000000" w:rsidR="00000000" w:rsidRPr="00000000">
        <w:rPr>
          <w:rFonts w:ascii="Arial" w:cs="Arial" w:eastAsia="Arial" w:hAnsi="Arial"/>
          <w:color w:val="1e293b"/>
          <w:rtl w:val="0"/>
        </w:rPr>
        <w:t xml:space="preserve">, la </w:t>
      </w:r>
      <w:r w:rsidDel="00000000" w:rsidR="00000000" w:rsidRPr="00000000">
        <w:rPr>
          <w:rFonts w:ascii="Arial" w:cs="Arial" w:eastAsia="Arial" w:hAnsi="Arial"/>
          <w:i w:val="1"/>
          <w:iCs w:val="1"/>
          <w:color w:val="1e293b"/>
          <w:rtl w:val="0"/>
        </w:rPr>
        <w:t xml:space="preserve">Investment Advisers Act of 1940</w:t>
      </w:r>
      <w:r w:rsidDel="00000000" w:rsidR="00000000" w:rsidRPr="00000000">
        <w:rPr>
          <w:rFonts w:ascii="Arial" w:cs="Arial" w:eastAsia="Arial" w:hAnsi="Arial"/>
          <w:color w:val="1e293b"/>
          <w:rtl w:val="0"/>
        </w:rPr>
        <w:t xml:space="preserve"> y las regulaciones de </w:t>
      </w:r>
      <w:r w:rsidDel="00000000" w:rsidR="00000000" w:rsidRPr="00000000">
        <w:rPr>
          <w:rFonts w:ascii="Arial" w:cs="Arial" w:eastAsia="Arial" w:hAnsi="Arial"/>
          <w:i w:val="1"/>
          <w:iCs w:val="1"/>
          <w:color w:val="1e293b"/>
          <w:rtl w:val="0"/>
        </w:rPr>
        <w:t xml:space="preserve">FinCEN</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No Broker-Dealer ni Funding Portal:</w:t>
      </w:r>
      <w:r w:rsidDel="00000000" w:rsidR="00000000" w:rsidRPr="00000000">
        <w:rPr>
          <w:rFonts w:ascii="Arial" w:cs="Arial" w:eastAsia="Arial" w:hAnsi="Arial"/>
          <w:color w:val="1e293b"/>
          <w:rtl w:val="0"/>
        </w:rPr>
        <w:t xml:space="preserve"> BRIDS no actúa como agente de intermediación, corredor de valores, casa de bolsa ni portal de financiación colectiva registrado bajo Regulation Crowdfunding. BRIDS no ofrece, promociona, vende ni estructura valores por cuenta propia.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No Asesoría Financiera ni Fiduciaria:</w:t>
      </w:r>
      <w:r w:rsidDel="00000000" w:rsidR="00000000" w:rsidRPr="00000000">
        <w:rPr>
          <w:rFonts w:ascii="Arial" w:cs="Arial" w:eastAsia="Arial" w:hAnsi="Arial"/>
          <w:color w:val="1e293b"/>
          <w:rtl w:val="0"/>
        </w:rPr>
        <w:t xml:space="preserve"> La información contenida en la Plataforma tiene fines exclusivamente informativos y técnicos. Nada en la Plataforma constituye una recomendación personalizada, asesoría de inversión, oferta pública o privada, ni solicitud de compraventa de valores.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No Custodia ni Transmisión de Fondos:</w:t>
      </w:r>
      <w:r w:rsidDel="00000000" w:rsidR="00000000" w:rsidRPr="00000000">
        <w:rPr>
          <w:rFonts w:ascii="Arial" w:cs="Arial" w:eastAsia="Arial" w:hAnsi="Arial"/>
          <w:color w:val="1e293b"/>
          <w:rtl w:val="0"/>
        </w:rPr>
        <w:t xml:space="preserve"> BRIDS no recibe, custodia, mantiene ni transmite fondos de los usuarios ni en moneda fiduciaria ni en activos virtuales convertibles (CVC).</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369a1"/>
        </w:rPr>
      </w:pPr>
      <w:r w:rsidDel="00000000" w:rsidR="00000000" w:rsidRPr="00000000">
        <w:rPr>
          <w:rFonts w:ascii="Arial" w:cs="Arial" w:eastAsia="Arial" w:hAnsi="Arial"/>
          <w:color w:val="0369a1"/>
          <w:rtl w:val="0"/>
        </w:rPr>
        <w:t xml:space="preserve">3. Estructura de Ecosistema y Separación de Responsabilidades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1e293b"/>
        </w:rPr>
      </w:pPr>
      <w:r w:rsidDel="00000000" w:rsidR="00000000" w:rsidRPr="00000000">
        <w:rPr>
          <w:rFonts w:ascii="Arial" w:cs="Arial" w:eastAsia="Arial" w:hAnsi="Arial"/>
          <w:color w:val="1e293b"/>
          <w:rtl w:val="0"/>
        </w:rPr>
        <w:t xml:space="preserve">El funcionamiento de las oportunidades publicadas a través de la Plataforma se basa en una estricta separación jurídica y operativa entre los siguientes actores:</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5f9"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f172a"/>
                <w:sz w:val="20"/>
                <w:szCs w:val="20"/>
                <w:shd w:fill="auto" w:val="clear"/>
              </w:rPr>
            </w:pPr>
            <w:r w:rsidDel="00000000" w:rsidR="00000000" w:rsidRPr="00000000">
              <w:rPr>
                <w:rFonts w:ascii="Arial" w:cs="Arial" w:eastAsia="Arial" w:hAnsi="Arial"/>
                <w:color w:val="0f172a"/>
                <w:sz w:val="20"/>
                <w:szCs w:val="20"/>
                <w:shd w:fill="auto" w:val="clear"/>
                <w:rtl w:val="0"/>
              </w:rPr>
              <w:t xml:space="preserve">Entidad / Rol</w:t>
            </w:r>
          </w:p>
        </w:tc>
        <w:tc>
          <w:tcPr>
            <w:shd w:fill="f1f5f9"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f172a"/>
                <w:sz w:val="20"/>
                <w:szCs w:val="20"/>
                <w:shd w:fill="auto" w:val="clear"/>
              </w:rPr>
            </w:pPr>
            <w:r w:rsidDel="00000000" w:rsidR="00000000" w:rsidRPr="00000000">
              <w:rPr>
                <w:rFonts w:ascii="Arial" w:cs="Arial" w:eastAsia="Arial" w:hAnsi="Arial"/>
                <w:color w:val="0f172a"/>
                <w:sz w:val="20"/>
                <w:szCs w:val="20"/>
                <w:shd w:fill="auto" w:val="clear"/>
                <w:rtl w:val="0"/>
              </w:rPr>
              <w:t xml:space="preserve">Alcance Exclusivo de Responsabilidad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e293b"/>
                <w:sz w:val="20"/>
                <w:szCs w:val="20"/>
              </w:rPr>
            </w:pPr>
            <w:r w:rsidDel="00000000" w:rsidR="00000000" w:rsidRPr="00000000">
              <w:rPr>
                <w:rFonts w:ascii="Arial" w:cs="Arial" w:eastAsia="Arial" w:hAnsi="Arial"/>
                <w:color w:val="1e293b"/>
                <w:sz w:val="20"/>
                <w:szCs w:val="20"/>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369a1"/>
                <w:sz w:val="20"/>
                <w:szCs w:val="20"/>
              </w:rPr>
            </w:pPr>
            <w:r w:rsidDel="00000000" w:rsidR="00000000" w:rsidRPr="00000000">
              <w:rPr>
                <w:rFonts w:ascii="Arial" w:cs="Arial" w:eastAsia="Arial" w:hAnsi="Arial"/>
                <w:b w:val="1"/>
                <w:bCs w:val="1"/>
                <w:color w:val="0369a1"/>
                <w:sz w:val="20"/>
                <w:szCs w:val="20"/>
                <w:rtl w:val="0"/>
              </w:rPr>
              <w:t xml:space="preserve">BRIDS</w:t>
            </w:r>
          </w:p>
        </w:tc>
        <w:tc>
          <w:tcPr>
            <w:shd w:fill="auto" w:val="clear"/>
            <w:tcMar>
              <w:top w:w="120.0" w:type="dxa"/>
              <w:left w:w="150.0" w:type="dxa"/>
              <w:bottom w:w="12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e293b"/>
                <w:sz w:val="20"/>
                <w:szCs w:val="20"/>
              </w:rPr>
            </w:pPr>
            <w:r w:rsidDel="00000000" w:rsidR="00000000" w:rsidRPr="00000000">
              <w:rPr>
                <w:rFonts w:ascii="Arial" w:cs="Arial" w:eastAsia="Arial" w:hAnsi="Arial"/>
                <w:color w:val="1e293b"/>
                <w:sz w:val="20"/>
                <w:szCs w:val="20"/>
                <w:rtl w:val="0"/>
              </w:rPr>
              <w:t xml:space="preserve">Desarrollo y mantenimiento de software, UI/UX, arquitectura de contratos/plugins en Metaplex Core sobre Solana y dashboards de seguimiento operativo.</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369a1"/>
                <w:sz w:val="20"/>
                <w:szCs w:val="20"/>
                <w:shd w:fill="auto" w:val="clear"/>
              </w:rPr>
            </w:pPr>
            <w:r w:rsidDel="00000000" w:rsidR="00000000" w:rsidRPr="00000000">
              <w:rPr>
                <w:rFonts w:ascii="Arial" w:cs="Arial" w:eastAsia="Arial" w:hAnsi="Arial"/>
                <w:b w:val="1"/>
                <w:bCs w:val="1"/>
                <w:color w:val="0369a1"/>
                <w:sz w:val="20"/>
                <w:szCs w:val="20"/>
                <w:shd w:fill="auto" w:val="clear"/>
                <w:rtl w:val="0"/>
              </w:rPr>
              <w:t xml:space="preserve">Partner Inmobiliario (Blue Brick Capital)</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e293b"/>
                <w:sz w:val="20"/>
                <w:szCs w:val="20"/>
                <w:shd w:fill="auto" w:val="clear"/>
              </w:rPr>
            </w:pPr>
            <w:r w:rsidDel="00000000" w:rsidR="00000000" w:rsidRPr="00000000">
              <w:rPr>
                <w:rFonts w:ascii="Arial" w:cs="Arial" w:eastAsia="Arial" w:hAnsi="Arial"/>
                <w:color w:val="1e293b"/>
                <w:sz w:val="20"/>
                <w:szCs w:val="20"/>
                <w:shd w:fill="auto" w:val="clear"/>
                <w:rtl w:val="0"/>
              </w:rPr>
              <w:t xml:space="preserve">Originación, evaluación inmobiliaria, ejecución técnica, remodelación, operación, gestión de arrendamientos y desarrollo físico de los inmuebles.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369a1"/>
                <w:sz w:val="20"/>
                <w:szCs w:val="20"/>
              </w:rPr>
            </w:pPr>
            <w:r w:rsidDel="00000000" w:rsidR="00000000" w:rsidRPr="00000000">
              <w:rPr>
                <w:rFonts w:ascii="Arial" w:cs="Arial" w:eastAsia="Arial" w:hAnsi="Arial"/>
                <w:b w:val="1"/>
                <w:bCs w:val="1"/>
                <w:color w:val="0369a1"/>
                <w:sz w:val="20"/>
                <w:szCs w:val="20"/>
                <w:rtl w:val="0"/>
              </w:rPr>
              <w:t xml:space="preserve">Emisor / SPV Dedicado</w:t>
            </w:r>
          </w:p>
        </w:tc>
        <w:tc>
          <w:tcPr>
            <w:shd w:fill="auto" w:val="clear"/>
            <w:tcMar>
              <w:top w:w="120.0" w:type="dxa"/>
              <w:left w:w="150.0" w:type="dxa"/>
              <w:bottom w:w="12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e293b"/>
                <w:sz w:val="20"/>
                <w:szCs w:val="20"/>
              </w:rPr>
            </w:pPr>
            <w:r w:rsidDel="00000000" w:rsidR="00000000" w:rsidRPr="00000000">
              <w:rPr>
                <w:rFonts w:ascii="Arial" w:cs="Arial" w:eastAsia="Arial" w:hAnsi="Arial"/>
                <w:color w:val="1e293b"/>
                <w:sz w:val="20"/>
                <w:szCs w:val="20"/>
                <w:rtl w:val="0"/>
              </w:rPr>
              <w:t xml:space="preserve">Sociedad de Propósito Especial (Special Purpose Vehicle) propietaria del inmueble, emisora de derechos legales y responsable exclusiva del registro oficial de tenedores.</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369a1"/>
                <w:sz w:val="20"/>
                <w:szCs w:val="20"/>
                <w:shd w:fill="auto" w:val="clear"/>
              </w:rPr>
            </w:pPr>
            <w:r w:rsidDel="00000000" w:rsidR="00000000" w:rsidRPr="00000000">
              <w:rPr>
                <w:rFonts w:ascii="Arial" w:cs="Arial" w:eastAsia="Arial" w:hAnsi="Arial"/>
                <w:b w:val="1"/>
                <w:bCs w:val="1"/>
                <w:color w:val="0369a1"/>
                <w:sz w:val="20"/>
                <w:szCs w:val="20"/>
                <w:shd w:fill="auto" w:val="clear"/>
                <w:rtl w:val="0"/>
              </w:rPr>
              <w:t xml:space="preserve">Proveedores de Verificación &amp; Rails Externos</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e293b"/>
                <w:sz w:val="20"/>
                <w:szCs w:val="20"/>
                <w:shd w:fill="auto" w:val="clear"/>
              </w:rPr>
            </w:pPr>
            <w:r w:rsidDel="00000000" w:rsidR="00000000" w:rsidRPr="00000000">
              <w:rPr>
                <w:rFonts w:ascii="Arial" w:cs="Arial" w:eastAsia="Arial" w:hAnsi="Arial"/>
                <w:color w:val="1e293b"/>
                <w:sz w:val="20"/>
                <w:szCs w:val="20"/>
                <w:shd w:fill="auto" w:val="clear"/>
                <w:rtl w:val="0"/>
              </w:rPr>
              <w:t xml:space="preserve">Terceros regulados encargados de los procesos de verificación de identidad (KYC/AML), pasarelas fiat, on-ramp (Sphere) y procesamiento de pagos.</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369a1"/>
        </w:rPr>
      </w:pPr>
      <w:r w:rsidDel="00000000" w:rsidR="00000000" w:rsidRPr="00000000">
        <w:rPr>
          <w:rFonts w:ascii="Arial" w:cs="Arial" w:eastAsia="Arial" w:hAnsi="Arial"/>
          <w:color w:val="0369a1"/>
          <w:rtl w:val="0"/>
        </w:rPr>
        <w:t xml:space="preserve">4. Naturaleza de los Tokens y Registro Legal Autoritativo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Los tokens no fungibles (NFTs) emitidos dentro del ecosistema en la red de Solana mediante el estándar </w:t>
      </w:r>
      <w:r w:rsidDel="00000000" w:rsidR="00000000" w:rsidRPr="00000000">
        <w:rPr>
          <w:rFonts w:ascii="Arial" w:cs="Arial" w:eastAsia="Arial" w:hAnsi="Arial"/>
          <w:b w:val="1"/>
          <w:bCs w:val="1"/>
          <w:color w:val="1e293b"/>
          <w:rtl w:val="0"/>
        </w:rPr>
        <w:t xml:space="preserve">Metaplex Core</w:t>
      </w:r>
      <w:r w:rsidDel="00000000" w:rsidR="00000000" w:rsidRPr="00000000">
        <w:rPr>
          <w:rFonts w:ascii="Arial" w:cs="Arial" w:eastAsia="Arial" w:hAnsi="Arial"/>
          <w:color w:val="1e293b"/>
          <w:rtl w:val="0"/>
        </w:rPr>
        <w:t xml:space="preserve"> cumplen las siguientes condiciones expresas: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Representación Digital y Señal de Trazabilidad:</w:t>
      </w:r>
      <w:r w:rsidDel="00000000" w:rsidR="00000000" w:rsidRPr="00000000">
        <w:rPr>
          <w:rFonts w:ascii="Arial" w:cs="Arial" w:eastAsia="Arial" w:hAnsi="Arial"/>
          <w:color w:val="1e293b"/>
          <w:rtl w:val="0"/>
        </w:rPr>
        <w:t xml:space="preserve"> Los NFTs constituyen herramientas tecnológicas de visualización de posiciones, acreditación digital y trazabilidad operativa dentro de la Plataforma.</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No Sustitución del Registro Legal:</w:t>
      </w:r>
      <w:r w:rsidDel="00000000" w:rsidR="00000000" w:rsidRPr="00000000">
        <w:rPr>
          <w:rFonts w:ascii="Arial" w:cs="Arial" w:eastAsia="Arial" w:hAnsi="Arial"/>
          <w:color w:val="1e293b"/>
          <w:rtl w:val="0"/>
        </w:rPr>
        <w:t xml:space="preserve"> Conforme a las directrices de la Securities and Exchange Commission (SEC) sobre valores tokenizados, la posesión técnica o transferencia de un NFT en la red blockchain no constituye por sí misma la titularidad legal definitiva de derechos sociales o patrimoniales.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Master Securityholder File:</w:t>
      </w:r>
      <w:r w:rsidDel="00000000" w:rsidR="00000000" w:rsidRPr="00000000">
        <w:rPr>
          <w:rFonts w:ascii="Arial" w:cs="Arial" w:eastAsia="Arial" w:hAnsi="Arial"/>
          <w:color w:val="1e293b"/>
          <w:rtl w:val="0"/>
        </w:rPr>
        <w:t xml:space="preserve"> La condición de socio o tenedor legal depende exclusivamente de la admisión formal por parte del SPV y de la inscripción en el libro legal de socios (</w:t>
      </w:r>
      <w:r w:rsidDel="00000000" w:rsidR="00000000" w:rsidRPr="00000000">
        <w:rPr>
          <w:rFonts w:ascii="Arial" w:cs="Arial" w:eastAsia="Arial" w:hAnsi="Arial"/>
          <w:i w:val="1"/>
          <w:iCs w:val="1"/>
          <w:color w:val="1e293b"/>
          <w:rtl w:val="0"/>
        </w:rPr>
        <w:t xml:space="preserve">Master Securityholder File</w:t>
      </w:r>
      <w:r w:rsidDel="00000000" w:rsidR="00000000" w:rsidRPr="00000000">
        <w:rPr>
          <w:rFonts w:ascii="Arial" w:cs="Arial" w:eastAsia="Arial" w:hAnsi="Arial"/>
          <w:color w:val="1e293b"/>
          <w:rtl w:val="0"/>
        </w:rPr>
        <w:t xml:space="preserve">) mantenido por el emisor o su agente autorizado. Las transacciones técnicas en la Plataforma operan como notificación operativa para que el SPV actualice dicho registro legal.</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369a1"/>
        </w:rPr>
      </w:pPr>
      <w:r w:rsidDel="00000000" w:rsidR="00000000" w:rsidRPr="00000000">
        <w:rPr>
          <w:rFonts w:ascii="Arial" w:cs="Arial" w:eastAsia="Arial" w:hAnsi="Arial"/>
          <w:color w:val="0369a1"/>
          <w:rtl w:val="0"/>
        </w:rPr>
        <w:t xml:space="preserve">5. Arquitectura Metaplex Core: Freeze Plugin, Recuperación y Corrección de Wallets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Dada la naturaleza de los activos del mundo real (RWA) y para garantizar la debida concordancia entre el registro legal y la infraestructura blockchain, los activos emitidos implementan plugins especializados de Metaplex Core bajo las siguientes reglas: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Plugin de Congelamiento (Freeze Plugin):</w:t>
      </w:r>
      <w:r w:rsidDel="00000000" w:rsidR="00000000" w:rsidRPr="00000000">
        <w:rPr>
          <w:rFonts w:ascii="Arial" w:cs="Arial" w:eastAsia="Arial" w:hAnsi="Arial"/>
          <w:color w:val="1e293b"/>
          <w:rtl w:val="0"/>
        </w:rPr>
        <w:t xml:space="preserve"> La autoridad designada por el emisor/SPV o los contratos programáticos de la plataforma podrán ejecutar el congelamiento temporal de transferencias de un NFT en los siguientes casos: (i) periodos de bloqueo estatutario o lock-up del proyecto, (ii) requerimientos de autoridades judiciales o administrativas competentes, (iii) reporte fundamentado de hackeo o compromiso de seguridad de la billetera del titular, o (iv) procesos en curso de verificación de identidad para reasignación de títulos.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Pérdida de Llaves Privadas o Billetera Comprometida (Wallet Recovery):</w:t>
      </w:r>
      <w:r w:rsidDel="00000000" w:rsidR="00000000" w:rsidRPr="00000000">
        <w:rPr>
          <w:rFonts w:ascii="Arial" w:cs="Arial" w:eastAsia="Arial" w:hAnsi="Arial"/>
          <w:color w:val="1e293b"/>
          <w:rtl w:val="0"/>
        </w:rPr>
        <w:t xml:space="preserve"> En caso de que un Usuario pierda el acceso a su billetera digital o sufra un compromiso de seguridad, la posesión física de la llave privada no extingue sus derechos legales reconocidos ante el SPV. El Usuario podrá solicitar la reemisión o transferencia técnica de su representación digital a una nueva billetera, sujeto a los plazos perentorios del numeral 5.1.</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Corrección de Dirección de Destino:</w:t>
      </w:r>
      <w:r w:rsidDel="00000000" w:rsidR="00000000" w:rsidRPr="00000000">
        <w:rPr>
          <w:rFonts w:ascii="Arial" w:cs="Arial" w:eastAsia="Arial" w:hAnsi="Arial"/>
          <w:color w:val="1e293b"/>
          <w:rtl w:val="0"/>
        </w:rPr>
        <w:t xml:space="preserve"> Si el Usuario suministró erróneamente una dirección de destino o requiere actualizar su wallet de recepción, podrá solicitar la corrección correspondiente previo cumplimiento del protocolo de validación y antes de los cortes operativos de distribución.</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Protocolo Estricto de Verificación de Identidad:</w:t>
      </w:r>
      <w:r w:rsidDel="00000000" w:rsidR="00000000" w:rsidRPr="00000000">
        <w:rPr>
          <w:rFonts w:ascii="Arial" w:cs="Arial" w:eastAsia="Arial" w:hAnsi="Arial"/>
          <w:color w:val="1e293b"/>
          <w:rtl w:val="0"/>
        </w:rPr>
        <w:t xml:space="preserve"> Ninguna solicitud de congelamiento, reasignación, quema/reemisión o transferencia de recuperación será ejecutada sin que el Usuario complete satisfactoriamente: (i) una nueva verificación de identidad biométrica/documental (KYC) operada por el proveedor externo autorizado, (ii) la acreditación plena de correspondencia con los datos inscritos en el </w:t>
      </w:r>
      <w:r w:rsidDel="00000000" w:rsidR="00000000" w:rsidRPr="00000000">
        <w:rPr>
          <w:rFonts w:ascii="Arial" w:cs="Arial" w:eastAsia="Arial" w:hAnsi="Arial"/>
          <w:i w:val="1"/>
          <w:iCs w:val="1"/>
          <w:color w:val="1e293b"/>
          <w:rtl w:val="0"/>
        </w:rPr>
        <w:t xml:space="preserve">Master Securityholder File</w:t>
      </w:r>
      <w:r w:rsidDel="00000000" w:rsidR="00000000" w:rsidRPr="00000000">
        <w:rPr>
          <w:rFonts w:ascii="Arial" w:cs="Arial" w:eastAsia="Arial" w:hAnsi="Arial"/>
          <w:color w:val="1e293b"/>
          <w:rtl w:val="0"/>
        </w:rPr>
        <w:t xml:space="preserve"> del SPV, y (iii) la autorización formal del Administrador del SPV.</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b91c1c"/>
        </w:rPr>
      </w:pPr>
      <w:r w:rsidDel="00000000" w:rsidR="00000000" w:rsidRPr="00000000">
        <w:rPr>
          <w:rFonts w:ascii="Arial" w:cs="Arial" w:eastAsia="Arial" w:hAnsi="Arial"/>
          <w:color w:val="b91c1c"/>
          <w:rtl w:val="0"/>
        </w:rPr>
        <w:t xml:space="preserve">5.1. Carga Oportuna de Notificación, Fecha de Corte y Exclusión Total de Reclamos Post-Distribución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Arial" w:cs="Arial" w:eastAsia="Arial" w:hAnsi="Arial"/>
          <w:color w:val="b91c1c"/>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300" w:lineRule="auto"/>
        <w:ind w:left="180" w:right="180" w:firstLine="0"/>
        <w:rPr>
          <w:rFonts w:ascii="Arial" w:cs="Arial" w:eastAsia="Arial" w:hAnsi="Arial"/>
          <w:b w:val="1"/>
          <w:bCs w:val="1"/>
          <w:color w:val="881337"/>
          <w:sz w:val="20"/>
          <w:szCs w:val="20"/>
          <w:shd w:fill="fff1f2" w:val="clear"/>
        </w:rPr>
      </w:pPr>
      <w:r w:rsidDel="00000000" w:rsidR="00000000" w:rsidRPr="00000000">
        <w:rPr>
          <w:rFonts w:ascii="Arial" w:cs="Arial" w:eastAsia="Arial" w:hAnsi="Arial"/>
          <w:b w:val="1"/>
          <w:bCs w:val="1"/>
          <w:color w:val="881337"/>
          <w:sz w:val="20"/>
          <w:szCs w:val="20"/>
          <w:shd w:fill="fff1f2" w:val="clear"/>
          <w:rtl w:val="0"/>
        </w:rPr>
        <w:t xml:space="preserve">RESPONSABILIDAD EXCLUSIVA DEL USUARIO Y FECHA LÍMITE DE REPORTE: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line="300" w:lineRule="auto"/>
        <w:ind w:left="480" w:right="180" w:hanging="360"/>
      </w:pPr>
      <w:r w:rsidDel="00000000" w:rsidR="00000000" w:rsidRPr="00000000">
        <w:rPr>
          <w:rFonts w:ascii="Arial" w:cs="Arial" w:eastAsia="Arial" w:hAnsi="Arial"/>
          <w:b w:val="1"/>
          <w:bCs w:val="1"/>
          <w:color w:val="9f1239"/>
          <w:sz w:val="18"/>
          <w:szCs w:val="18"/>
          <w:shd w:fill="fff1f2" w:val="clear"/>
          <w:rtl w:val="0"/>
        </w:rPr>
        <w:t xml:space="preserve">Obligación de Notificación Previa:</w:t>
      </w:r>
      <w:r w:rsidDel="00000000" w:rsidR="00000000" w:rsidRPr="00000000">
        <w:rPr>
          <w:rFonts w:ascii="Arial" w:cs="Arial" w:eastAsia="Arial" w:hAnsi="Arial"/>
          <w:color w:val="9f1239"/>
          <w:sz w:val="18"/>
          <w:szCs w:val="18"/>
          <w:shd w:fill="fff1f2" w:val="clear"/>
          <w:rtl w:val="0"/>
        </w:rPr>
        <w:t xml:space="preserve"> Es responsabilidad única, exclusiva e indelegable del Usuario notificar a BRIDS y al SPV cualquier pérdida de acceso, extravío de claves privadas, sustracción, hackeo o error en la dirección de su billetera </w:t>
      </w:r>
      <w:r w:rsidDel="00000000" w:rsidR="00000000" w:rsidRPr="00000000">
        <w:rPr>
          <w:rFonts w:ascii="Arial" w:cs="Arial" w:eastAsia="Arial" w:hAnsi="Arial"/>
          <w:b w:val="1"/>
          <w:bCs w:val="1"/>
          <w:color w:val="9f1239"/>
          <w:sz w:val="18"/>
          <w:szCs w:val="18"/>
          <w:shd w:fill="fff1f2" w:val="clear"/>
          <w:rtl w:val="0"/>
        </w:rPr>
        <w:t xml:space="preserve">con anterioridad a la fecha y hora programada para la ejecución de la dispersión de fondos</w:t>
      </w:r>
      <w:r w:rsidDel="00000000" w:rsidR="00000000" w:rsidRPr="00000000">
        <w:rPr>
          <w:rFonts w:ascii="Arial" w:cs="Arial" w:eastAsia="Arial" w:hAnsi="Arial"/>
          <w:color w:val="9f1239"/>
          <w:sz w:val="18"/>
          <w:szCs w:val="18"/>
          <w:shd w:fill="fff1f2" w:val="clear"/>
          <w:rtl w:val="0"/>
        </w:rPr>
        <w:t xml:space="preserve"> (rentas periódicas, liquidaciones o dividendos).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300" w:lineRule="auto"/>
        <w:ind w:left="480" w:right="180" w:hanging="360"/>
      </w:pPr>
      <w:r w:rsidDel="00000000" w:rsidR="00000000" w:rsidRPr="00000000">
        <w:rPr>
          <w:rFonts w:ascii="Arial" w:cs="Arial" w:eastAsia="Arial" w:hAnsi="Arial"/>
          <w:b w:val="1"/>
          <w:bCs w:val="1"/>
          <w:color w:val="9f1239"/>
          <w:sz w:val="18"/>
          <w:szCs w:val="18"/>
          <w:shd w:fill="fff1f2" w:val="clear"/>
          <w:rtl w:val="0"/>
        </w:rPr>
        <w:t xml:space="preserve">Snapshot On-Chain y Ejecución Automática:</w:t>
      </w:r>
      <w:r w:rsidDel="00000000" w:rsidR="00000000" w:rsidRPr="00000000">
        <w:rPr>
          <w:rFonts w:ascii="Arial" w:cs="Arial" w:eastAsia="Arial" w:hAnsi="Arial"/>
          <w:color w:val="9f1239"/>
          <w:sz w:val="18"/>
          <w:szCs w:val="18"/>
          <w:shd w:fill="fff1f2" w:val="clear"/>
          <w:rtl w:val="0"/>
        </w:rPr>
        <w:t xml:space="preserve"> Las dispersiones ejecutadas a través de la bóveda multifirma de Squads se realizan de manera programática a las direcciones públicas vinculadas activamente a los NFTs al momento de la fecha de corte (</w:t>
      </w:r>
      <w:r w:rsidDel="00000000" w:rsidR="00000000" w:rsidRPr="00000000">
        <w:rPr>
          <w:rFonts w:ascii="Arial" w:cs="Arial" w:eastAsia="Arial" w:hAnsi="Arial"/>
          <w:i w:val="1"/>
          <w:iCs w:val="1"/>
          <w:color w:val="9f1239"/>
          <w:sz w:val="18"/>
          <w:szCs w:val="18"/>
          <w:shd w:fill="fff1f2" w:val="clear"/>
          <w:rtl w:val="0"/>
        </w:rPr>
        <w:t xml:space="preserve">Snapshot Date</w:t>
      </w:r>
      <w:r w:rsidDel="00000000" w:rsidR="00000000" w:rsidRPr="00000000">
        <w:rPr>
          <w:rFonts w:ascii="Arial" w:cs="Arial" w:eastAsia="Arial" w:hAnsi="Arial"/>
          <w:color w:val="9f1239"/>
          <w:sz w:val="18"/>
          <w:szCs w:val="18"/>
          <w:shd w:fill="fff1f2" w:val="clear"/>
          <w:rtl w:val="0"/>
        </w:rPr>
        <w:t xml:space="preserv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00" w:lineRule="auto"/>
        <w:ind w:left="480" w:right="180" w:hanging="360"/>
      </w:pPr>
      <w:r w:rsidDel="00000000" w:rsidR="00000000" w:rsidRPr="00000000">
        <w:rPr>
          <w:rFonts w:ascii="Arial" w:cs="Arial" w:eastAsia="Arial" w:hAnsi="Arial"/>
          <w:b w:val="1"/>
          <w:bCs w:val="1"/>
          <w:color w:val="9f1239"/>
          <w:sz w:val="18"/>
          <w:szCs w:val="18"/>
          <w:shd w:fill="fff1f2" w:val="clear"/>
          <w:rtl w:val="0"/>
        </w:rPr>
        <w:t xml:space="preserve">Inadmisibilidad Absoluta de Reclamos Posteriores (Finalidad de Pago):</w:t>
      </w:r>
      <w:r w:rsidDel="00000000" w:rsidR="00000000" w:rsidRPr="00000000">
        <w:rPr>
          <w:rFonts w:ascii="Arial" w:cs="Arial" w:eastAsia="Arial" w:hAnsi="Arial"/>
          <w:color w:val="9f1239"/>
          <w:sz w:val="18"/>
          <w:szCs w:val="18"/>
          <w:shd w:fill="fff1f2" w:val="clear"/>
          <w:rtl w:val="0"/>
        </w:rPr>
        <w:t xml:space="preserve"> </w:t>
      </w:r>
      <w:r w:rsidDel="00000000" w:rsidR="00000000" w:rsidRPr="00000000">
        <w:rPr>
          <w:rFonts w:ascii="Arial" w:cs="Arial" w:eastAsia="Arial" w:hAnsi="Arial"/>
          <w:color w:val="9f1239"/>
          <w:sz w:val="18"/>
          <w:szCs w:val="18"/>
          <w:u w:val="single"/>
          <w:shd w:fill="fff1f2" w:val="clear"/>
          <w:rtl w:val="0"/>
        </w:rPr>
        <w:t xml:space="preserve">Una vez que una transacción de distribución ha sido procesada, confirmada y dispersada en la red de Solana a la dirección registrada, el pago se considerará legal y contractualmente perfecto, liberatorio y definitivo.</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00" w:lineRule="auto"/>
        <w:ind w:left="480" w:right="180" w:hanging="360"/>
      </w:pPr>
      <w:r w:rsidDel="00000000" w:rsidR="00000000" w:rsidRPr="00000000">
        <w:rPr>
          <w:rFonts w:ascii="Arial" w:cs="Arial" w:eastAsia="Arial" w:hAnsi="Arial"/>
          <w:b w:val="1"/>
          <w:bCs w:val="1"/>
          <w:color w:val="9f1239"/>
          <w:sz w:val="18"/>
          <w:szCs w:val="18"/>
          <w:shd w:fill="fff1f2" w:val="clear"/>
          <w:rtl w:val="0"/>
        </w:rPr>
        <w:t xml:space="preserve">Exoneración de Responsabilidad:</w:t>
      </w:r>
      <w:r w:rsidDel="00000000" w:rsidR="00000000" w:rsidRPr="00000000">
        <w:rPr>
          <w:rFonts w:ascii="Arial" w:cs="Arial" w:eastAsia="Arial" w:hAnsi="Arial"/>
          <w:color w:val="9f1239"/>
          <w:sz w:val="18"/>
          <w:szCs w:val="18"/>
          <w:shd w:fill="fff1f2" w:val="clear"/>
          <w:rtl w:val="0"/>
        </w:rPr>
        <w:t xml:space="preserve"> Ni BRIDS, ni el SPV, ni Blue Brick Capital, ni el equipo técnico asumirán responsabilidad alguna ni estarán obligados a reponer, compensar, reemitir o reembolsar fondos dispersados a una billetera extraviada, comprometida o errónea si la notificación y verificación no fue completada formalmente antes de dicha distribución. </w:t>
      </w:r>
      <w:r w:rsidDel="00000000" w:rsidR="00000000" w:rsidRPr="00000000">
        <w:rPr>
          <w:rFonts w:ascii="Arial" w:cs="Arial" w:eastAsia="Arial" w:hAnsi="Arial"/>
          <w:b w:val="1"/>
          <w:bCs w:val="1"/>
          <w:color w:val="9f1239"/>
          <w:sz w:val="18"/>
          <w:szCs w:val="18"/>
          <w:shd w:fill="fff1f2" w:val="clear"/>
          <w:rtl w:val="0"/>
        </w:rPr>
        <w:t xml:space="preserve">No habrá lugar a reclamo alguno con posterioridad a la ejecución de la dispersión en blockchain.</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369a1"/>
        </w:rPr>
      </w:pPr>
      <w:r w:rsidDel="00000000" w:rsidR="00000000" w:rsidRPr="00000000">
        <w:rPr>
          <w:rFonts w:ascii="Arial" w:cs="Arial" w:eastAsia="Arial" w:hAnsi="Arial"/>
          <w:color w:val="0369a1"/>
          <w:rtl w:val="0"/>
        </w:rPr>
        <w:t xml:space="preserve">6. Tarifas Tecnológicas y de Procesamiento (Processing &amp; Infrastructure Fees)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La Plataforma opera bajo un modelo </w:t>
      </w:r>
      <w:r w:rsidDel="00000000" w:rsidR="00000000" w:rsidRPr="00000000">
        <w:rPr>
          <w:rFonts w:ascii="Arial" w:cs="Arial" w:eastAsia="Arial" w:hAnsi="Arial"/>
          <w:i w:val="1"/>
          <w:iCs w:val="1"/>
          <w:color w:val="1e293b"/>
          <w:rtl w:val="0"/>
        </w:rPr>
        <w:t xml:space="preserve">freemium</w:t>
      </w:r>
      <w:r w:rsidDel="00000000" w:rsidR="00000000" w:rsidRPr="00000000">
        <w:rPr>
          <w:rFonts w:ascii="Arial" w:cs="Arial" w:eastAsia="Arial" w:hAnsi="Arial"/>
          <w:color w:val="1e293b"/>
          <w:rtl w:val="0"/>
        </w:rPr>
        <w:t xml:space="preserve"> y percibe ingresos derivados del acceso y uso de su infraestructura de software: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Naturaleza de la Tarifa:</w:t>
      </w:r>
      <w:r w:rsidDel="00000000" w:rsidR="00000000" w:rsidRPr="00000000">
        <w:rPr>
          <w:rFonts w:ascii="Arial" w:cs="Arial" w:eastAsia="Arial" w:hAnsi="Arial"/>
          <w:color w:val="1e293b"/>
          <w:rtl w:val="0"/>
        </w:rPr>
        <w:t xml:space="preserve"> Las tarifas aplicadas por transacción (</w:t>
      </w:r>
      <w:r w:rsidDel="00000000" w:rsidR="00000000" w:rsidRPr="00000000">
        <w:rPr>
          <w:rFonts w:ascii="Arial" w:cs="Arial" w:eastAsia="Arial" w:hAnsi="Arial"/>
          <w:i w:val="1"/>
          <w:iCs w:val="1"/>
          <w:color w:val="1e293b"/>
          <w:rtl w:val="0"/>
        </w:rPr>
        <w:t xml:space="preserve">Processing Fee / Platform Fee</w:t>
      </w:r>
      <w:r w:rsidDel="00000000" w:rsidR="00000000" w:rsidRPr="00000000">
        <w:rPr>
          <w:rFonts w:ascii="Arial" w:cs="Arial" w:eastAsia="Arial" w:hAnsi="Arial"/>
          <w:color w:val="1e293b"/>
          <w:rtl w:val="0"/>
        </w:rPr>
        <w:t xml:space="preserve">) corresponden exclusivamente a la remuneración por el licenciamiento de software, cómputo distribuido, indexación de eventos y mantenimiento de interfaces.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Desglose Previo Obligatorio:</w:t>
      </w:r>
      <w:r w:rsidDel="00000000" w:rsidR="00000000" w:rsidRPr="00000000">
        <w:rPr>
          <w:rFonts w:ascii="Arial" w:cs="Arial" w:eastAsia="Arial" w:hAnsi="Arial"/>
          <w:color w:val="1e293b"/>
          <w:rtl w:val="0"/>
        </w:rPr>
        <w:t xml:space="preserve"> Todo fee de infraestructura será visible y desglosado de manera transparente en la interfaz de usuario previo a la firma o autorización de cualquier transacción.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No Comisión de Corretaje:</w:t>
      </w:r>
      <w:r w:rsidDel="00000000" w:rsidR="00000000" w:rsidRPr="00000000">
        <w:rPr>
          <w:rFonts w:ascii="Arial" w:cs="Arial" w:eastAsia="Arial" w:hAnsi="Arial"/>
          <w:color w:val="1e293b"/>
          <w:rtl w:val="0"/>
        </w:rPr>
        <w:t xml:space="preserve"> El Usuario reconoce y acepta que ninguna tarifa cobrada por BRIDS constituye una comisión por colocación, corretaje o intermediación de valores.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Carácter No Reembolsable:</w:t>
      </w:r>
      <w:r w:rsidDel="00000000" w:rsidR="00000000" w:rsidRPr="00000000">
        <w:rPr>
          <w:rFonts w:ascii="Arial" w:cs="Arial" w:eastAsia="Arial" w:hAnsi="Arial"/>
          <w:color w:val="1e293b"/>
          <w:rtl w:val="0"/>
        </w:rPr>
        <w:t xml:space="preserve"> Una vez que una transacción ha sido procesada y confirmada en la red de Solana, la tarifa tecnológica asociada es irrevocable y no reembolsable.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369a1"/>
        </w:rPr>
      </w:pPr>
      <w:r w:rsidDel="00000000" w:rsidR="00000000" w:rsidRPr="00000000">
        <w:rPr>
          <w:rFonts w:ascii="Arial" w:cs="Arial" w:eastAsia="Arial" w:hAnsi="Arial"/>
          <w:color w:val="0369a1"/>
          <w:rtl w:val="0"/>
        </w:rPr>
        <w:t xml:space="preserve">7. Tesorería Descentralizada y Protocolo Squads Multi-Sig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La custodia y dispersión de fondos vinculados a las oportunidades inmobiliarias se efectúa bajo las siguientes condiciones: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Arquitectura Multifirma:</w:t>
      </w:r>
      <w:r w:rsidDel="00000000" w:rsidR="00000000" w:rsidRPr="00000000">
        <w:rPr>
          <w:rFonts w:ascii="Arial" w:cs="Arial" w:eastAsia="Arial" w:hAnsi="Arial"/>
          <w:color w:val="1e293b"/>
          <w:rtl w:val="0"/>
        </w:rPr>
        <w:t xml:space="preserve"> La recaudación y dispersión de rendimientos se gestiona mediante contratos inteligentes y bóvedas multifirma (Multi-Sig) desplegadas sobre </w:t>
      </w:r>
      <w:r w:rsidDel="00000000" w:rsidR="00000000" w:rsidRPr="00000000">
        <w:rPr>
          <w:rFonts w:ascii="Arial" w:cs="Arial" w:eastAsia="Arial" w:hAnsi="Arial"/>
          <w:b w:val="1"/>
          <w:bCs w:val="1"/>
          <w:color w:val="1e293b"/>
          <w:rtl w:val="0"/>
        </w:rPr>
        <w:t xml:space="preserve">Squads Protocol</w:t>
      </w:r>
      <w:r w:rsidDel="00000000" w:rsidR="00000000" w:rsidRPr="00000000">
        <w:rPr>
          <w:rFonts w:ascii="Arial" w:cs="Arial" w:eastAsia="Arial" w:hAnsi="Arial"/>
          <w:color w:val="1e293b"/>
          <w:rtl w:val="0"/>
        </w:rPr>
        <w:t xml:space="preserve"> en la red de Solana.</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Firma Técnica no Fiduciaria:</w:t>
      </w:r>
      <w:r w:rsidDel="00000000" w:rsidR="00000000" w:rsidRPr="00000000">
        <w:rPr>
          <w:rFonts w:ascii="Arial" w:cs="Arial" w:eastAsia="Arial" w:hAnsi="Arial"/>
          <w:color w:val="1e293b"/>
          <w:rtl w:val="0"/>
        </w:rPr>
        <w:t xml:space="preserve"> La participación de BRIDS o de su equipo técnico en la configuración multifirma tiene un carácter de verificación técnica programática (consistencia de datos y hashes de transacción). BRIDS no ejerce control discrecional, custodia unilateral ni administración fiduciaria sobre los fondos depositados por desarrolladores o inversores.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Responsabilidad de Fondeo:</w:t>
      </w:r>
      <w:r w:rsidDel="00000000" w:rsidR="00000000" w:rsidRPr="00000000">
        <w:rPr>
          <w:rFonts w:ascii="Arial" w:cs="Arial" w:eastAsia="Arial" w:hAnsi="Arial"/>
          <w:color w:val="1e293b"/>
          <w:rtl w:val="0"/>
        </w:rPr>
        <w:t xml:space="preserve"> La dispersión periódica de rentas (Fix &amp; Hold) o retornos de liquidación (Fix &amp; Flip / Desarrollo) es responsabilidad material del SPV y del desarrollador inmobiliario, quienes deben fondear la tesorería según los contratos aplicables.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369a1"/>
        </w:rPr>
      </w:pPr>
      <w:r w:rsidDel="00000000" w:rsidR="00000000" w:rsidRPr="00000000">
        <w:rPr>
          <w:rFonts w:ascii="Arial" w:cs="Arial" w:eastAsia="Arial" w:hAnsi="Arial"/>
          <w:color w:val="0369a1"/>
          <w:rtl w:val="0"/>
        </w:rPr>
        <w:t xml:space="preserve">8. Onboarding, KYC/AML y Cumplimiento Normativo de Terceros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Para cumplir con las regulaciones aplicables (incluyendo 31 CFR 1023.220 y marcos internacionales):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Los procesos de identificación de clientes (Customer Identification Program - CIP), prevención de lavado de activos (AML) y verificación de elegibilidad son operados íntegramente por proveedores externos especializados e integrados vía API/iFrame.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BRIDS no almacena documentación de identidad sensible ni dictamina la idoneidad legal del inversionista. El acceso a determinadas funcionalidades en la Plataforma está condicionado a la aprobación expedida por dichos terceros regulados.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369a1"/>
        </w:rPr>
      </w:pPr>
      <w:r w:rsidDel="00000000" w:rsidR="00000000" w:rsidRPr="00000000">
        <w:rPr>
          <w:rFonts w:ascii="Arial" w:cs="Arial" w:eastAsia="Arial" w:hAnsi="Arial"/>
          <w:color w:val="0369a1"/>
          <w:rtl w:val="0"/>
        </w:rPr>
        <w:t xml:space="preserve">9. Asunción de Riesgos por el Usuario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El Usuario declara comprender y asumir de forma voluntaria los riesgos inherentes al uso de la Plataforma y de tecnologías Web3, incluyendo de manera enunciativa más no limitativa:</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Riesgo de Mercado Inmobiliario:</w:t>
      </w:r>
      <w:r w:rsidDel="00000000" w:rsidR="00000000" w:rsidRPr="00000000">
        <w:rPr>
          <w:rFonts w:ascii="Arial" w:cs="Arial" w:eastAsia="Arial" w:hAnsi="Arial"/>
          <w:color w:val="1e293b"/>
          <w:rtl w:val="0"/>
        </w:rPr>
        <w:t xml:space="preserve"> Fluctuaciones en el valor del suelo, demoras en licencias de construcción, vacancia de inquilinos, sobrecostos de obra y variaciones macroeconómicas.</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Riesgo Blockchain y Tecnológico:</w:t>
      </w:r>
      <w:r w:rsidDel="00000000" w:rsidR="00000000" w:rsidRPr="00000000">
        <w:rPr>
          <w:rFonts w:ascii="Arial" w:cs="Arial" w:eastAsia="Arial" w:hAnsi="Arial"/>
          <w:color w:val="1e293b"/>
          <w:rtl w:val="0"/>
        </w:rPr>
        <w:t xml:space="preserve"> Vulnerabilidades de smart contracts, congestión o fallos en la red de Solana, pérdida de claves privadas o accesos no autorizados a billeteras personales bajo custodia del Usuario.</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Riesgo Regulatorio:</w:t>
      </w:r>
      <w:r w:rsidDel="00000000" w:rsidR="00000000" w:rsidRPr="00000000">
        <w:rPr>
          <w:rFonts w:ascii="Arial" w:cs="Arial" w:eastAsia="Arial" w:hAnsi="Arial"/>
          <w:color w:val="1e293b"/>
          <w:rtl w:val="0"/>
        </w:rPr>
        <w:t xml:space="preserve"> Cambios en las interpretaciones jurídicas de las agencias reguladoras respecto de activos digitales y bienes del mundo real tokenizados (RWA).</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Inexistencia de Garantías:</w:t>
      </w:r>
      <w:r w:rsidDel="00000000" w:rsidR="00000000" w:rsidRPr="00000000">
        <w:rPr>
          <w:rFonts w:ascii="Arial" w:cs="Arial" w:eastAsia="Arial" w:hAnsi="Arial"/>
          <w:color w:val="1e293b"/>
          <w:rtl w:val="0"/>
        </w:rPr>
        <w:t xml:space="preserve"> BRIDS no garantiza rentabilidad, flujo de caja, liquidez inmediata ni valor de reventa en mercados secundarios futuros.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369a1"/>
        </w:rPr>
      </w:pPr>
      <w:r w:rsidDel="00000000" w:rsidR="00000000" w:rsidRPr="00000000">
        <w:rPr>
          <w:rFonts w:ascii="Arial" w:cs="Arial" w:eastAsia="Arial" w:hAnsi="Arial"/>
          <w:color w:val="0369a1"/>
          <w:rtl w:val="0"/>
        </w:rPr>
        <w:t xml:space="preserve">10. Ley Aplicable y Resolución de Disputas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1e293b"/>
        </w:rPr>
      </w:pPr>
      <w:r w:rsidDel="00000000" w:rsidR="00000000" w:rsidRPr="00000000">
        <w:rPr>
          <w:rFonts w:ascii="Arial" w:cs="Arial" w:eastAsia="Arial" w:hAnsi="Arial"/>
          <w:color w:val="1e293b"/>
          <w:rtl w:val="0"/>
        </w:rPr>
        <w:t xml:space="preserve">Estos Términos se regirán e interpretarán de conformidad con las leyes del Estado de Delaware, Estados Unidos de América, sin dar efecto a principios de conflicto de leyes. Cualquier disputa o controversia derivada del uso del software o de estos Términos será resuelta mediante arbitraje vinculante conforme a las reglas de la </w:t>
      </w:r>
      <w:r w:rsidDel="00000000" w:rsidR="00000000" w:rsidRPr="00000000">
        <w:rPr>
          <w:rFonts w:ascii="Arial" w:cs="Arial" w:eastAsia="Arial" w:hAnsi="Arial"/>
          <w:i w:val="1"/>
          <w:iCs w:val="1"/>
          <w:color w:val="1e293b"/>
          <w:rtl w:val="0"/>
        </w:rPr>
        <w:t xml:space="preserve">American Arbitration Association (AAA)</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369a1"/>
        </w:rPr>
      </w:pPr>
      <w:r w:rsidDel="00000000" w:rsidR="00000000" w:rsidRPr="00000000">
        <w:rPr>
          <w:rFonts w:ascii="Arial" w:cs="Arial" w:eastAsia="Arial" w:hAnsi="Arial"/>
          <w:color w:val="0369a1"/>
          <w:rtl w:val="0"/>
        </w:rPr>
        <w:t xml:space="preserve">11. Modificaciones y Contacto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BRIDS se reserva el derecho de modificar estos Términos en cualquier momento mediante la publicación de la versión actualizada en el sitio web. El uso continuo de la Plataforma tras la notificación de cambios constituye la aceptación íntegra de los nuevos términos.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Para consultas técnicas sobre la Plataforma, puede comunicarse a través de los canales oficiales publicados en </w:t>
      </w:r>
      <w:r w:rsidDel="00000000" w:rsidR="00000000" w:rsidRPr="00000000">
        <w:rPr>
          <w:rFonts w:ascii="Arial" w:cs="Arial" w:eastAsia="Arial" w:hAnsi="Arial"/>
          <w:b w:val="1"/>
          <w:bCs w:val="1"/>
          <w:color w:val="1e293b"/>
          <w:rtl w:val="0"/>
        </w:rPr>
        <w:t xml:space="preserve">https://brids.io</w:t>
      </w:r>
      <w:r w:rsidDel="00000000" w:rsidR="00000000" w:rsidRPr="00000000">
        <w:rPr>
          <w:rFonts w:ascii="Arial" w:cs="Arial" w:eastAsia="Arial" w:hAnsi="Arial"/>
          <w:color w:val="1e293b"/>
          <w:rtl w:val="0"/>
        </w:rPr>
        <w:t xml:space="preserve">.</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