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="300" w:lineRule="auto"/>
        <w:jc w:val="center"/>
        <w:rPr>
          <w:rFonts w:ascii="Arial" w:cs="Arial" w:eastAsia="Arial" w:hAnsi="Arial"/>
          <w:color w:val="0f172a"/>
        </w:rPr>
      </w:pPr>
      <w:r w:rsidDel="00000000" w:rsidR="00000000" w:rsidRPr="00000000">
        <w:rPr>
          <w:rFonts w:ascii="Arial" w:cs="Arial" w:eastAsia="Arial" w:hAnsi="Arial"/>
          <w:color w:val="0f172a"/>
          <w:rtl w:val="0"/>
        </w:rPr>
        <w:t xml:space="preserve">BRIDS.IO — ESTRATEGIA DE NEGOCIO Y LEAN CANVAS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center"/>
        <w:rPr>
          <w:rFonts w:ascii="Arial" w:cs="Arial" w:eastAsia="Arial" w:hAnsi="Arial"/>
          <w:b w:val="1"/>
          <w:bCs w:val="1"/>
          <w:color w:val="0284c7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color w:val="0284c7"/>
          <w:sz w:val="22"/>
          <w:szCs w:val="22"/>
          <w:rtl w:val="0"/>
        </w:rPr>
        <w:t xml:space="preserve">Marco Estratégico, Misión, Visión y Arquitectura Lean de Producto RWA en Solana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="300" w:lineRule="auto"/>
        <w:ind w:left="180" w:right="180" w:firstLine="0"/>
        <w:rPr>
          <w:rFonts w:ascii="Arial" w:cs="Arial" w:eastAsia="Arial" w:hAnsi="Arial"/>
          <w:color w:val="334155"/>
          <w:sz w:val="20"/>
          <w:szCs w:val="20"/>
          <w:shd w:fill="f8faf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sz w:val="20"/>
          <w:szCs w:val="20"/>
          <w:shd w:fill="f8fafc" w:val="clear"/>
          <w:rtl w:val="0"/>
        </w:rPr>
        <w:t xml:space="preserve">Propósito Estratégico:</w:t>
      </w:r>
      <w:r w:rsidDel="00000000" w:rsidR="00000000" w:rsidRPr="00000000">
        <w:rPr>
          <w:rFonts w:ascii="Arial" w:cs="Arial" w:eastAsia="Arial" w:hAnsi="Arial"/>
          <w:color w:val="334155"/>
          <w:sz w:val="20"/>
          <w:szCs w:val="20"/>
          <w:shd w:fill="f8fafc" w:val="clear"/>
          <w:rtl w:val="0"/>
        </w:rPr>
        <w:t xml:space="preserve"> Convertir a BRIDS en la capa de software e infraestructura digital estándar para la estructuración, visualización y trazabilidad técnica de inversiones inmobiliarias fraccionadas en Solana, resolviendo la fricción de acceso para inversionistas globales y garantizando un desacoplamiento regulatorio riguroso.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300" w:lineRule="auto"/>
        <w:rPr>
          <w:rFonts w:ascii="Arial" w:cs="Arial" w:eastAsia="Arial" w:hAnsi="Arial"/>
          <w:color w:val="0369a1"/>
        </w:rPr>
      </w:pPr>
      <w:r w:rsidDel="00000000" w:rsidR="00000000" w:rsidRPr="00000000">
        <w:rPr>
          <w:rFonts w:ascii="Arial" w:cs="Arial" w:eastAsia="Arial" w:hAnsi="Arial"/>
          <w:color w:val="0369a1"/>
          <w:rtl w:val="0"/>
        </w:rPr>
        <w:t xml:space="preserve">1. Identidad Estratégica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rPr>
          <w:rFonts w:ascii="Arial" w:cs="Arial" w:eastAsia="Arial" w:hAnsi="Arial"/>
          <w:color w:val="0f172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0f172a"/>
          <w:rtl w:val="0"/>
        </w:rPr>
        <w:t xml:space="preserve">Misión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334155"/>
        </w:rPr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Desarrollar y operar infraestructura de software descentralizada, transparente y libre de fricción que permita representar digitalmente y hacer seguimiento en tiempo real a oportunidades inmobiliarias fraccionadas, conectando a desarrolladores institucionales e inversionistas mediante la velocidad, eficiencia de costos y seguridad del ecosistema Solana.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rPr>
          <w:rFonts w:ascii="Arial" w:cs="Arial" w:eastAsia="Arial" w:hAnsi="Arial"/>
          <w:color w:val="0f172a"/>
        </w:rPr>
      </w:pPr>
      <w:r w:rsidDel="00000000" w:rsidR="00000000" w:rsidRPr="00000000">
        <w:rPr>
          <w:rFonts w:ascii="Arial" w:cs="Arial" w:eastAsia="Arial" w:hAnsi="Arial"/>
          <w:color w:val="0f172a"/>
          <w:rtl w:val="0"/>
        </w:rPr>
        <w:t xml:space="preserve">Visión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334155"/>
        </w:rPr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Ser la capa de infraestructura tecnológica e interoperabilidad líder a nivel internacional para activos del mundo real (RWA), transformando un mercado inmobiliario tradicionalmente ilíquido, opaco y reservado a altos patrimonios en un ecosistema abierto, auditable y accesible desde cualquier billetera digital.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rPr>
          <w:rFonts w:ascii="Arial" w:cs="Arial" w:eastAsia="Arial" w:hAnsi="Arial"/>
          <w:color w:val="0f172a"/>
        </w:rPr>
      </w:pPr>
      <w:r w:rsidDel="00000000" w:rsidR="00000000" w:rsidRPr="00000000">
        <w:rPr>
          <w:rFonts w:ascii="Arial" w:cs="Arial" w:eastAsia="Arial" w:hAnsi="Arial"/>
          <w:color w:val="0f172a"/>
          <w:rtl w:val="0"/>
        </w:rPr>
        <w:t xml:space="preserve">Propuesta de Valor Única (UVP)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b w:val="1"/>
          <w:bCs w:val="1"/>
          <w:color w:val="0369a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369a1"/>
          <w:rtl w:val="0"/>
        </w:rPr>
        <w:t xml:space="preserve">"Infraestructura Web3 segura, accesible y trazable para invertir en bienes raíces estructurados desde $100 USD, con respaldo legal en SPVs dedicados y protección de identidad contra pérdida de billeteras mediante Stripe Identity y Metaplex Core."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0" w:line="300" w:lineRule="auto"/>
        <w:rPr>
          <w:rFonts w:ascii="Arial" w:cs="Arial" w:eastAsia="Arial" w:hAnsi="Arial"/>
          <w:color w:val="0369a1"/>
        </w:rPr>
      </w:pPr>
      <w:r w:rsidDel="00000000" w:rsidR="00000000" w:rsidRPr="00000000">
        <w:rPr>
          <w:rFonts w:ascii="Arial" w:cs="Arial" w:eastAsia="Arial" w:hAnsi="Arial"/>
          <w:color w:val="0369a1"/>
          <w:rtl w:val="0"/>
        </w:rPr>
        <w:t xml:space="preserve">2. Matriz Lean Canvas (BRIDS.io)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369a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0f172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  <w:rtl w:val="0"/>
              </w:rPr>
              <w:t xml:space="preserve">Bloque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0f172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  <w:rtl w:val="0"/>
              </w:rPr>
              <w:t xml:space="preserve">Definición y Detalle Estratégico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369a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369a1"/>
                <w:sz w:val="18"/>
                <w:szCs w:val="18"/>
                <w:shd w:fill="auto" w:val="clear"/>
                <w:rtl w:val="0"/>
              </w:rPr>
              <w:t xml:space="preserve">1. Problema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Barrera de entrada económica: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 Tickets de inversión inmobiliaria tradicional prohibitivos ($50,000 – $100,000 USD) en activos estructurados en EE.UU.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Fricción &amp; Opacidad: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 Procesos analógicos lentos y nula trazabilidad de avances de obra o cobro de rentas en tiempo real.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Riesgo Irreversible en Web3: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 En la mayoría de protocolos Web3, la pérdida de la clave privada extingue el acceso al activo sin recurso de recuperación.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Riesgo Regulatorio Broker-Dealer: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 Plataformas que mezclan captación de capital con software asumiendo contingencias de intermediación no deseadas.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369a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369a1"/>
                <w:sz w:val="18"/>
                <w:szCs w:val="18"/>
                <w:shd w:fill="auto" w:val="clear"/>
                <w:rtl w:val="0"/>
              </w:rPr>
              <w:t xml:space="preserve">2. Segmentos de Clientes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Inversionistas Retail Globales: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 Usuarios que buscan rentabilidad dolarizada respaldada por inmuebles tangibles en EE.UU.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Comunidad Cripto / Nativos Web3: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 Tenedores de stablecoins (USDC en Solana) que desean diversificar en activos del mundo real (RWA).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Desarrolladores Inmobiliarios / Sponsors: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 Desarrolladores que buscan canales digitales estructurados y trazables de sindicación.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Early Adopters: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 Pequeños inversores retail y usuarios del ecosistema DeFi de Solana.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369a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369a1"/>
                <w:sz w:val="18"/>
                <w:szCs w:val="18"/>
                <w:shd w:fill="auto" w:val="clear"/>
                <w:rtl w:val="0"/>
              </w:rPr>
              <w:t xml:space="preserve">3. Propuesta de Valor Única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Acceso Fraccionado: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 Participación desde $100 USD con liquidación instantánea en Solana.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Desacoplamiento Estricto: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 BRIDS provee software; Blue Brick Capital opera la obra; el SPV emite el derecho legal y mantiene el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e293b"/>
                <w:sz w:val="18"/>
                <w:szCs w:val="18"/>
                <w:rtl w:val="0"/>
              </w:rPr>
              <w:t xml:space="preserve">Master Securityholder File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Concepto de Alto Nivel: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 El Shopify / Stripe de infraestructura para la sindicación inmobiliaria institucional en Solana.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369a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369a1"/>
                <w:sz w:val="18"/>
                <w:szCs w:val="18"/>
                <w:shd w:fill="auto" w:val="clear"/>
                <w:rtl w:val="0"/>
              </w:rPr>
              <w:t xml:space="preserve">4. Solución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3 Modelos de Inversión: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 Fix &amp; Flip (rotación de 6 a 12 meses), Fix &amp; Hold (renta periódica mensual) y Desarrollo Integral desde cero.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Estándar Metaplex Core: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 NFTs de bajo costo computacional con plugins integrados de congelamiento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e293b"/>
                <w:sz w:val="18"/>
                <w:szCs w:val="18"/>
                <w:rtl w:val="0"/>
              </w:rPr>
              <w:t xml:space="preserve">Freeze Plugin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) y rescate.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Onboarding con Stripe Identity: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 Verificación biométrica y documental de identidad sin almacenamiento de datos sensibles en servidores propios.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Tesorería Squads Multi-Sig: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 Dispersión transparente de dividendos y rendimientos mediante validación técnica programática sin custodia fiduciaria.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369a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369a1"/>
                <w:sz w:val="18"/>
                <w:szCs w:val="18"/>
                <w:shd w:fill="auto" w:val="clear"/>
                <w:rtl w:val="0"/>
              </w:rPr>
              <w:t xml:space="preserve">5. Canales de Distribución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Directo / Web: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 Portal oficial brids.io y landing pages específicas por edificio/oportunidad.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Ecosistema Solana: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 Alianzas estratégicas, DAOs, comunidades y foros RWA.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Red Inmobiliaria: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 Base de clientes y canales institucionales de Blue Brick Capital.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Dashboards de Transparencia: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 Visualización pública de métricas de avance y estados on-chain.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369a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369a1"/>
                <w:sz w:val="18"/>
                <w:szCs w:val="18"/>
                <w:shd w:fill="auto" w:val="clear"/>
                <w:rtl w:val="0"/>
              </w:rPr>
              <w:t xml:space="preserve">6. Fuentes de Ingresos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Processing / Infrastructure Fee: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 Tarifa por transacción sobre el uso de la infraestructura tecnológica, claramente desglosada en la interfaz de usuario.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SaaS Listing &amp; Tech Integration Fee: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 Tarifa cobrada al desarrollador/SPV por la parametrización técnica y despliegue del proyecto.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Fee de Recuperación Administrativa: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 Tarifa de soporte técnico para cubrir costos de re-validación en Stripe Identity y reemisión/transferencia de NFTs.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369a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369a1"/>
                <w:sz w:val="18"/>
                <w:szCs w:val="18"/>
                <w:shd w:fill="auto" w:val="clear"/>
                <w:rtl w:val="0"/>
              </w:rPr>
              <w:t xml:space="preserve">7. Estructura de Costos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Desarrollo y Mantenimiento: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 Frontend en Next.js, RPCs dedicados de Solana, indexadores y seguridad en la nube.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Integraciones API: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 Costos por verificación en Stripe Identity y orquestación de pasarelas (Sphere).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Auditorías de Seguridad: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 Auditorías de código sobre contratos inteligentes y plugins de Metaplex Core.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Mesa de Soporte: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 Atención técnica y gestión operativa de tickets de recuperación de wallets.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369a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369a1"/>
                <w:sz w:val="18"/>
                <w:szCs w:val="18"/>
                <w:shd w:fill="auto" w:val="clear"/>
                <w:rtl w:val="0"/>
              </w:rPr>
              <w:t xml:space="preserve">8. Métricas Clave (KPIs)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Total Volume Processed (TVP):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 Monto total canalizado a través de la infraestructura tecnológica.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Time to Fund: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 Tiempo promedio requerido para fondear el 100% del SPV de cada inmueble.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Reinvestment Rate: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 Porcentaje de billeteras que reinvierten sus dividendos en nuevas oportunidades.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Onboarding Conversion: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 Tasa de conversión y aprobación exitosa en Stripe Identity y checkout.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369a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369a1"/>
                <w:sz w:val="18"/>
                <w:szCs w:val="18"/>
                <w:shd w:fill="auto" w:val="clear"/>
                <w:rtl w:val="0"/>
              </w:rPr>
              <w:t xml:space="preserve">9. Ventaja Injusta (Unfair Advantage)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Alianza Exclusiva con Blue Brick Capital: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 Originación y administración material de los activos por expertos inmobiliarios.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Protocolo de Recuperación Institucional: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 Conciliación on-chain con el libro legal de socios del SPV ante pérdida de llaves privadas.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Integración con Stripe Identity: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 Verificación de identidad institucional sin almacenar datos biométricos sensibles en la plataforma.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Blindaje Broker-Dealer: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 Esquema de remuneración por software/procesamiento sin cobro de comisiones de corretaje.</w:t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300" w:line="300" w:lineRule="auto"/>
        <w:rPr>
          <w:rFonts w:ascii="Arial" w:cs="Arial" w:eastAsia="Arial" w:hAnsi="Arial"/>
          <w:color w:val="0369a1"/>
        </w:rPr>
      </w:pPr>
      <w:r w:rsidDel="00000000" w:rsidR="00000000" w:rsidRPr="00000000">
        <w:rPr>
          <w:rFonts w:ascii="Arial" w:cs="Arial" w:eastAsia="Arial" w:hAnsi="Arial"/>
          <w:color w:val="0369a1"/>
          <w:rtl w:val="0"/>
        </w:rPr>
        <w:t xml:space="preserve">3. Protocolo Institucional de Recuperación (Recovery Flow)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rtl w:val="0"/>
        </w:rPr>
        <w:t xml:space="preserve">Notificación Previa Obligatoria:</w:t>
      </w: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 El usuario debe reportar el extravío o error antes de la fecha de corte (</w:t>
      </w:r>
      <w:r w:rsidDel="00000000" w:rsidR="00000000" w:rsidRPr="00000000">
        <w:rPr>
          <w:rFonts w:ascii="Arial" w:cs="Arial" w:eastAsia="Arial" w:hAnsi="Arial"/>
          <w:i w:val="1"/>
          <w:iCs w:val="1"/>
          <w:color w:val="334155"/>
          <w:rtl w:val="0"/>
        </w:rPr>
        <w:t xml:space="preserve">Snapshot Date</w:t>
      </w: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) de dispersión de fondos.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rtl w:val="0"/>
        </w:rPr>
        <w:t xml:space="preserve">Re-verificación de Identidad:</w:t>
      </w: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 El usuario completa un nuevo flujo biométrico y documental a través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rtl w:val="0"/>
        </w:rPr>
        <w:t xml:space="preserve">Stripe Identity</w:t>
      </w: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rtl w:val="0"/>
        </w:rPr>
        <w:t xml:space="preserve">Cotejo y Autorización del SPV:</w:t>
      </w: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 Se valida la coincidencia con el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4155"/>
          <w:rtl w:val="0"/>
        </w:rPr>
        <w:t xml:space="preserve">Master Securityholder File</w:t>
      </w: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 y el Administrador del SPV emite la autorización formal.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rtl w:val="0"/>
        </w:rPr>
        <w:t xml:space="preserve">Ejecución Técnica On-Chain:</w:t>
      </w: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 Mediante los plugins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rtl w:val="0"/>
        </w:rPr>
        <w:t xml:space="preserve">Metaplex Core</w:t>
      </w: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, se ejecuta el congelamiento (Freeze), quema y reemisión o transferencia hacia la nueva billetera verificada.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525" w:line="300" w:lineRule="auto"/>
        <w:jc w:val="center"/>
        <w:rPr>
          <w:rFonts w:ascii="Arial" w:cs="Arial" w:eastAsia="Arial" w:hAnsi="Arial"/>
          <w:color w:val="64748b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64748b"/>
          <w:sz w:val="16"/>
          <w:szCs w:val="16"/>
          <w:rtl w:val="0"/>
        </w:rPr>
        <w:t xml:space="preserve">Documento de Estrategia Interna — BRIDS.io | Versión 2.0 (Lean Strategy)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